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1450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no. 6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207" w:lineRule="exact"/>
        <w:rPr>
          <w:sz w:val="24"/>
          <w:szCs w:val="24"/>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162" w:lineRule="exact"/>
        <w:rPr>
          <w:sz w:val="24"/>
          <w:szCs w:val="24"/>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8-K/A which was filed with the Securities and Exchange Commission (the “SEC”) on November 14, 2022 and quarterly report on Form 10-Q/A which was filed with the SEC on November 15, 2022.</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November 14, 2022, the closing price of our Common Shares was $0.9384 and the closing price for our Public Warrants was $0.14.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542925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0"/>
          <w:szCs w:val="20"/>
          <w:color w:val="auto"/>
        </w:rPr>
      </w:pPr>
    </w:p>
    <w:p>
      <w:pPr>
        <w:ind w:left="3660" w:right="1760" w:hanging="3652"/>
        <w:spacing w:after="0" w:line="266" w:lineRule="auto"/>
        <w:tabs>
          <w:tab w:leader="none" w:pos="353"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0"/>
          <w:szCs w:val="20"/>
          <w:color w:val="auto"/>
        </w:rPr>
      </w:pPr>
    </w:p>
    <w:p>
      <w:pPr>
        <w:ind w:left="300" w:hanging="292"/>
        <w:spacing w:after="0"/>
        <w:tabs>
          <w:tab w:leader="none" w:pos="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0"/>
          <w:szCs w:val="20"/>
          <w:color w:val="auto"/>
        </w:rPr>
      </w:pPr>
    </w:p>
    <w:p>
      <w:pPr>
        <w:ind w:left="40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-5080</wp:posOffset>
            </wp:positionV>
            <wp:extent cx="200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001-39281</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2"/>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600" w:type="dxa"/>
            <w:vAlign w:val="bottom"/>
          </w:tcPr>
          <w:p>
            <w:pPr>
              <w:spacing w:after="0"/>
              <w:rPr>
                <w:sz w:val="24"/>
                <w:szCs w:val="24"/>
                <w:color w:val="auto"/>
              </w:rPr>
            </w:pPr>
          </w:p>
        </w:tc>
      </w:tr>
      <w:tr>
        <w:trPr>
          <w:trHeight w:val="238"/>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432"/>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(574) 252-9333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26"/>
        </w:trPr>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TMC</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14"/>
        </w:trPr>
        <w:tc>
          <w:tcPr>
            <w:tcW w:w="5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Common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 each at an exercise price of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30"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3"/>
        </w:trPr>
        <w:tc>
          <w:tcPr>
            <w:tcW w:w="3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000" w:type="dxa"/>
            <w:vAlign w:val="bottom"/>
          </w:tcPr>
          <w:p>
            <w:pPr>
              <w:spacing w:after="0"/>
              <w:rPr>
                <w:sz w:val="24"/>
                <w:szCs w:val="24"/>
                <w:color w:val="auto"/>
              </w:rPr>
            </w:pPr>
          </w:p>
        </w:tc>
        <w:tc>
          <w:tcPr>
            <w:tcW w:w="38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97"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right="208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14, 2022, the registrant had 265,532,666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sole purpose of this Amendment No. 1 to Form 10-Q is to correct a typographical error in the amount of sharebased compensation expense for stock options recognized by TMC the metals company Inc. (the “Company”) during the three months ended September 30, 2022 set forth in Note 6 “Share-Based Compensation” to the Company’s Condensed Consolidated Financial Statements included in Item 1 of Part I of the Form 10-Q filed by the Company with the Securities and Exchange Commission on November 14, 2022 (the “Original Form 10-Q”). This Amendment No. 1 to Form 10-Q speaks as of the filing date of the Original Form 10-Q, does not reflect events that may have occurred subsequent to the filing date of the Original Form 10-Q, and does not modify or update in any way disclosures made in the Original Form 10-Q Other than such change.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and December 31, 2021 (Unaudited)</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Loss and Comprehensive Loss for the three and nine months ended</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70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 (Unaudited)</w:t>
            </w:r>
          </w:p>
        </w:tc>
        <w:tc>
          <w:tcPr>
            <w:tcW w:w="1160" w:type="dxa"/>
            <w:vAlign w:val="bottom"/>
            <w:tcBorders>
              <w:top w:val="single" w:sz="8" w:color="CCEEFF"/>
            </w:tcBorders>
            <w:gridSpan w:val="3"/>
            <w:shd w:val="clear" w:color="auto" w:fill="CCEEFF"/>
          </w:tcPr>
          <w:p>
            <w:pPr>
              <w:spacing w:after="0"/>
              <w:rPr>
                <w:sz w:val="18"/>
                <w:szCs w:val="18"/>
                <w:color w:val="auto"/>
              </w:rPr>
            </w:pPr>
          </w:p>
        </w:tc>
        <w:tc>
          <w:tcPr>
            <w:tcW w:w="90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 for the three and nine months ended September 30, 2022 and</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62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2021 (Unaudited)</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 (Unaudited)</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8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340" w:type="dxa"/>
            <w:vAlign w:val="bottom"/>
            <w:tcBorders>
              <w:top w:val="single" w:sz="8" w:color="CCEEFF"/>
              <w:bottom w:val="single" w:sz="8" w:color="auto"/>
            </w:tcBorders>
            <w:gridSpan w:val="13"/>
          </w:tcPr>
          <w:p>
            <w:pPr>
              <w:ind w:left="41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9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to meet our working capital and capital expenditure requirements and our ability to continue as a going concern;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recently announced private placement financing, including the timing of receipt, and amount, of expected proceeds therefrom;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our plans with respect thereto;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weaknesses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ectPr>
          <w:pgSz w:w="11900" w:h="16838" w:orient="portrait"/>
          <w:cols w:equalWidth="0" w:num="1">
            <w:col w:w="11240"/>
          </w:cols>
          <w:pgMar w:left="320" w:top="904" w:right="339" w:bottom="42"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and the impact of the COVID-19 pandemic on our business;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2021 as filed with the Securities and Exchange Commission, or SEC, on March 25, 2022 (the “2021 Annual Report on Form 10-K”), as updated and supplemented under the caption “Risk Factors” in Item 1A of Part II of our Quarterly Report on Form 10-Q for the quarter ended June 30, 2022 as filed with the SEC on August 15, 2022 as further updated and/or supplemented in subsequent filings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29"/>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gridSpan w:val="3"/>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rPr>
              <w:t>Note</w:t>
            </w: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66,872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84,873</w:t>
            </w:r>
          </w:p>
        </w:tc>
      </w:tr>
      <w:tr>
        <w:trPr>
          <w:trHeight w:val="229"/>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5,037</w:t>
            </w: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71,909</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88,559</w:t>
            </w: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Exploration contracts</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43,150</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43,150</w:t>
            </w:r>
          </w:p>
        </w:tc>
      </w:tr>
      <w:tr>
        <w:trPr>
          <w:trHeight w:val="23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80" w:type="dxa"/>
            <w:vAlign w:val="bottom"/>
            <w:tcBorders>
              <w:bottom w:val="single" w:sz="8" w:color="CCEEFF"/>
            </w:tcBorders>
          </w:tcPr>
          <w:p>
            <w:pPr>
              <w:spacing w:after="0"/>
              <w:rPr>
                <w:sz w:val="18"/>
                <w:szCs w:val="18"/>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25,188</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26,573</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10,675</w:t>
            </w:r>
          </w:p>
        </w:tc>
      </w:tr>
      <w:tr>
        <w:trPr>
          <w:trHeight w:val="230"/>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 liability</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38,097</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40,374</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98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265,529,989 (December 31, 2021 –</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6"/>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225,432,493))</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328,911</w:t>
            </w:r>
          </w:p>
        </w:tc>
        <w:tc>
          <w:tcPr>
            <w:tcW w:w="8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296,051</w:t>
            </w:r>
          </w:p>
        </w:tc>
        <w:tc>
          <w:tcPr>
            <w:tcW w:w="80" w:type="dxa"/>
            <w:vAlign w:val="bottom"/>
            <w:shd w:val="clear" w:color="auto" w:fill="CCEEFF"/>
          </w:tcPr>
          <w:p>
            <w:pPr>
              <w:spacing w:after="0"/>
              <w:rPr>
                <w:sz w:val="20"/>
                <w:szCs w:val="20"/>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116,917</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w:t>
            </w:r>
          </w:p>
        </w:tc>
      </w:tr>
      <w:tr>
        <w:trPr>
          <w:trHeight w:val="229"/>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Deficit</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(365,552)</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(304,157)</w:t>
            </w:r>
          </w:p>
        </w:tc>
      </w:tr>
      <w:tr>
        <w:trPr>
          <w:trHeight w:val="210"/>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79,060</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92,751</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40" w:type="dxa"/>
            <w:vAlign w:val="bottom"/>
            <w:gridSpan w:val="3"/>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117,157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133,125</w:t>
            </w: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(Note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i w:val="1"/>
          <w:iCs w:val="1"/>
          <w:color w:val="auto"/>
        </w:rPr>
        <w:t>(Note 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196" w:lineRule="auto"/>
        <w:framePr w:w="1200" w:h="160" w:wrap="auto" w:vAnchor="page" w:hAnchor="page" w:x="280" w:y="560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196" w:lineRule="auto"/>
        <w:framePr w:w="1540" w:h="160" w:wrap="auto" w:vAnchor="page" w:hAnchor="page" w:x="400" w:y="582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Basic and diluted</w:t>
      </w:r>
    </w:p>
    <w:p>
      <w:pPr>
        <w:spacing w:after="0" w:line="185" w:lineRule="auto"/>
        <w:framePr w:w="1200" w:h="160" w:wrap="auto" w:vAnchor="page" w:hAnchor="page" w:x="280" w:y="361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loss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rFonts w:ascii="Times New Roman" w:cs="Times New Roman" w:eastAsia="Times New Roman" w:hAnsi="Times New Roman"/>
          <w:sz w:val="18"/>
          <w:szCs w:val="18"/>
          <w:b w:val="1"/>
          <w:bCs w:val="1"/>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rFonts w:ascii="Times New Roman" w:cs="Times New Roman" w:eastAsia="Times New Roman" w:hAnsi="Times New Roman"/>
          <w:sz w:val="18"/>
          <w:szCs w:val="18"/>
          <w:b w:val="1"/>
          <w:bCs w:val="1"/>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25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25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40,340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80,181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37,182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(income)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period</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27,894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36,651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61,395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0.12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outstanding — basic and diluted</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239,740,984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205,248,258</w:t>
            </w: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231,028,587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198,092,309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9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680" w:type="dxa"/>
            <w:vAlign w:val="bottom"/>
            <w:gridSpan w:val="2"/>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227,158,455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299,056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113,487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(337,658)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73,669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PIPE financing - net proceeds (Note 9)</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38,266,180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29,668</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29,668</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26"/>
        </w:trPr>
        <w:tc>
          <w:tcPr>
            <w:tcW w:w="3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 withheld for</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5,354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taxes (Note 6)</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3,553</w:t>
            </w:r>
          </w:p>
        </w:tc>
        <w:tc>
          <w:tcPr>
            <w:tcW w:w="0" w:type="dxa"/>
            <w:vAlign w:val="bottom"/>
          </w:tcPr>
          <w:p>
            <w:pPr>
              <w:spacing w:after="0"/>
              <w:rPr>
                <w:sz w:val="1"/>
                <w:szCs w:val="1"/>
                <w:color w:val="auto"/>
              </w:rPr>
            </w:pPr>
          </w:p>
        </w:tc>
      </w:tr>
      <w:tr>
        <w:trPr>
          <w:trHeight w:val="162"/>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(27,894)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(27,894)</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328,911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(365,552</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9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(Note 1)</w:t>
            </w:r>
          </w:p>
        </w:tc>
        <w:tc>
          <w:tcPr>
            <w:tcW w:w="9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680" w:type="dxa"/>
            <w:vAlign w:val="bottom"/>
            <w:gridSpan w:val="2"/>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197,794,399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188,901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72,541</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(247,708)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2,321,967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9,508</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3,068,672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26,503</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180,485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(36,651)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203,874,981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284,228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(284,359</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980" w:type="dxa"/>
            <w:vAlign w:val="bottom"/>
            <w:gridSpan w:val="2"/>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9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780" w:type="dxa"/>
            <w:vAlign w:val="bottom"/>
            <w:gridSpan w:val="2"/>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296,051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102,073</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(304,157)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PIPE financing - net proceeds (Note 9)</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38,266,180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29,668</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29,668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118,461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 withheld for</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1,670,429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2,984</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(3,062)</w:t>
            </w:r>
          </w:p>
        </w:tc>
        <w:tc>
          <w:tcPr>
            <w:tcW w:w="18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taxes (Note 6)</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purchase under Employee Share Purchase Plan (Note 6)</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42,426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17,982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(61,395)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(61,395)</w:t>
            </w: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265,529,989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328,911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116,917</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(365,552</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79,060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94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980" w:type="dxa"/>
            <w:vAlign w:val="bottom"/>
            <w:gridSpan w:val="2"/>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940" w:type="dxa"/>
            <w:vAlign w:val="bottom"/>
            <w:gridSpan w:val="6"/>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160" w:type="dxa"/>
            <w:vAlign w:val="bottom"/>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(Note 1)</w:t>
            </w:r>
          </w:p>
        </w:tc>
        <w:tc>
          <w:tcPr>
            <w:tcW w:w="9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3"/>
                <w:szCs w:val="13"/>
                <w:color w:val="auto"/>
              </w:rPr>
            </w:pPr>
          </w:p>
        </w:tc>
        <w:tc>
          <w:tcPr>
            <w:tcW w:w="780" w:type="dxa"/>
            <w:vAlign w:val="bottom"/>
            <w:gridSpan w:val="2"/>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189,493,593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154,431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45,347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(162,858)</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6)</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6,312,902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14,297</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(10,061)</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shares to be issued for exploration and evaluation</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4,245,031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25,664</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(12,879)</w:t>
            </w: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12,785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6)</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187,432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equity from Business Combination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60,987</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30,339</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91,326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debentures</w:t>
            </w: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3,126,565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27,003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shares to common shares</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509,458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(121,501)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(121,501)</w:t>
            </w:r>
          </w:p>
        </w:tc>
        <w:tc>
          <w:tcPr>
            <w:tcW w:w="0" w:type="dxa"/>
            <w:vAlign w:val="bottom"/>
          </w:tcPr>
          <w:p>
            <w:pPr>
              <w:spacing w:after="0"/>
              <w:rPr>
                <w:sz w:val="1"/>
                <w:szCs w:val="1"/>
                <w:color w:val="auto"/>
              </w:rPr>
            </w:pPr>
          </w:p>
        </w:tc>
      </w:tr>
      <w:tr>
        <w:trPr>
          <w:trHeight w:val="142"/>
        </w:trPr>
        <w:tc>
          <w:tcPr>
            <w:tcW w:w="3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203,874,981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284,228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108,022</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(284,359</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106,675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3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52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(61,395)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(121,501)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Items not affecting cash:</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Expenses settled with share-based payments</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16,298</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69,357</w:t>
            </w: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convertible debentures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23,395</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(46,760)</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(28,339)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deferred acquisition costs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equipment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19"/>
                <w:szCs w:val="19"/>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30,400</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PIPE financing</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share purchase plan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debentures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and paid on share-based compensation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Business Combination (net of fees and other costs)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(17,945)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84,873</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10,096</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66,872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4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period financial information, represents the financial condition and operating results of DeepGreen.</w:t>
      </w:r>
    </w:p>
    <w:p>
      <w:pPr>
        <w:spacing w:after="0" w:line="202"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w:t>
      </w:r>
    </w:p>
    <w:p>
      <w:pPr>
        <w:spacing w:after="0" w:line="2" w:lineRule="exact"/>
        <w:rPr>
          <w:rFonts w:ascii="Times New Roman" w:cs="Times New Roman" w:eastAsia="Times New Roman" w:hAnsi="Times New Roman"/>
          <w:sz w:val="18"/>
          <w:szCs w:val="18"/>
          <w:b w:val="1"/>
          <w:bCs w:val="1"/>
          <w:color w:val="auto"/>
        </w:rPr>
      </w:pPr>
    </w:p>
    <w:p>
      <w:pPr>
        <w:ind w:left="340" w:hanging="8"/>
        <w:spacing w:after="0" w:line="260" w:lineRule="auto"/>
        <w:tabs>
          <w:tab w:leader="none" w:pos="6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 for EV wiring, clean energy transmission and other applications and (iii) manganese silicate for manganese alloy production required for steel production.</w:t>
      </w:r>
    </w:p>
    <w:p>
      <w:pPr>
        <w:spacing w:after="0" w:line="181"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w:t>
      </w:r>
    </w:p>
    <w:p>
      <w:pPr>
        <w:spacing w:after="0" w:line="3" w:lineRule="exact"/>
        <w:rPr>
          <w:sz w:val="20"/>
          <w:szCs w:val="20"/>
          <w:color w:val="auto"/>
        </w:rPr>
      </w:pPr>
    </w:p>
    <w:p>
      <w:pPr>
        <w:jc w:val="both"/>
        <w:ind w:left="340"/>
        <w:spacing w:after="0" w:line="209" w:lineRule="auto"/>
        <w:rPr>
          <w:sz w:val="20"/>
          <w:szCs w:val="20"/>
          <w:color w:val="auto"/>
        </w:rPr>
      </w:pPr>
      <w:r>
        <w:rPr>
          <w:rFonts w:ascii="Times New Roman" w:cs="Times New Roman" w:eastAsia="Times New Roman" w:hAnsi="Times New Roman"/>
          <w:sz w:val="18"/>
          <w:szCs w:val="18"/>
          <w:color w:val="auto"/>
        </w:rPr>
        <w:t>covering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w:t>
      </w:r>
    </w:p>
    <w:p>
      <w:pPr>
        <w:spacing w:after="0" w:line="2" w:lineRule="exact"/>
        <w:rPr>
          <w:sz w:val="20"/>
          <w:szCs w:val="20"/>
          <w:color w:val="auto"/>
        </w:rPr>
      </w:pPr>
    </w:p>
    <w:p>
      <w:pPr>
        <w:jc w:val="both"/>
        <w:ind w:left="340" w:right="20"/>
        <w:spacing w:after="0" w:line="219" w:lineRule="auto"/>
        <w:rPr>
          <w:sz w:val="20"/>
          <w:szCs w:val="20"/>
          <w:color w:val="auto"/>
        </w:rPr>
      </w:pPr>
      <w:r>
        <w:rPr>
          <w:rFonts w:ascii="Times New Roman" w:cs="Times New Roman" w:eastAsia="Times New Roman" w:hAnsi="Times New Roman"/>
          <w:sz w:val="17"/>
          <w:szCs w:val="17"/>
          <w:color w:val="auto"/>
        </w:rPr>
        <w:t>(“Tonga”) and has exclusive rights to explore for polymetallic nodules covering an area of 74,713 km</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in the CCZ (“TOML Area”). Marawa Research and Exploration Limited (“Marawa”), an entity owned and sponsored by the Republic of Kiribati (“Kiribati”), was granted rights by the ISA to</w:t>
      </w:r>
    </w:p>
    <w:p>
      <w:pPr>
        <w:jc w:val="both"/>
        <w:ind w:left="340"/>
        <w:spacing w:after="0" w:line="231" w:lineRule="auto"/>
        <w:rPr>
          <w:sz w:val="20"/>
          <w:szCs w:val="20"/>
          <w:color w:val="auto"/>
        </w:rPr>
      </w:pPr>
      <w:r>
        <w:rPr>
          <w:rFonts w:ascii="Times New Roman" w:cs="Times New Roman" w:eastAsia="Times New Roman" w:hAnsi="Times New Roman"/>
          <w:sz w:val="18"/>
          <w:szCs w:val="18"/>
          <w:color w:val="auto"/>
        </w:rPr>
        <w:t>polymetallic nodules exploration in an area of 74,990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4).</w:t>
      </w:r>
    </w:p>
    <w:p>
      <w:pPr>
        <w:spacing w:after="0" w:line="20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could negatively impact the Company’s business operations, exploration and development plans, results of operations, financial position, and cash flows.</w:t>
      </w:r>
    </w:p>
    <w:p>
      <w:pPr>
        <w:spacing w:after="0" w:line="17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2022 or for any other period. These unaudited condensed consolidated interim financial statements should be read in conjunction with the audited annual consolidated financial statements for the year ended December 31, 2021. The Company has applied the same accounting policies as in the prior year, except as disclosed below.</w:t>
      </w:r>
    </w:p>
    <w:p>
      <w:pPr>
        <w:spacing w:after="0" w:line="188" w:lineRule="exact"/>
        <w:rPr>
          <w:rFonts w:ascii="Times New Roman" w:cs="Times New Roman" w:eastAsia="Times New Roman" w:hAnsi="Times New Roman"/>
          <w:sz w:val="18"/>
          <w:szCs w:val="18"/>
          <w:b w:val="1"/>
          <w:bCs w:val="1"/>
          <w:color w:val="auto"/>
        </w:rPr>
      </w:pPr>
    </w:p>
    <w:p>
      <w:pPr>
        <w:ind w:left="340" w:right="3160"/>
        <w:spacing w:after="0" w:line="52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share and per share amounts have been adjusted to reflect the impact of the Business Combination. Certain comparative figures in note 4 have been reclassified to conform to the current period’s presentation.</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valuation of share-based payments, including valuation of incentive stock options (Note 6) and the common shares issued to Maersk Supply Service A/S, and warrants liability (Note 5). Actual results could differ materially from those estimates.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2022 and 2021.</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at September 30, 2022 and December 31, 2021, the carrying values of cash, receivables, and accounts payable and accrued liabilities approximate their fair values due to the short-term nature of these instruments. The financial instruments also include public and private warrants issued by the Company. The warrants are valued at fair value which is disclosed in Note 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Accounting Policies Adopted during the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Share-Based Compensation on Employee Share Purchase Plan</w:t>
      </w:r>
    </w:p>
    <w:p>
      <w:pPr>
        <w:spacing w:after="0" w:line="22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the Company implemented an employee share purchase plan (the “ESPP”) whereby employees can purchase common shares of the Company at a 15% discount to its share price at the time of purchase, through payroll deductions (Note 6).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8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Certain Modifications or Exchanges of Freestanding Equity-Classified Written Call Options</w:t>
      </w:r>
    </w:p>
    <w:p>
      <w:pPr>
        <w:spacing w:after="0" w:line="227"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May 2021, the Financial Accounting Standards Board (the “FASB”) issued Accounting Standards Update (“ASU”)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which clarified and reduced diversity in an issuer’s accounting for modifications or exchanges of freestanding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condensed consolidated interim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both"/>
        <w:ind w:left="340" w:right="9180" w:hanging="332"/>
        <w:spacing w:after="0" w:line="530" w:lineRule="auto"/>
        <w:tabs>
          <w:tab w:leader="none" w:pos="3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Contracts Strategic Partnerships</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Pilot Mining Test Project with Allseas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made the second $10 million payment of the amended Pilot Mining Test Agreement (“PMTA”) on April 25, 2022, upon successful completion of the North Sea drive test on March 25, 2022. The third and final $10 million payment will be payable upon successful completion of the pilot trial of the Pilot Mining Test System (“PMTS”) in NORI Area D. Completion of the pilot trial of the PMTS and third and final payment is expected to occur in the fourth quarter of 2022.</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Total cost recorded as exploration and evaluation expenses for the PMTS during the three and nine months ended September 30, 2022 amounted to $1.3 million and $4 million, respectively (three and nine months ended September 30, 2021 amounted to $12.9 million). The Company has not recorded a liability for the third payment as at September 30, 2022.</w:t>
      </w:r>
    </w:p>
    <w:p>
      <w:pPr>
        <w:spacing w:after="0" w:line="175"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16, 2022, the Company’s subsidiary, NORI, and Allseas entered into a non-binding term sheet which contemplates an upgrade of the PMTS into a commercial nodule collection system and commercial operation of this system in NORI Area D. The terms are subject to negotiation between NORI and Allseas and if successful, may result in amendments to the existing Strategic Alliance Agreement.</w:t>
      </w:r>
    </w:p>
    <w:p>
      <w:pPr>
        <w:spacing w:after="0" w:line="175"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September 30, 2022, Allseas owned 22.7 million TMC common shares (December 31, 2021 – 16.2 million TMC common shares) which constituted 8.6% (December 31, 2021 – 7.2%) of total common shares outstanding.</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9, 2022, the Company and Allseas agreed to settle the third and final payment of $10 million in either cash or shares of the Company, at the Company’s election. With the successful completion of the pilot trial of the PMTS, as approved by the Company’s Board of Directors on November 11, 2022, the Company intends to satisfy the Allseas obligation through the issuance of common shares in the fourth quarter of 2022, subject to regulatory approval (Note 12).</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NORI</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TOML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1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8"/>
        </w:trPr>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PMTS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3,685</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641"/>
        </w:trPr>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NORI</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TOML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1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PMTS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17,950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NORI</w:t>
            </w: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TOML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1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PMTS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5,461</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6,458</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7,399</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35,368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NORI</w:t>
            </w: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Marawa</w:t>
            </w: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TOML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1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Exploration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Studies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Labor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PMTS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30,577</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55,439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15,000,000 (December 31, 2021 - 15,000,000)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the value of outstanding Public Warrants of $19.5 million was recorded in additional paid in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September 30, 2022, 9,500,000 Private Warrants were outstanding (December 31, 2021 - 9,500,000).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September 30, 2022, the fair value of outstanding Private Warrants of $2.2 million is recorded as warrants liability. The following table presents the changes in the fair value of warrants liability: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Private</w:t>
            </w:r>
          </w:p>
        </w:tc>
      </w:tr>
      <w:tr>
        <w:trPr>
          <w:trHeight w:val="238"/>
        </w:trPr>
        <w:tc>
          <w:tcPr>
            <w:tcW w:w="9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09"/>
        </w:trPr>
        <w:tc>
          <w:tcPr>
            <w:tcW w:w="9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of warrants liability</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r>
      <w:tr>
        <w:trPr>
          <w:trHeight w:val="223"/>
        </w:trPr>
        <w:tc>
          <w:tcPr>
            <w:tcW w:w="9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September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September 30, 2022 and December 31, 2021, the fair value of the Private Warrants was estimated using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19"/>
                <w:szCs w:val="19"/>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 years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years</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and nine months ended September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Allseas holds warrants to purchase common shares (the Allseas Warrants), which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The Company will record the expense for the Allseas Warrants upon successful completion of the pilot trial of the PMTS in the NORI Area D. No expense or liability has been recorded as at and for the three and nine months ended September 30,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successful completion of the pilot trial of the PMTS, as approved by the Company’s Board of Directors on November 11, 2022, the 11.6 million Allseas Warrants have vested and are exercisable (Note 12).</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is 33,699,685 common shares, including 9,017,299 shares added to the Plan in January 2022 pursuant to the Plan’s automatic annual increase provision described below,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September 30, 2022, there were 15,356,340 stock options outstanding under the Company’s Short-Term Incentive Plan (“STIP”) and 9,783,922 stock options outstanding under the Company’s Long-Term Incentive Plan (“LTIP”). During the three and nine months ended September 30, 2022, 100,000 STIP stock options and 118,461 STIP stock options, respectively were exercised, and no new options were granted.</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2022, the Company recognized $1.7 million and $9.2 million respectively (three and nine months ended September 30, 2021 - $9.5 million and $55.2 million, respectively) of share-based compensation expense for stock options in the statement of loss and comprehensive loss. For the three and nine months ended September 30, 2022 a total of $0.7 million and $4.6 million respectively, was recorded in exploration and evaluation expenses (three and nine months ended September 30, 2021 - $3 million and $30.6 million, respectively). The amount recorded in general and administration expenses for three and nine months ended September 30, 2022 was $1.0 million and $4.6 million respectively (three and nine months ended September 31, 2021 - $6.4 million and $24.7 million respectively).</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third quarter of 2022, the Company extended the expiry dates of 1,237,329 of its issued stock options in recognition of the continued services provided by the option holders and as a result recorded $0.3 million of share-based compensation expense in general and administrative expenses for the three months and nine months ended September 30, 2022.</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details of RSUs granted during the three and nine months ended September 30, 2022 are described below.</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Period</w:t>
            </w:r>
          </w:p>
        </w:tc>
        <w:tc>
          <w:tcPr>
            <w:tcW w:w="2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Immediately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1,721,729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Vesting in thirds on each anniversary of the grant date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95,238</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56,224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464,632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527,800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Vesting fully on the anniversary of the grant date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476,189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Out of the 1,721,729 units vesting immediately on grant date, 1,072,572 units were issued to settle liabilities with a carrying amount of $1.8 million at a weighted average grant date fair value of $1.75 per RSU.</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 aggregate of nil and 476,189 units respectively were granted to the Company’s non-employee directors under the Company’s Non-employee Director Compensation Policy, which vest upon the Company’s 2023 annual shareholders meeting. The total fair value of units granted as annual grants to the non-employee directors in the first nine months of 2022 amounted to $700,000 ($nil in the first nine months of 2021).</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a total of 339,007 and 396,691 units respectively were forfeited.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2022, a total of $1.8 million and $5.7 million respectively (three and nine months ended September 30, 2021 - $35 thousand) was charged to the statement of loss and comprehensive loss as share-based compensation expense for RSUs. For the three and nine months ended September 30, 2022, a total of $0.9 million and $2.8 million respectively, was recorded in exploration and evaluation expenses (three and nine months ended September 30, 2021 - $nil). The amount recorded in general and administration expenses for three and nine months ended September 30, 2022 was $0.9 million and $3.0 million respectively (three and nine months ended September 30, 2021- $35 thousand). As at September 30, 2022, total unrecognized share-based compensation expense for RSUs was $7.7 million (December 31, 2021 - $12.3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September 30, 2022, an aggregate of 19,284 vested units were outstanding and due to be converted into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2022, TMC’s 2021 Employee Share Purchase Plan was approved at the Company’s 2022 annual shareholders meeting, including the approval of the issuance of up to 5,254,324 common shares under the ESPP. This included 2,254,324 shares added to the ESPP in January 2022 pursuant to the ESPP’s annual increase provision. As per the annual increase provision on the first day of each of the Company’s fiscal years after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plan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ESPP includes the following limitations:</w:t>
      </w:r>
    </w:p>
    <w:p>
      <w:pPr>
        <w:spacing w:after="0" w:line="225" w:lineRule="exact"/>
        <w:rPr>
          <w:sz w:val="20"/>
          <w:szCs w:val="20"/>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contribution is limited to 15% of the employee’s annual gross earnings, not to exceed $25,000 per year,</w:t>
      </w:r>
    </w:p>
    <w:p>
      <w:pPr>
        <w:spacing w:after="0" w:line="27"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in any offering period cannot exceed 15,000 common shares, and</w:t>
      </w:r>
    </w:p>
    <w:p>
      <w:pPr>
        <w:spacing w:after="0" w:line="9"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employee’s purchases are capped, not to exceed 5% of the Company’s total outstanding common shares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a total of $39 thousand and $62 thousand respectively was charged to the condensed consolidated statement of loss and comprehensive loss. For the three and nine months ended September 30, 2022, a total of $12 thousand and $21 thousand respectively, was recorded in exploration and evaluation expenses. The amount recorded in general and administration expenses for three and nine months ended September 30, 2022 was $27 thousand and $41 thousand respectively. During the three and nine months ended September 30, 2022, the Company issued nil and 42,426 common shares respectively to its employees as part of its ESPP program.</w:t>
      </w:r>
    </w:p>
    <w:p>
      <w:pPr>
        <w:spacing w:after="0" w:line="3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0"/>
        </w:trPr>
        <w:tc>
          <w:tcPr>
            <w:tcW w:w="730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73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25,140,262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25,287,670</w:t>
            </w:r>
          </w:p>
        </w:tc>
        <w:tc>
          <w:tcPr>
            <w:tcW w:w="100" w:type="dxa"/>
            <w:vAlign w:val="bottom"/>
            <w:gridSpan w:val="2"/>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5,021,783</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56,224</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34,116</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36,078,620</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36,078,620</w:t>
            </w: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136,239,964</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136,239,964</w:t>
            </w:r>
          </w:p>
        </w:tc>
        <w:tc>
          <w:tcPr>
            <w:tcW w:w="80" w:type="dxa"/>
            <w:vAlign w:val="bottom"/>
            <w:shd w:val="clear" w:color="auto" w:fill="CCEEFF"/>
          </w:tcPr>
          <w:p>
            <w:pPr>
              <w:spacing w:after="0"/>
              <w:rPr>
                <w:sz w:val="19"/>
                <w:szCs w:val="19"/>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202,514,745</w:t>
            </w:r>
          </w:p>
        </w:tc>
        <w:tc>
          <w:tcPr>
            <w:tcW w:w="1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197,662,478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three and nine months ended September 30, 2022 totaled $69 thousand and $206 thousand (three and nine months ended September 30, 2021 - $75 thousand and $213 thousand respectively) out of which for three and nine months ended September 30, 2022 a total of $55 thousand and $165 thousand, respectively (three and nine months ended September 30, 2021 - $60 thousand and $170 thousand, respectively) is disclosed as exploration labor within exploration and evaluation expenses (Note 4) and $14 thousand and $41 thousand respectively for three and nine months ended September 30, 2022 is disclosed as general and administration expenses (three and nine months ended September 30, 2021 - $15 thousand and $43 thousand respectively). As at September 30, 2022, the amount payable to SSCS was $nil (December 31, 2021 - $23 thousand).</w:t>
      </w:r>
    </w:p>
    <w:p>
      <w:pPr>
        <w:spacing w:after="0" w:line="19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Ocean Scientist provides consulting services to the Company through Ocean Renaissance LLC (“Ocean Renaissance”) where he is a principal. Consulting services during the three and nine months ended September 30, 2022 amounted to $94 thousand and $281 thousand respectively (three and nine months ended September 30, 2021 $93 thousand and $281 thousand), evenly apportioned between exploration and evaluation expenses (Note 4) and general and administration expenses for three and nine months ended September 30, 2022 and September 30, 2021. As at September 30, 2022, the amount payable to Ocean Renaissance was $nil (December 31, 2021 - $nil).</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Financing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12, 2022, the Company entered into three securities purchase agreements for the private placement of an aggregate of 37,978,680 of the Company’s common shares. The Company entered into a securities purchase agreement (the “PIPE Purchase Agreement”) with the purchasers named therein (the “PIPE Purchasers”)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(the “Barron Purchase Agreement”), and a separate securities purchase agreement with ERAS Capital LLC, the family fund of the Company’s director, Andrei Karkar, for the issuance and sale of 6,250,000 common shares at a purchase price of $0.80 per share (the “ERAS Purchase Agreement”, together with the PIPE Purchase Agreement and the Barron Purchase Agreement, the “Purchase Agreements”). As at September 30, 2022, all of the 37,978,680 shares were issued and the Company received gross proceeds amounting to $30.4 million. The Company incurred $1.0 million as placement agent fees and offering expenses out of which expenses amounting to $0.2 million were settled by issuing 287,500 shares at issue price of $0.80 per share.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right="7760" w:hanging="332"/>
        <w:spacing w:after="0" w:line="503" w:lineRule="auto"/>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NORI Exploration Contract</w:t>
      </w: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Marawa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Marawa and DGE committed to spend a defined amount of funds on exploration activities on an annual basis. The commitment for fiscal 2022, 2023 and 2024 is Australian dollar (“AUD”) $1 million, AUD $3 million and AUD $2 million, respectively. Such commitment is negotiated with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spent approximately $13.3 million in connection with the TOML Exploration Contract from 2017 to 2021. The ISA has reviewed TOML’s periodic review report for the 2017-2021 period and submitted its initial findings at the end of September 2022, which management is currently reviewing.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the Company and certain of its executives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 Gerard Barron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Scott Leonard</w:t>
      </w:r>
      <w:r>
        <w:rPr>
          <w:rFonts w:ascii="Times New Roman" w:cs="Times New Roman" w:eastAsia="Times New Roman" w:hAnsi="Times New Roman"/>
          <w:sz w:val="18"/>
          <w:szCs w:val="18"/>
          <w:color w:val="auto"/>
        </w:rPr>
        <w:t>. The complaint alleges that all defendants violated Section 10(b) of the Securities Exchange Act of 1934, as amended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Metals Company, Inc. </w:t>
      </w:r>
      <w:r>
        <w:rPr>
          <w:rFonts w:ascii="Times New Roman" w:cs="Times New Roman" w:eastAsia="Times New Roman" w:hAnsi="Times New Roman"/>
          <w:sz w:val="18"/>
          <w:szCs w:val="18"/>
          <w:color w:val="auto"/>
        </w:rPr>
        <w:t>These cases have been consolidated. On March 6, 2022, a lead plaintiff was selected. An amended complaint was filed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12, 2022, reflecting substantially similar allegations. The Company denies any allegations of wrongdoing and the Company has filed and served the plaintiff a motion to dismiss on July 12, 2022 and intends to defend against this lawsuit. As of September 26, 2022, the motion to dismiss is fully briefed and the parties are awaiting a ruling.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right="9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11, 2022, the Company’s Board of Directors agreed with management’s assessment that the criteria for the successful completion of the pilot trial of the PMTS in the NORI Area D, as prescribed in the Strategic Alliance Agreement (SAA) with Allseas, had been met.</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the Company intends to settle the third and final payment of $10 million of the amended PMTA through the issuance of common shares in the fourth quarter of 2022, at a price of $1.00 per share, subject to regulatory approval (Note 4).</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Similarly, with the successful completion of the pilot trial of the PMTS, the 11.6 million Allseas Warrants have vested and are exercisable (Note 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2021 contained in our 2021 Annual Report on Form 10-K. This discussion contains forward looking statements and involves numerous risks and uncertainties, including, but not limited to, those described in “Risk Factors” in Item 1A of Part I of the 2021 Annual Report on Form 10-K, as updated and supplemented under the caption “Risk Factors” in Item 1A of Part II of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nine months ended September 30, 2022 and 2021, respectively, present the financial position and results of operations of TMC the metals company Inc.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and processing of polymetallic nodules found on the seafloor in international waters of the Clarion Clipperton Zone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electric vehicles (“EV”) and renewable energy storage markets,</w:t>
      </w:r>
    </w:p>
    <w:p>
      <w:pPr>
        <w:spacing w:after="0" w:line="3" w:lineRule="exact"/>
        <w:rPr>
          <w:sz w:val="20"/>
          <w:szCs w:val="20"/>
          <w:color w:val="auto"/>
        </w:rPr>
      </w:pPr>
    </w:p>
    <w:p>
      <w:pPr>
        <w:jc w:val="both"/>
        <w:ind w:firstLine="8"/>
        <w:spacing w:after="0" w:line="255" w:lineRule="auto"/>
        <w:tabs>
          <w:tab w:leader="none" w:pos="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obtains and maintains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the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key strategic alliances with (i) Allseas Group S.A. (“Allseas”), a leading global offshore contractor, which has developed and is currently testing a pilot collection system, expected to be modified into an initial smaller-scale commercial production system and serve as the basis for the design of a full-scale commercial production system and (ii) Glencore International AG (Glencore) holding offtake rights to 50% of NORI nickel and copper production from the NORI area. In addition, we have worked with engineering firm Hatch Ltd. and consultants Kingston Process Metallurgy Inc. to develop a near-zero solid waste flowsheet. The pyrometallurgical stages of the flowsheet were tested as part of our pilot plant program at FLSmidth &amp; Co. A/S’s and XPS Solutions’ (Glencore subsidiary) facilities and bench-scale hydrometallurgical refining work is being carried out with SGS SA. The near-zero solid waste flowsheet provides a design that is expected to serve as the basis for our onshore processing facilities. In March 2022, we entered into a non-binding memorandum of understanding with Epsilon Carbon Pvt, LTD. (“Epsilon Carbon”) in which Epsilon Carbon expressed its intent to conduct pre-feasibility work to potentially finance, engineer, permit, construct and operate a commercial polymetallic nodule processing plant in India. Together with Epsilon Carbon, we selected a suitable plant site in India, developed and issued a Request for Proposal for Project Zero Pre-feasibility and Feasibility Study. Due to overstressed process engineering capacity across all markets with expertise in Rotary Kiln-Electric arc Furnace (“RKEF”) plants, compliant bids were received in September 2022 later than initially expected, and are currently under review.</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applying for our first exploitation contract from the ISA on the NORI Area D contract area and, subject to regulatory review by the ISA, intend to start commercial production in 2024. To reach our objective, we are: (i) defining our resource and project economics,</w:t>
      </w:r>
    </w:p>
    <w:p>
      <w:pPr>
        <w:jc w:val="both"/>
        <w:ind w:right="20" w:firstLine="8"/>
        <w:spacing w:after="0" w:line="255" w:lineRule="auto"/>
        <w:tabs>
          <w:tab w:leader="none" w:pos="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testing an offshore nodule collection system, (iii) assessing the ESG impacts of offshore nodule collection, and (iv) developing and testing onshore technology and system to process collected polymetallic nodules into a manganese silicate product, and an intermediate nickel-copper-cobalt matte product and/or end-products like nickel and cobalt sulfates, and copper cathode.</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Third Quarter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third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NORI Area D Project:</w:t>
      </w:r>
    </w:p>
    <w:p>
      <w:pPr>
        <w:spacing w:after="0" w:line="225" w:lineRule="exact"/>
        <w:rPr>
          <w:sz w:val="20"/>
          <w:szCs w:val="20"/>
          <w:color w:val="auto"/>
        </w:rPr>
      </w:pPr>
    </w:p>
    <w:p>
      <w:pPr>
        <w:jc w:val="both"/>
        <w:ind w:left="660" w:hanging="328"/>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Project Zero Research</w:t>
      </w:r>
      <w:r>
        <w:rPr>
          <w:rFonts w:ascii="Times New Roman" w:cs="Times New Roman" w:eastAsia="Times New Roman" w:hAnsi="Times New Roman"/>
          <w:sz w:val="18"/>
          <w:szCs w:val="18"/>
          <w:color w:val="auto"/>
        </w:rPr>
        <w:t>: In July 2022, our Australian subsidiary entered into a research funding agreement with a consortium of institutions 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Australia’s Commonwealth Scientific Industrial Research Organization (CSIRO) to create a framework for the development of an ecosystem-based Environmental Management and Monitoring Plan (EMMP) for our proposed deep-sea polymetallic nodule collection operations in the CCZ.</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Pilot Collection System Trials and Monitoring Campaign:</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ISA Recommendation: </w:t>
      </w:r>
      <w:r>
        <w:rPr>
          <w:rFonts w:ascii="Times New Roman" w:cs="Times New Roman" w:eastAsia="Times New Roman" w:hAnsi="Times New Roman"/>
          <w:sz w:val="18"/>
          <w:szCs w:val="18"/>
          <w:color w:val="auto"/>
        </w:rPr>
        <w:t>In September 2022, following the completion of its review of NORI’s Environmental Impact Statement (EIS)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EMMP, the International Seabed Authority recommended that we proceed with independently monitored pilot collection system trials in NORI Area D in the CCZ.</w:t>
      </w:r>
    </w:p>
    <w:p>
      <w:pPr>
        <w:spacing w:after="0" w:line="170" w:lineRule="exact"/>
        <w:rPr>
          <w:rFonts w:ascii="Times New Roman" w:cs="Times New Roman" w:eastAsia="Times New Roman" w:hAnsi="Times New Roman"/>
          <w:sz w:val="18"/>
          <w:szCs w:val="18"/>
          <w:color w:val="auto"/>
        </w:rPr>
      </w:pPr>
    </w:p>
    <w:p>
      <w:pPr>
        <w:jc w:val="both"/>
        <w:ind w:left="1300" w:hanging="320"/>
        <w:spacing w:after="0" w:line="259"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Start of Trials and Campaign: </w:t>
      </w:r>
      <w:r>
        <w:rPr>
          <w:rFonts w:ascii="Times New Roman" w:cs="Times New Roman" w:eastAsia="Times New Roman" w:hAnsi="Times New Roman"/>
          <w:sz w:val="18"/>
          <w:szCs w:val="18"/>
          <w:color w:val="auto"/>
        </w:rPr>
        <w:t>With the ISA recommendation, the team of engineers at Allseas and scientists from some of the world’s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deep-sea research institutions and contractors, began technology trials and our impact monitoring campaign. The environmental and operational data gathered during these trials will be an important step in ensuring the safe and efficient collection of polymetallic nodules to meet expected demand for critical minerals for the clean energy transition and the ISA’s review of our expected submission of an application for an exploitation contract for the NORI Area 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TMC Financing: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PIPE Financing: </w:t>
      </w:r>
      <w:r>
        <w:rPr>
          <w:rFonts w:ascii="Times New Roman" w:cs="Times New Roman" w:eastAsia="Times New Roman" w:hAnsi="Times New Roman"/>
          <w:sz w:val="18"/>
          <w:szCs w:val="18"/>
          <w:color w:val="auto"/>
        </w:rPr>
        <w:t>On August 15, 2022, we announced a private placement financing which raised aggregate gross cash proceeds of $30.4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$30 million net proceeds, after deducting placement agent fees and offering expenses) through the issuance of approximately 38.0 million common shares. A majority of the committed funds came from our existing shareholders and insiders. We filed a resale registration statement for the common shares issued to the investors in the financing with the SEC on September 16, 2022, which the SEC declared effective on October 14,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UAW Agreement: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September 2022, we announced that we had entered into a labor neutrality agreement with the International Union, United Automobile, Aerospace and Agricultural Implement Workers of America (“UAW”) designed to bolster the critical mineral supply chain, which we believe lays the groundwork for sustainable production of electric car batteries while also creates a path to potential job growth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September 30, 2022</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 Changes</w:t>
      </w:r>
      <w:r>
        <w:rPr>
          <w:rFonts w:ascii="Times New Roman" w:cs="Times New Roman" w:eastAsia="Times New Roman" w:hAnsi="Times New Roman"/>
          <w:sz w:val="18"/>
          <w:szCs w:val="18"/>
          <w:color w:val="auto"/>
        </w:rPr>
        <w:t>: On October 3, 2022, we announced the appointment of Andrew C. Greig to our Board as an Independent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outgoing director Gina Stryker. Mr. Greig brings extensive experience working on international construction projects in the mining sector during a 35-year career at leading engineering, procurement and construction company, Bechtel Group. On November 10, 2022, Mr. Greig was appointed to the Compensation Committee and on November 11, 2022, he was appointed as Lead Independent Director, replacing Andrew Hall. Mr. Hall will remain on the Board of Directors, including as a member of the Audit Committee.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Collector Test Monitoring</w:t>
      </w:r>
      <w:r>
        <w:rPr>
          <w:rFonts w:ascii="Times New Roman" w:cs="Times New Roman" w:eastAsia="Times New Roman" w:hAnsi="Times New Roman"/>
          <w:sz w:val="18"/>
          <w:szCs w:val="18"/>
          <w:color w:val="auto"/>
        </w:rPr>
        <w:t>: On October 5, 2022, we announced that a multidisciplinary team of independent scientists from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research institutions around the world and industry-leading contractors commenced the next phase of an extensive environmental baseline and impact monitoring campaign in preparation for NORI’s ongoing pilot nodule collection system trials in NORI Area D area of the CCZ. Scientists aboard a dedicated 103-meter-long monitoring vessel conducted pre-disturbance monitoring studies on a sub-section of the NORI Area D exploration area to establish an environmental baseline before NORI’s offshore strategic partner, Allseas, began testing a system consisting of a prototype nodule collector at the seafloor connected to a riser system to bring nodules to the surface production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NORI Collector Test Milestone</w:t>
      </w:r>
      <w:r>
        <w:rPr>
          <w:rFonts w:ascii="Times New Roman" w:cs="Times New Roman" w:eastAsia="Times New Roman" w:hAnsi="Times New Roman"/>
          <w:sz w:val="18"/>
          <w:szCs w:val="18"/>
          <w:color w:val="auto"/>
        </w:rPr>
        <w:t>: On October 12, 2022, we announced the successful collection of an initial batch of seafloor polymetallic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nodules, which were lifted up a 4-kilometer-long riser system to the surface, in what represents the first integrated collection system test conducted in the CCZ since the 1970s. The dedicated team of 130 crew and engineers aboard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xml:space="preserve"> commenced initial nodule collection runs, driving the pilot collector 147 meters in one hour on a pre-determined path and collecting 14 tonnes of nodules, while expert industry contractors and independent scientists continued their complex monitoring program to assess the environmental impacts of the collector system trials using an array of over 50 subsea sensors and monitoring stations.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Changes</w:t>
      </w:r>
      <w:r>
        <w:rPr>
          <w:rFonts w:ascii="Times New Roman" w:cs="Times New Roman" w:eastAsia="Times New Roman" w:hAnsi="Times New Roman"/>
          <w:sz w:val="18"/>
          <w:szCs w:val="18"/>
          <w:color w:val="auto"/>
        </w:rPr>
        <w:t>: On October 20, 2022, we announced the appointment of Grant Lindner as Project Director for NORI, as we look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potentially commercialize our first polymetallic nodule project in the NORI Area D. Mr. Lindner has delivered over $26 billion in project value during his 25-year career at Bechtel Group and BHP, holding senior executive roles for large-scale mining, smelter and refinery, material handling and marine projects. Mr. Lindner will play a key role in advancing all areas of the NORI Area D project including the submission of the Environmental Impact Assessment and exploitation application to the ISA, and the safe delivery of offshore and onshore development plans. We also announced that Anthony O’Sullivan had tendered his resignation on October 14, 2022 for personal and health reasons, although he will remain in the position through a twelve-month transition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left="660" w:hanging="328"/>
        <w:spacing w:after="0" w:line="259"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Conclusion of NORI Collector Test: </w:t>
      </w:r>
      <w:r>
        <w:rPr>
          <w:rFonts w:ascii="Times New Roman" w:cs="Times New Roman" w:eastAsia="Times New Roman" w:hAnsi="Times New Roman"/>
          <w:sz w:val="18"/>
          <w:szCs w:val="18"/>
          <w:color w:val="auto"/>
        </w:rPr>
        <w:t>On November 14, 2022, we announced that NORI and Allseas have successfully concluded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first integrated system test in the Clarion Clipperton Zone of the Pacific Ocean since the 1970s, achieving all significant pilot milestones while collecting approximately 4,500 tonnes of seafloor polymetallic nodules. Over 3,000 tonnes were transported up a 4.3-kilometer-long riser system to the surface production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while the additional 1,500 tonnes of nodules were purposely left behind on the seafloor as part of the trials.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$137.6 million ($104.5 million net of transaction fees).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Nauru and Tonga, respectively, and exclusive commercial rights through our subsidiary, DGE’s, arrangement with Marawa, a company owned and sponsored by Kiribati.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Agreements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Marawa, an entity owned and sponsored by Kiribati, was granted the Marawa Exploration Contract on May 30, 2012. DGE, our wholly-owned subsidiary, entered into agreements with Marawa and Kiribati which provide DGE with exclusive exploration and exploitation (if awarded) rights to an area covering 74,990 km2 in the CCZ (the “Marawa Contract Area”). The exploration contract between Marawa and the ISA (the “Marawa Exploration Contract”) was signed on January 19, 2015.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TOML, our wholly-owned subsidiary, was granted an exploration contract on January 11, 2012 by the ISA and sponsored by the Kingdom of Tonga pursuant to the TOML Exploration Contract . TOML was acquired by us on March 31, 2020 for $32 million from Deep Sea Mining Finance Ltd.</w:t>
      </w:r>
    </w:p>
    <w:p>
      <w:pPr>
        <w:jc w:val="both"/>
        <w:spacing w:after="0" w:line="231" w:lineRule="auto"/>
        <w:rPr>
          <w:sz w:val="20"/>
          <w:szCs w:val="20"/>
          <w:color w:val="auto"/>
        </w:rPr>
      </w:pPr>
      <w:r>
        <w:rPr>
          <w:rFonts w:ascii="Times New Roman" w:cs="Times New Roman" w:eastAsia="Times New Roman" w:hAnsi="Times New Roman"/>
          <w:sz w:val="18"/>
          <w:szCs w:val="18"/>
          <w:color w:val="auto"/>
        </w:rPr>
        <w:t>(“DSMF”). The TOML Exploration Contract provides TOML with exclusive rights to explore for polymetallic nodules in an area covering 74,713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2021 Annual Report on Form 10-K, as updated and supplemented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II of this Quarterly Report on Form 10-Q, as further updated and/or supplemented in subsequent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Inflation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pre-revenue company, persistent inflation may affect our ultimate cash requirements prior to our ability to begin commercial production.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global inflation rate has risen sharply. Marine fuel prices and vessel day rates are higher year-over-year and have increased our exploration expenses beyond what we had originally expected. Additionally, we are experiencing higher offshore labor costs through our contractors due to an upturn in the offshore oil and gas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Climate 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adopting the Task Force on Climate-Related Financial Disclosures recommendations. In our first inaugural impact report published in May 2022, we provided climate-related disclosures and shared how we believe our mission is aligned with supporting a clean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on climate change and create value.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climate related transition risks and opportunities are likely to be driven by changes in regulation, public policy, and technology, as disclosed in our 2021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During the third quarter of 2022, active work comprised the commencement of deep-water test of the full collector system deployed from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Gem </w:t>
      </w:r>
      <w:r>
        <w:rPr>
          <w:rFonts w:ascii="Times New Roman" w:cs="Times New Roman" w:eastAsia="Times New Roman" w:hAnsi="Times New Roman"/>
          <w:sz w:val="18"/>
          <w:szCs w:val="18"/>
          <w:color w:val="auto"/>
        </w:rPr>
        <w:t>in the NORI Area D project area in the CCZ. There were COVID-19 outbreaks, but these were effectively managed and had no impact on the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and delivery of the collector test.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“Risk Factors” in Item 1A of Part I of the 2021 Annual Report on Form 10-K, as updated and supplemented under the caption “Risk Factors” in Item 1A of Part II of this Quarterly Report on Form 10-Q, as further updated and/or supplemented in subsequent filings with the SEC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Financial Statements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disclosed in our 2021 Annual Report on Form 10-K, we have restated our financial statements as of and for the three and six-months period ended June 30, 2021 in the accompanying unaudited condensed consolidated financial statements included in this Quarterly Report on Form 10-Q.</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restatement resulted from the following items:</w:t>
      </w:r>
    </w:p>
    <w:p>
      <w:pPr>
        <w:spacing w:after="0" w:line="225"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invoices for exploration expenses were not appropriately accrued as of June 30, 2021, resulting in a $2.7 million understatement of each of exploration expenses and accounts payable and accrued liabilities as of and for the six-month period ended June 30, 2021;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expensing of options granted in the first quarter of 2021 under the Company’s Short-Term Incentive Plan (“STIP”) based on the grantee’s historical start date with us rather than the grant date of the options on March 4, 2021, as required by US Generally Accepted Accounting Principles (“U.S. GAAP”), resulting in a $1.8 million overstatement of stock-based compensation expenses as of and for the three-month period ended March 31, 2021, and $0.3 million understatement and $1.5 million overstatement of stock-based compensation expenses as of and for the six month period ended June 30, 2021,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$25.9 million and $59.4 million for the three and nine months ended September 30, 2022, respectively, compared to a net loss of $36.7 million and $121.5 million in the same periods of 2021, respectively. We have an accumulated deficit of approximately $363.6 million from inception through September 30, 2022.</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 the first nine months of 2021 resulted from our financing transactions, specifically the convertible debentures issued in February 2021, which accrued interest at 7% per annum. The convertible debentures were fully converted into DeepGreen common shares on September 9, 2021. Interest income recorded in the first nine months of 2022 resulted from the interest earned on the funds we received from the Business Combination which closed in September 2021 and from the PIPE financing which closed in August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nine months ended September 30, 2022 and 2021. Our accounting policies are described in Note 3 “Summary of Significant Accounting Policies” in our financial statements filed as part of the 2021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7"/>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8"/>
                <w:szCs w:val="18"/>
                <w:color w:val="auto"/>
              </w:rPr>
            </w:pPr>
          </w:p>
        </w:tc>
        <w:tc>
          <w:tcPr>
            <w:tcW w:w="3400" w:type="dxa"/>
            <w:vAlign w:val="bottom"/>
            <w:gridSpan w:val="8"/>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9"/>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0"/>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(Dollar amounts in thousands, except as noted)</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(Restated)</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CCEEFF"/>
            </w:tcBorders>
            <w:gridSpan w:val="2"/>
          </w:tcPr>
          <w:p>
            <w:pPr>
              <w:spacing w:after="0"/>
              <w:rPr>
                <w:sz w:val="17"/>
                <w:szCs w:val="17"/>
                <w:color w:val="auto"/>
              </w:rPr>
            </w:pPr>
          </w:p>
        </w:tc>
      </w:tr>
      <w:tr>
        <w:trPr>
          <w:trHeight w:val="19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Exploration and evaluation expenses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23,848</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13,334</w:t>
            </w:r>
          </w:p>
        </w:tc>
        <w:tc>
          <w:tcPr>
            <w:tcW w:w="1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22,502</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41,138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warrants liability</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(878)</w:t>
            </w:r>
          </w:p>
        </w:tc>
        <w:tc>
          <w:tcPr>
            <w:tcW w:w="1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(878)</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 (gain)</w:t>
            </w: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342</w:t>
            </w:r>
          </w:p>
        </w:tc>
        <w:tc>
          <w:tcPr>
            <w:tcW w:w="1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7"/>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27,894</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36,651</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6"/>
              </w:rPr>
              <w:t>)%</w:t>
            </w: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61,395</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121,501</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20"/>
        </w:trPr>
        <w:tc>
          <w:tcPr>
            <w:tcW w:w="3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$27.9 million in the third quarter of 2022, compared to $36.7 million in the same period of 2021. The following explains the major reasons for the reduction in the net loss in the third quarter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September 30, 2022 were $22.7 million, compared to $23.8 million for the same period in 2021. The decrease of $1.2 million was primarily due to a decrease in environmental studies of $3.4 million, due to the completion of the NORI Area D baseline campaigns in the fourth quarter of 2021 and a reduction in share-based compensation of $1.4 million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The above expense reductions were partially offset by increased work on the PMTS which progressed in the third quarter of 2022 resulting in increased expenses of $3.7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three months ended September 30, 2022 were $5.9 million compared to $13.3 million for the same period in 2021. The decrease of $7.4 million in G&amp;A expenses was mainly the result of lower share-based compensation in the 2022 period as the cost of the LTIP options with vesting condition of $3 billion market capitalization was completely amortized in 2021 in addition to the decrease in the amortization cost of STIP sign-up options granted in 2021, offset by the increase amortization cost of the RSUs issued to employees and contractors in 2022. This decrease was partially offset by higher G&amp;A expenses in the third quarter of 2022, reflecting an increase in personnel, legal and other expenses associated with being a public company. The third quarter of 2021 also included higher expenses for consulting and communications related to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during the third quarter of 2022 resulted in a credit of $0.4 million. The credit was primarily due to a 15% decrease in the price of our warrants in the third quarter of 2022. The warrants liability was initially recorded as part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$59.5 million in the first nine months of 2022, compared to $121.5 million in the same period of 2021. The following explains the major reasons for the reduction in the net loss in the first nine months of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nine months ended September 30, 2022 were $40.3 million, compared to $80.2 million for the same period in 2021. The decrease of $39.8 million was primarily due to a decrease in environmental studies of $23.5 million, due to the completion of the NORI Area D environmental baseline campaigns in the fourth quarter of 2021. In the first nine months of 2021, offshore campaign costs in support of environmental studies included a fair value increase of $12.2 million that was recognized on the issuance of DeepGreen common shares to Maersk Supply Service A/S (“Maersk”). The decrease in the first nine months of 2022 also reflects a reduction in share-based compensation of $23.2 million, as a significant number of stock options were awarded in March 2021, in recognition of past services and in anticipation of the Business Combination, while no stock options were awarded in the first nine months of 2022. The above expense reductions were partially offset by increased work on the PMTS which progressed in the first nine months of 2022 resulting in increased expenses of $6.4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nine months ended September 30, 2022 were $22.5 million compared to $41.1 million for the same period in 2021. The decrease of $18.6 million in G&amp;A expenses in the first nine months of 2022 was mainly the result of lower share-based compensation in the 2022 period as the first nine months of 2021 included the award of a significant number of stock options in recognition of past services and in anticipation of the Business Combination. This decrease was partially offset by higher G&amp;A expenses in the first nine months of 2022, reflecting an increase in personnel, legal and other expenses associated with being a public company. In addition, the first nine months of 2021 included higher expenses for consulting and communications related to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warrants liability during the first nine months of 2022 resulted in a credit of $0.9 million, similar to the same period of 2021. The credit was primarily due to a 39% decrease in the price of our warrants in the first nine months of 2022. The warrants liability was initially recorded as part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receiving gross cash proceeds of $137.6 million ($104.5 million net of transaction fees), followed by a PIPE financing that we announced on August 15, 2022, which resulted with gross cash proceeds of $30.4 million (approximately $30 million net of transaction fees). As of September 30, 2022, we had cash on hand of $66.9 million.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Securities and Exchange Commission, which the SEC declared effective on October 14, 2022, to sell up to $100 million of securities, before any fees or expenses of the offering.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Nine Months Ended September 30, 2022 and September 30,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9"/>
                <w:szCs w:val="19"/>
                <w:color w:val="auto"/>
              </w:rPr>
            </w:pPr>
          </w:p>
        </w:tc>
        <w:tc>
          <w:tcPr>
            <w:tcW w:w="26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(thousands)</w:t>
            </w:r>
          </w:p>
        </w:tc>
        <w:tc>
          <w:tcPr>
            <w:tcW w:w="1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 Restated</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 Restated</w:t>
            </w:r>
          </w:p>
        </w:tc>
        <w:tc>
          <w:tcPr>
            <w:tcW w:w="100" w:type="dxa"/>
            <w:vAlign w:val="bottom"/>
            <w:tcBorders>
              <w:bottom w:val="single" w:sz="8" w:color="CCEEFF"/>
            </w:tcBorders>
          </w:tcPr>
          <w:p>
            <w:pPr>
              <w:spacing w:after="0"/>
              <w:rPr>
                <w:sz w:val="19"/>
                <w:szCs w:val="19"/>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620" w:type="dxa"/>
            <w:vAlign w:val="bottom"/>
            <w:gridSpan w:val="2"/>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(959)</w:t>
            </w:r>
          </w:p>
        </w:tc>
        <w:tc>
          <w:tcPr>
            <w:tcW w:w="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(3,842)</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29,784</w:t>
            </w:r>
          </w:p>
        </w:tc>
        <w:tc>
          <w:tcPr>
            <w:tcW w:w="62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29,774</w:t>
            </w: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134,701</w:t>
            </w: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w:t>
            </w:r>
          </w:p>
        </w:tc>
        <w:tc>
          <w:tcPr>
            <w:tcW w:w="1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102,520</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w w:val="99"/>
              </w:rPr>
              <w:t>31</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$46.8 million, attributable to a net loss of $59.4 million and an increase in net operating assets and liabilities of $2.9 million, partially offset by non-cash adjustments of $15.5 million. Non-cash adjustments primarily consisted of $16.1 million of expenses settled with share-based payments, partially offset by $0.9 million related to the decrease in the fair value of the Private Warrants, mainly as a result of the decrease in our share price during the first nine months of 2022. The increase in our net operating assets and liabilities was primarily due to a $1.5 million decrease in accounts payable and accrued liabilities in the 2022 period due to the timing of supplier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$1.0 million for the purchase of equipment, as compared to $3.8 million in the first nine months of 2021, which related primarily to the initial payments made to DSMF in connection with our acquisition of TOML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$29.8 million, compared to $134.7 million provided by financing activities in the first nine months of 2021. The 2022 results represent the net proceeds from the PIPE financing which we announced in August 2022, while the 2021 comparative includes the net proceeds from the Business Combination of $104.7 million, $26.0 million from the issuance of convertible debentures in February 2021 and $4.2 million from the exercise of incentive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 We filed a resale registration statement for the common shares issued to the investors in the financing with the SEC on September 16, 2022, which the SEC declared effective on October 14,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included a summary of work completed over the previous 5-year period (2017 to 2021) and a work plan and estimated budget for the next five-year period (2022 to 2026). The periodic review report, which included a proposed work plan and estimated budget for 2022 to 2026, has been reviewed by and agreed with the ISA, and we are implementing the next five-year plan. NORI has estimated its work plan for 2022 and 2023 to be approximately $40 million and $25 million, respectively, which may be settled in cash or through the issuance of the Company’s shares.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our progress to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Through DGE’s Marawa Option Agreement and Services Agreement with Marawa with respect to the Marawa Area, DGE committed to spend a defined amount of funds on exploration activities on an annual basis. The commitment for fiscal 2022, 2023 and 2024 is AUD $1 million, AUD $3 million and AUD $2 million, respectively. Such commitment is negotiated between Marawa and the ISA as part of a five-year plan submission and is subject to regular periodic reviews. To date, very limited offshore marine resource definition activities in the Marawa Contract Area have occurred and DGE expects to commit future resources as contractually agreed with Marawa to evaluate the future commercial viability of any project in such area. Marawa has not completed adequate exploration to establish the economic viability of any project in the Marawa Contract Area. Further work will need to be conducted in order to assess the viability of any potential project in the Marawa Contract Area and such work may take several years until such assessment can be made. Marawa has delayed certain of its efforts in the Marawa Contract Area while it determines how it will move forward with additional assessment work.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TOML had committed to spend $30.0 million over the five-year period from 2017 to 2021. Such commitment has flexibility where the amount can be reduced and such reduction would be dependent upon various factors including the success of the exploration programs and the availability of funding. The ISA has reviewed TOML’s periodic review report for the 2017-2021 period and submitted its initial findings at the end of September 2022, which management is currently reviewing.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obtains and maintains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will pay an administration fee each year to Tonga for such administration and sponsorship, which is subject to review and increase in the event TOML is granted an ISA exploitation contract. On September 23, 2021, Tonga updated the TOML Sponsorship Agreement harmonizing the terms of its engagement with TOML with those held by NORI with Nauru.</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three occasions in 2020 and 2021,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currently being tested by Allseas is expected to be upgraded to a commercial system with a targeted production capacity of 1.3 million tonnes of wet nodules per year with expected production readiness by the fourth quarter of 2024. NORI and Allseas intend to equally finance all costs related to developing and getting the first commercial system. Once in production, NORI expects to pay Allseas a nodule collection and transshipment fee estimated at approximately EUR 150 per wet tonne in the first year of operations and expected to be reduced as Allseas scales up production to 1.3 million wet tonnes per year. The parties intend to further detail and revise these cost estimates in the definitive agreement contemplated by the non-binding term sheet, which the parties expect to enter into no later than December 31, 2022, following the completion of the planned pilot collection tests.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a Samsung 10000, with the potential for it to be engineered to support a higher production rate of three million tonnes of wet nodules.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December 31, 2021, we have made the following payments to Allseas under the PMTA: (a) $10 million in cash in February 2020, (b) $10 million through the issuance of 3.2 million common shares valued at $3.11 per share in February 2020, (c) issued Allseas warrants to purchase 11.6 million common shares at a nominal exercise price per share in March 2021 and (d) $10 million in cash in October 2021, following the closing of the Business Combination and meeting certain progress targets on the PMTS.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made the second $10 million payment to Allseas under the PMTA on April 25, 2022, following the successful completion of the North Sea drive test. The third and final $10 million payment to Allseas became due upon successful completion of the pilot trial of the PMTS in NORI Area D, which we intend to settle through the issuance of common shares in the fourth quarter of 2022, at a price of $1.00 per share, subject to regulatory approval. Additionally, with the successful completion of the pilot trial, the Allseas Warrants vested and are exercisable for 11.6 million common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2021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3 to the condensed consolidated interim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through at least the end of the 2022 fiscal year and we expect to continue to take advantage of the benefits of the extended transition period at least to the end of the 2022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(the “2020 Annual Report on Form 10-K/A”) and (ii) the other material weakness described below that we are in the process of remediating, our disclosure controls and procedures were not effective as of September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with the SEC on November 15, 2021. These misstatements resulted in the Company having to restate its unaudited condensed consolidated interim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previously disclosed in the 2020 Annual Report on Form 10-K/A,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these material weaknesses, management has concluded that our unaudited condensed consolidated interim financial statements included in this Quarterly Report on Form 10-Q are fairly stated in all material respects in accordance with U.S. GAAP for each of the periods presented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taken the following remediation measures to date:</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 Chief Financial Officer to oversee the finance and accounting function;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individuals for the core accounting function with the requisite education, designation, and technical accounting and public company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transition from our outsourced accounting service provider to our in-house finance and accounting function;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accounting impacts of all new contracts and arrangements through a detailed analysis against accounting standards and technical interpretations;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thorough analysis of key issues to be addressed, have prioritized these issues and we are now in the process of addressing these issues;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external experts to work with our internal team to assist with our project to design and implement robust controls over all our key processes and address all key company risks;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formality and rigor to our financial reporting process by continuously developing structured roles, policies, processes, procedures and controls.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and nine months ended September 30, 2022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September 20, 2021, we commenced litigation in the New York Supreme Court, New York County against two investors who failed to fund their PIPE commitments in connection with the closing of the Business Combination. These actions are captioned </w:t>
      </w:r>
      <w:r>
        <w:rPr>
          <w:rFonts w:ascii="Times New Roman" w:cs="Times New Roman" w:eastAsia="Times New Roman" w:hAnsi="Times New Roman"/>
          <w:sz w:val="18"/>
          <w:szCs w:val="18"/>
          <w:i w:val="1"/>
          <w:iCs w:val="1"/>
          <w:color w:val="auto"/>
        </w:rPr>
        <w:t>Sustainable Opportunities Acquisition Corp.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n/k/a TMC the metals company Inc. v. Ethos Fund I, LP, Ethos GP, LLC, Ethos DeepGreen PIPE, LLC, and Ethos Manager, LLC, </w:t>
      </w:r>
      <w:r>
        <w:rPr>
          <w:rFonts w:ascii="Times New Roman" w:cs="Times New Roman" w:eastAsia="Times New Roman" w:hAnsi="Times New Roman"/>
          <w:sz w:val="18"/>
          <w:szCs w:val="18"/>
          <w:color w:val="auto"/>
        </w:rPr>
        <w:t>Index No. 655527/2021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(N.Y. Sup. Ct.) and </w:t>
      </w:r>
      <w:r>
        <w:rPr>
          <w:rFonts w:ascii="Times New Roman" w:cs="Times New Roman" w:eastAsia="Times New Roman" w:hAnsi="Times New Roman"/>
          <w:sz w:val="18"/>
          <w:szCs w:val="18"/>
          <w:i w:val="1"/>
          <w:iCs w:val="1"/>
          <w:color w:val="auto"/>
        </w:rPr>
        <w:t>Sustainable Opportunities Acquisition Corp. n/k/a TMC the metals company Inc. v. Ramas Capital Management, LLC, Ramas 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Opportunities I, LP, Ramas Energy Opportunities I GP, LLC, and Ganesh Betanabhatla</w:t>
      </w:r>
      <w:r>
        <w:rPr>
          <w:rFonts w:ascii="Times New Roman" w:cs="Times New Roman" w:eastAsia="Times New Roman" w:hAnsi="Times New Roman"/>
          <w:sz w:val="18"/>
          <w:szCs w:val="18"/>
          <w:color w:val="auto"/>
        </w:rPr>
        <w:t>, Index No. 655528/2021 (N.Y. Sup. Ct.). The operative complaints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That motion is pending. There can be no assurances, however, that we will be successful in our efforts against these investors.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28, 2021, a shareholder filed a putative class action against us, one of our executive and former Director in federal district court for the Eastern District of New York, styled </w:t>
      </w:r>
      <w:r>
        <w:rPr>
          <w:rFonts w:ascii="Times New Roman" w:cs="Times New Roman" w:eastAsia="Times New Roman" w:hAnsi="Times New Roman"/>
          <w:sz w:val="18"/>
          <w:szCs w:val="18"/>
          <w:i w:val="1"/>
          <w:iCs w:val="1"/>
          <w:color w:val="auto"/>
        </w:rPr>
        <w:t>Caper v. TMC The Metals Company Inc. F/K/A Sustainable Opportunities Acquisition Corp., Gerard Barron and Scott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Leonard</w:t>
      </w:r>
      <w:r>
        <w:rPr>
          <w:rFonts w:ascii="Times New Roman" w:cs="Times New Roman" w:eastAsia="Times New Roman" w:hAnsi="Times New Roman"/>
          <w:sz w:val="18"/>
          <w:szCs w:val="18"/>
          <w:color w:val="auto"/>
        </w:rPr>
        <w:t>. The complaint alleges that all defendants violated Section 10(b) of the Exchange Act of 1934 and Rule 10b-5 promulgated thereunder,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8"/>
          <w:szCs w:val="18"/>
          <w:i w:val="1"/>
          <w:iCs w:val="1"/>
          <w:color w:val="auto"/>
        </w:rPr>
        <w:t>Tran v. TMC the Metals Company, Inc.</w:t>
      </w:r>
      <w:r>
        <w:rPr>
          <w:rFonts w:ascii="Times New Roman" w:cs="Times New Roman" w:eastAsia="Times New Roman" w:hAnsi="Times New Roman"/>
          <w:sz w:val="18"/>
          <w:szCs w:val="18"/>
          <w:color w:val="auto"/>
        </w:rPr>
        <w:t xml:space="preserve"> These cases have been consolidated. On March 6, 2022, a lead plaintiff was selected. An amended complaint was filed on May 12, 2022, reflecting substantially similar allegations. We deny any allegations of wrongdoing and have filed and served the plaintiff a motion to dismiss on July 12, 2022 and intend to defend against this lawsuit. As of September 26, 2022, the motion to dismiss is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received letters from the SEC notifying us of an investigation and requesting the voluntary production of documents and information regarding the Company’s March 31, 2020 acquisition of Tonga Offshore Mining Limited from Deep Sea Mining Finance Ltd. and the business combination, completed September 9, 2021, between DeepGreen Metals Inc. and Sustainable Opportunities Acquisition Corporation that led to the Company’s formation. The Company is continuing to cooperate with the investigation and respond voluntarily to the SEC’s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consolidated financial condition or results of operations set forth under Item 1A. Risk Factors in our 2021 Annual Report on Form 10-K and the Form 10-Q filed on August 15, 2022. There have been no material changes from or additions to the risk factors disclosed in our 2021 Annual Report on Form 10-K and the Form 10-Q filed on August 15, 2022. We may disclose changes to risk factors or additional factors from time to time in our future filings with the SEC.</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15, 2022, we announced a private placement financing with 25 accredited investors, including our Chief Executive Officer and Chairman Gerard Barron and ERAS Capital LLC, and the investment fund of our director Andrei Karkar. Pursuant to three securities purchase agreements we entered into on August 12, 2022, we issued an aggregate of 37,978,680 common shares to the investors at a price per share of $0.80 ($0.9645 with respect to approximately $100,000 of common shares purchased by our Chief Executive Officer and Chairman in the private placement financing, which was the consolidated closing bid price of the common shares on August 11, 2022). We received aggregate gross cash proceeds of approximately $30.4 million from the private placement during the quarter ended September 30, 2022 and net cash proceeds of approximately $30 million, after deducting placement agent fees and offering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common shares issued in the private placement financing were issued pursuant to and in accordance with the exemption from registration under Section 4(a)(2) of the Securities Act and/or Regulation D promulgated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and nine months ended September 30, 2022.</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74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89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 from Form or</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 File/ Reg.</w:t>
            </w:r>
          </w:p>
        </w:tc>
      </w:t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540" w:type="dxa"/>
            <w:vAlign w:val="bottom"/>
            <w:gridSpan w:val="14"/>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3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Filed Herewith</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20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r>
      <w:tr>
        <w:trPr>
          <w:trHeight w:val="169"/>
        </w:trPr>
        <w:tc>
          <w:tcPr>
            <w:tcW w:w="76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auto"/>
            </w:tcBorders>
            <w:gridSpan w:val="13"/>
            <w:shd w:val="clear" w:color="auto" w:fill="CCEEFF"/>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Securities Purchase</w:t>
              </w:r>
            </w:hyperlink>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460" w:type="dxa"/>
            <w:vAlign w:val="bottom"/>
            <w:tcBorders>
              <w:top w:val="single" w:sz="8" w:color="auto"/>
            </w:tcBorders>
            <w:gridSpan w:val="4"/>
            <w:shd w:val="clear" w:color="auto" w:fill="CCEEFF"/>
          </w:tcPr>
          <w:p>
            <w:pPr>
              <w:jc w:val="center"/>
              <w:ind w:right="1440"/>
              <w:spacing w:after="0" w:line="169" w:lineRule="exact"/>
              <w:rPr>
                <w:rFonts w:ascii="Times New Roman" w:cs="Times New Roman" w:eastAsia="Times New Roman" w:hAnsi="Times New Roman"/>
                <w:sz w:val="18"/>
                <w:szCs w:val="18"/>
                <w:color w:val="0000EE"/>
                <w:w w:val="97"/>
              </w:rPr>
            </w:pPr>
            <w:hyperlink r:id="rId55">
              <w:r>
                <w:rPr>
                  <w:rFonts w:ascii="Times New Roman" w:cs="Times New Roman" w:eastAsia="Times New Roman" w:hAnsi="Times New Roman"/>
                  <w:sz w:val="18"/>
                  <w:szCs w:val="18"/>
                  <w:color w:val="0000EE"/>
                  <w:w w:val="97"/>
                </w:rPr>
                <w:t>Form 8-K</w:t>
              </w:r>
            </w:hyperlink>
          </w:p>
        </w:tc>
        <w:tc>
          <w:tcPr>
            <w:tcW w:w="2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8/15/2022</w:t>
              </w:r>
            </w:hyperlink>
          </w:p>
        </w:tc>
        <w:tc>
          <w:tcPr>
            <w:tcW w:w="2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001-39281</w:t>
              </w:r>
            </w:hyperlink>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60" w:type="dxa"/>
            <w:vAlign w:val="bottom"/>
            <w:gridSpan w:val="2"/>
            <w:shd w:val="clear" w:color="auto" w:fill="CCEEFF"/>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Agreement, dated August 12,</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120" w:type="dxa"/>
            <w:vAlign w:val="bottom"/>
            <w:gridSpan w:val="6"/>
            <w:shd w:val="clear" w:color="auto" w:fill="CCEEFF"/>
          </w:tcPr>
          <w:p>
            <w:pPr>
              <w:jc w:val="center"/>
              <w:ind w:right="2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10.1)</w:t>
              </w:r>
            </w:hyperlink>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
        </w:trPr>
        <w:tc>
          <w:tcPr>
            <w:tcW w:w="3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2022, by and among TMC the</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96"/>
        </w:trPr>
        <w:tc>
          <w:tcPr>
            <w:tcW w:w="3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5"/>
              </w:rPr>
            </w:pPr>
            <w:hyperlink r:id="rId55">
              <w:r>
                <w:rPr>
                  <w:rFonts w:ascii="Times New Roman" w:cs="Times New Roman" w:eastAsia="Times New Roman" w:hAnsi="Times New Roman"/>
                  <w:sz w:val="18"/>
                  <w:szCs w:val="18"/>
                  <w:color w:val="0000EE"/>
                  <w:w w:val="95"/>
                </w:rPr>
                <w:t>metals company Inc. and the</w:t>
              </w:r>
            </w:hyperlink>
          </w:p>
        </w:tc>
        <w:tc>
          <w:tcPr>
            <w:tcW w:w="180" w:type="dxa"/>
            <w:vAlign w:val="bottom"/>
            <w:tcBorders>
              <w:top w:val="single" w:sz="8" w:color="0000EE"/>
              <w:left w:val="single" w:sz="8" w:color="CCEEFF"/>
              <w:bottom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Purchasers named therein</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
        </w:trPr>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gridSpan w:val="2"/>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5"/>
                <w:szCs w:val="15"/>
                <w:color w:val="auto"/>
              </w:rPr>
            </w:pPr>
          </w:p>
        </w:tc>
        <w:tc>
          <w:tcPr>
            <w:tcW w:w="2540" w:type="dxa"/>
            <w:vAlign w:val="bottom"/>
            <w:gridSpan w:val="14"/>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Securities Purchase Agreement,</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80" w:type="dxa"/>
            <w:vAlign w:val="bottom"/>
            <w:gridSpan w:val="5"/>
          </w:tcPr>
          <w:p>
            <w:pPr>
              <w:jc w:val="center"/>
              <w:ind w:right="1660"/>
              <w:spacing w:after="0" w:line="176"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Form 8-K</w:t>
              </w:r>
            </w:hyperlink>
          </w:p>
        </w:tc>
        <w:tc>
          <w:tcPr>
            <w:tcW w:w="880" w:type="dxa"/>
            <w:vAlign w:val="bottom"/>
            <w:gridSpan w:val="2"/>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8/15/2022</w:t>
              </w:r>
            </w:hyperlink>
          </w:p>
        </w:tc>
        <w:tc>
          <w:tcPr>
            <w:tcW w:w="1380" w:type="dxa"/>
            <w:vAlign w:val="bottom"/>
            <w:gridSpan w:val="3"/>
          </w:tcPr>
          <w:p>
            <w:pPr>
              <w:ind w:left="200"/>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001-39281</w:t>
              </w:r>
            </w:hyperlink>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dated August 12, 2022, by and</w:t>
              </w:r>
            </w:hyperlink>
          </w:p>
        </w:tc>
        <w:tc>
          <w:tcPr>
            <w:tcW w:w="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10.2)</w:t>
              </w:r>
            </w:hyperlink>
          </w:p>
        </w:tc>
        <w:tc>
          <w:tcPr>
            <w:tcW w:w="166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among TMC the metals</w:t>
              </w:r>
            </w:hyperlink>
          </w:p>
        </w:tc>
        <w:tc>
          <w:tcPr>
            <w:tcW w:w="84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1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company Inc. and Gerard</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Barron</w:t>
              </w:r>
            </w:hyperlink>
          </w:p>
        </w:tc>
        <w:tc>
          <w:tcPr>
            <w:tcW w:w="72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7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200" w:type="dxa"/>
            <w:vAlign w:val="bottom"/>
            <w:shd w:val="clear" w:color="auto" w:fill="CCEEFF"/>
          </w:tcPr>
          <w:p>
            <w:pPr>
              <w:spacing w:after="0"/>
              <w:rPr>
                <w:sz w:val="15"/>
                <w:szCs w:val="15"/>
                <w:color w:val="auto"/>
              </w:rPr>
            </w:pPr>
          </w:p>
        </w:tc>
        <w:tc>
          <w:tcPr>
            <w:tcW w:w="254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Securities Purchase Agreement,</w:t>
              </w:r>
            </w:hyperlink>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80" w:type="dxa"/>
            <w:vAlign w:val="bottom"/>
            <w:gridSpan w:val="5"/>
            <w:shd w:val="clear" w:color="auto" w:fill="CCEEFF"/>
          </w:tcPr>
          <w:p>
            <w:pPr>
              <w:jc w:val="center"/>
              <w:ind w:right="1660"/>
              <w:spacing w:after="0" w:line="17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Form 8-K</w:t>
              </w:r>
            </w:hyperlink>
          </w:p>
        </w:tc>
        <w:tc>
          <w:tcPr>
            <w:tcW w:w="88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8/15/2022</w:t>
              </w:r>
            </w:hyperlink>
          </w:p>
        </w:tc>
        <w:tc>
          <w:tcPr>
            <w:tcW w:w="1380" w:type="dxa"/>
            <w:vAlign w:val="bottom"/>
            <w:gridSpan w:val="3"/>
            <w:shd w:val="clear" w:color="auto" w:fill="CCEEFF"/>
          </w:tcPr>
          <w:p>
            <w:pPr>
              <w:ind w:left="200"/>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001-39281</w:t>
              </w:r>
            </w:hyperlink>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20" w:type="dxa"/>
            <w:vAlign w:val="bottom"/>
            <w:gridSpan w:val="3"/>
            <w:shd w:val="clear" w:color="auto" w:fill="CCEEFF"/>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dated August 12, 2022, by and</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0000EE"/>
            </w:tcBorders>
            <w:gridSpan w:val="3"/>
            <w:shd w:val="clear" w:color="auto" w:fill="CCEEFF"/>
          </w:tcPr>
          <w:p>
            <w:pPr>
              <w:jc w:val="cente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(Exhibit 10.3)</w:t>
              </w:r>
            </w:hyperlink>
          </w:p>
        </w:tc>
        <w:tc>
          <w:tcPr>
            <w:tcW w:w="166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among TMC the metals</w:t>
              </w:r>
            </w:hyperlink>
          </w:p>
        </w:tc>
        <w:tc>
          <w:tcPr>
            <w:tcW w:w="840" w:type="dxa"/>
            <w:vAlign w:val="bottom"/>
            <w:tcBorders>
              <w:bottom w:val="single" w:sz="8" w:color="CCEEFF"/>
            </w:tcBorders>
            <w:gridSpan w:val="10"/>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company Inc. and ERAS</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7"/>
        </w:trPr>
        <w:tc>
          <w:tcPr>
            <w:tcW w:w="3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Capital LLC</w:t>
              </w:r>
            </w:hyperlink>
          </w:p>
        </w:tc>
        <w:tc>
          <w:tcPr>
            <w:tcW w:w="8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760" w:type="dxa"/>
            <w:vAlign w:val="bottom"/>
            <w:gridSpan w:val="2"/>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5"/>
                <w:szCs w:val="15"/>
                <w:color w:val="auto"/>
              </w:rPr>
            </w:pPr>
          </w:p>
        </w:tc>
        <w:tc>
          <w:tcPr>
            <w:tcW w:w="2540" w:type="dxa"/>
            <w:vAlign w:val="bottom"/>
            <w:gridSpan w:val="14"/>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Certification of the Principal</w:t>
              </w:r>
            </w:hyperlink>
          </w:p>
        </w:tc>
        <w:tc>
          <w:tcPr>
            <w:tcW w:w="500" w:type="dxa"/>
            <w:vAlign w:val="bottom"/>
          </w:tcPr>
          <w:p>
            <w:pPr>
              <w:spacing w:after="0"/>
              <w:rPr>
                <w:sz w:val="15"/>
                <w:szCs w:val="15"/>
                <w:color w:val="auto"/>
              </w:rPr>
            </w:pPr>
          </w:p>
        </w:tc>
        <w:tc>
          <w:tcPr>
            <w:tcW w:w="860" w:type="dxa"/>
            <w:vAlign w:val="bottom"/>
            <w:gridSpan w:val="3"/>
          </w:tcPr>
          <w:p>
            <w:pPr>
              <w:jc w:val="center"/>
              <w:ind w:right="720"/>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X</w:t>
              </w:r>
            </w:hyperlink>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1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Executive Officer pursuant to</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Section 302 of the Sarbanes-</w:t>
              </w:r>
            </w:hyperlink>
          </w:p>
        </w:tc>
        <w:tc>
          <w:tcPr>
            <w:tcW w:w="34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Oxley Act of 2002</w:t>
              </w:r>
            </w:hyperlink>
          </w:p>
        </w:tc>
        <w:tc>
          <w:tcPr>
            <w:tcW w:w="5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7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200" w:type="dxa"/>
            <w:vAlign w:val="bottom"/>
            <w:shd w:val="clear" w:color="auto" w:fill="CCEEFF"/>
          </w:tcPr>
          <w:p>
            <w:pPr>
              <w:spacing w:after="0"/>
              <w:rPr>
                <w:sz w:val="15"/>
                <w:szCs w:val="15"/>
                <w:color w:val="auto"/>
              </w:rPr>
            </w:pPr>
          </w:p>
        </w:tc>
        <w:tc>
          <w:tcPr>
            <w:tcW w:w="254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Certification of the Principal</w:t>
              </w:r>
            </w:hyperlink>
          </w:p>
        </w:tc>
        <w:tc>
          <w:tcPr>
            <w:tcW w:w="5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right="720"/>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X</w:t>
              </w:r>
            </w:hyperlink>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
        </w:trPr>
        <w:tc>
          <w:tcPr>
            <w:tcW w:w="3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8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left w:val="single" w:sz="8" w:color="CCEEFF"/>
            </w:tcBorders>
            <w:gridSpan w:val="4"/>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4"/>
              </w:rPr>
            </w:pPr>
            <w:hyperlink r:id="rId59">
              <w:r>
                <w:rPr>
                  <w:rFonts w:ascii="Times New Roman" w:cs="Times New Roman" w:eastAsia="Times New Roman" w:hAnsi="Times New Roman"/>
                  <w:sz w:val="18"/>
                  <w:szCs w:val="18"/>
                  <w:color w:val="0000EE"/>
                  <w:w w:val="94"/>
                </w:rPr>
                <w:t>Financial Officer pursuant to</w:t>
              </w:r>
            </w:hyperlink>
          </w:p>
        </w:tc>
        <w:tc>
          <w:tcPr>
            <w:tcW w:w="520" w:type="dxa"/>
            <w:vAlign w:val="bottom"/>
            <w:tcBorders>
              <w:left w:val="single" w:sz="8" w:color="CCEEFF"/>
              <w:bottom w:val="single" w:sz="8" w:color="CCEEFF"/>
            </w:tcBorders>
            <w:gridSpan w:val="4"/>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Section 302 of the Sarbanes-</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7"/>
        </w:trPr>
        <w:tc>
          <w:tcPr>
            <w:tcW w:w="3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0000EE"/>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Oxley Act of 2002</w:t>
              </w:r>
            </w:hyperlink>
          </w:p>
        </w:tc>
        <w:tc>
          <w:tcPr>
            <w:tcW w:w="68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520" w:type="dxa"/>
            <w:vAlign w:val="bottom"/>
            <w:tcBorders>
              <w:top w:val="single" w:sz="8" w:color="CCEEFF"/>
              <w:left w:val="single" w:sz="8" w:color="CCEEFF"/>
              <w:bottom w:val="single" w:sz="8" w:color="CCEEFF"/>
            </w:tcBorders>
            <w:gridSpan w:val="4"/>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32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32*</w:t>
              </w:r>
            </w:hyperlink>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Certifications of the Chief</w:t>
              </w:r>
            </w:hyperlink>
          </w:p>
        </w:tc>
        <w:tc>
          <w:tcPr>
            <w:tcW w:w="66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0000EE"/>
            </w:tcBorders>
          </w:tcPr>
          <w:p>
            <w:pPr>
              <w:jc w:val="cente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X</w:t>
              </w:r>
            </w:hyperlink>
          </w:p>
        </w:tc>
        <w:tc>
          <w:tcPr>
            <w:tcW w:w="72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Executive Officer and Chief</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4"/>
              </w:rPr>
            </w:pPr>
            <w:hyperlink r:id="rId60">
              <w:r>
                <w:rPr>
                  <w:rFonts w:ascii="Times New Roman" w:cs="Times New Roman" w:eastAsia="Times New Roman" w:hAnsi="Times New Roman"/>
                  <w:sz w:val="18"/>
                  <w:szCs w:val="18"/>
                  <w:color w:val="0000EE"/>
                  <w:w w:val="94"/>
                </w:rPr>
                <w:t>Financial Officer pursuant to</w:t>
              </w:r>
            </w:hyperlink>
          </w:p>
        </w:tc>
        <w:tc>
          <w:tcPr>
            <w:tcW w:w="5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Section 906 of the Sarbanes-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Oxley Act of 2002</w:t>
              </w:r>
            </w:hyperlink>
          </w:p>
        </w:tc>
        <w:tc>
          <w:tcPr>
            <w:tcW w:w="52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8"/>
        </w:trPr>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w:t>
            </w:r>
          </w:p>
        </w:tc>
        <w:tc>
          <w:tcPr>
            <w:tcW w:w="5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 (the instance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 does not appear in the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 because its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tags are embedded</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4"/>
        </w:trPr>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198"/>
        </w:trPr>
        <w:tc>
          <w:tcPr>
            <w:tcW w:w="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7"/>
                <w:szCs w:val="17"/>
                <w:color w:val="auto"/>
              </w:rPr>
            </w:pPr>
          </w:p>
        </w:tc>
        <w:tc>
          <w:tcPr>
            <w:tcW w:w="254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500" w:type="dxa"/>
            <w:vAlign w:val="bottom"/>
          </w:tcPr>
          <w:p>
            <w:pPr>
              <w:spacing w:after="0"/>
              <w:rPr>
                <w:sz w:val="17"/>
                <w:szCs w:val="17"/>
                <w:color w:val="auto"/>
              </w:rPr>
            </w:pPr>
          </w:p>
        </w:tc>
        <w:tc>
          <w:tcPr>
            <w:tcW w:w="860" w:type="dxa"/>
            <w:vAlign w:val="bottom"/>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8"/>
        </w:trPr>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5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Calculation Linkbase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4"/>
        </w:trPr>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198"/>
        </w:trPr>
        <w:tc>
          <w:tcPr>
            <w:tcW w:w="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7"/>
                <w:szCs w:val="17"/>
                <w:color w:val="auto"/>
              </w:rPr>
            </w:pPr>
          </w:p>
        </w:tc>
        <w:tc>
          <w:tcPr>
            <w:tcW w:w="254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500" w:type="dxa"/>
            <w:vAlign w:val="bottom"/>
          </w:tcPr>
          <w:p>
            <w:pPr>
              <w:spacing w:after="0"/>
              <w:rPr>
                <w:sz w:val="17"/>
                <w:szCs w:val="17"/>
                <w:color w:val="auto"/>
              </w:rPr>
            </w:pPr>
          </w:p>
        </w:tc>
        <w:tc>
          <w:tcPr>
            <w:tcW w:w="860" w:type="dxa"/>
            <w:vAlign w:val="bottom"/>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Extension Definition Linkbase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8"/>
        </w:trPr>
        <w:tc>
          <w:tcPr>
            <w:tcW w:w="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200" w:type="dxa"/>
            <w:vAlign w:val="bottom"/>
            <w:shd w:val="clear" w:color="auto" w:fill="CCEEFF"/>
          </w:tcPr>
          <w:p>
            <w:pPr>
              <w:spacing w:after="0"/>
              <w:rPr>
                <w:sz w:val="17"/>
                <w:szCs w:val="17"/>
                <w:color w:val="auto"/>
              </w:rPr>
            </w:pPr>
          </w:p>
        </w:tc>
        <w:tc>
          <w:tcPr>
            <w:tcW w:w="2540" w:type="dxa"/>
            <w:vAlign w:val="bottom"/>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w:t>
            </w:r>
          </w:p>
        </w:tc>
        <w:tc>
          <w:tcPr>
            <w:tcW w:w="5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3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Label Linkbase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4"/>
        </w:trPr>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5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70"/>
        </w:trPr>
        <w:tc>
          <w:tcPr>
            <w:tcW w:w="3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265" w:lineRule="exact"/>
        <w:rPr>
          <w:sz w:val="20"/>
          <w:szCs w:val="20"/>
          <w:color w:val="auto"/>
        </w:rPr>
      </w:pPr>
    </w:p>
    <w:p>
      <w:pPr>
        <w:jc w:val="both"/>
        <w:ind w:firstLine="8"/>
        <w:spacing w:after="0" w:line="261" w:lineRule="auto"/>
        <w:tabs>
          <w:tab w:leader="none" w:pos="1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2022</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3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7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4200" w:type="dxa"/>
            <w:vAlign w:val="bottom"/>
          </w:tcPr>
          <w:p>
            <w:pPr>
              <w:jc w:val="right"/>
              <w:ind w:right="1536"/>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216"/>
        </w:trPr>
        <w:tc>
          <w:tcPr>
            <w:tcW w:w="2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0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incorporation)</w:t>
            </w:r>
          </w:p>
        </w:tc>
        <w:tc>
          <w:tcPr>
            <w:tcW w:w="4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165"/>
        </w:trPr>
        <w:tc>
          <w:tcPr>
            <w:tcW w:w="27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4200" w:type="dxa"/>
            <w:vAlign w:val="bottom"/>
            <w:vMerge w:val="continue"/>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20" w:type="dxa"/>
            <w:vAlign w:val="bottom"/>
            <w:vMerge w:val="continue"/>
          </w:tcPr>
          <w:p>
            <w:pPr>
              <w:spacing w:after="0"/>
              <w:rPr>
                <w:sz w:val="15"/>
                <w:szCs w:val="15"/>
                <w:color w:val="auto"/>
              </w:rPr>
            </w:pPr>
          </w:p>
        </w:tc>
        <w:tc>
          <w:tcPr>
            <w:tcW w:w="4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420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c>
          <w:tcPr>
            <w:tcW w:w="0" w:type="dxa"/>
            <w:vAlign w:val="bottom"/>
          </w:tcPr>
          <w:p>
            <w:pPr>
              <w:spacing w:after="0"/>
              <w:rPr>
                <w:sz w:val="1"/>
                <w:szCs w:val="1"/>
                <w:color w:val="auto"/>
              </w:rPr>
            </w:pPr>
          </w:p>
        </w:tc>
      </w:tr>
      <w:tr>
        <w:trPr>
          <w:trHeight w:val="216"/>
        </w:trPr>
        <w:tc>
          <w:tcPr>
            <w:tcW w:w="27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420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34"/>
        </w:trPr>
        <w:tc>
          <w:tcPr>
            <w:tcW w:w="272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offices)</w:t>
            </w:r>
          </w:p>
        </w:tc>
        <w:tc>
          <w:tcPr>
            <w:tcW w:w="4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260" w:hanging="252"/>
        <w:spacing w:after="0"/>
        <w:tabs>
          <w:tab w:leader="none" w:pos="2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940" w:firstLine="8"/>
        <w:spacing w:after="0" w:line="420" w:lineRule="auto"/>
        <w:tabs>
          <w:tab w:leader="none" w:pos="256"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3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8"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current report on Form 8-K/A (the “Amendment”) amends the current report on Form 8-K filed by TMC the metals company Inc. (the “Company”) with the U.S. Securities and Exchange Commission on October 3, 2022 (the “Original Form 8-K”). The Original Form 8-K reported the appointment of Andrew C. Greig to the Board of Directors of the Company (the “Board”), effective September 29, 2022, for a term to continue until the 2023 annual meeting of the Company’s shareholders or until his earlier death, resignation or removal. At the time of the filing of the Original Form 8-K, no determination had been made with respect to the appointment of Mr. Greig to any committees of the Board. This Amendment is being filed solely to report that on November 10, 2022, upon the recommendation of the Nominating and Corporate Governance Committee of the Board, the Board appointed Mr. Greig to the Compensation Committee of the Board, effective immediately, and Mr. Greig’s appointment as Lead Independent Director on November 11, 2022. No other changes have been made to the Original Form 8-K.</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On November 10, 2022, upon the recommendation of the Nominating and Corporate Governance Committee of the Board, the Board appointed Mr. Greig to the Compensation Committee of the Board (the “Compensation Committee”), effective immediately. Effective upon such appointment, the members of the Compensation Committee are Andrei Karkar (Chair), Sheila Khama and Mr. Greig. In addition, on November 11, 2022, Mr. Greig was appointed as Lead Independent Director, replacing Andrew Hall. Mr. Hall will remain on the Board, including as a member of the Audit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Roman"/>
      <w:start w:val="4"/>
    </w:lvl>
  </w:abstractNum>
  <w:abstractNum w:abstractNumId="1">
    <w:nsid w:val="7FDCC233"/>
    <w:multiLevelType w:val="hybridMultilevel"/>
    <w:lvl w:ilvl="0">
      <w:lvlJc w:val="left"/>
      <w:lvlText w:val="(%1)"/>
      <w:numFmt w:val="lowerRoman"/>
      <w:start w:val="9"/>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lvl w:ilvl="1">
      <w:lvlJc w:val="left"/>
      <w:lvlText w:val="(%2)"/>
      <w:numFmt w:val="lowerRoman"/>
      <w:start w:val="2"/>
    </w:lvl>
  </w:abstractNum>
  <w:abstractNum w:abstractNumId="7">
    <w:nsid w:val="519B500D"/>
    <w:multiLevelType w:val="hybridMultilevel"/>
    <w:lvl w:ilvl="0">
      <w:lvlJc w:val="left"/>
      <w:lvlText w:val="%1."/>
      <w:numFmt w:val="decimal"/>
      <w:start w:val="2"/>
    </w:lvl>
    <w:lvl w:ilvl="1">
      <w:lvlJc w:val="left"/>
      <w:lvlText w:val="·"/>
      <w:numFmt w:val="bullet"/>
      <w:start w:val="1"/>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4"/>
    </w:lvl>
  </w:abstractNum>
  <w:abstractNum w:abstractNumId="10">
    <w:nsid w:val="7C83E458"/>
    <w:multiLevelType w:val="hybridMultilevel"/>
    <w:lvl w:ilvl="0">
      <w:lvlJc w:val="left"/>
      <w:lvlText w:val="%1."/>
      <w:numFmt w:val="decimal"/>
      <w:start w:val="5"/>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7"/>
    </w:lvl>
  </w:abstractNum>
  <w:abstractNum w:abstractNumId="14">
    <w:nsid w:val="628C895D"/>
    <w:multiLevelType w:val="hybridMultilevel"/>
    <w:lvl w:ilvl="0">
      <w:lvlJc w:val="left"/>
      <w:lvlText w:val="%1."/>
      <w:numFmt w:val="decimal"/>
      <w:start w:val="8"/>
    </w:lvl>
  </w:abstractNum>
  <w:abstractNum w:abstractNumId="15">
    <w:nsid w:val="333AB105"/>
    <w:multiLevelType w:val="hybridMultilevel"/>
    <w:lvl w:ilvl="0">
      <w:lvlJc w:val="left"/>
      <w:lvlText w:val="%1."/>
      <w:numFmt w:val="decimal"/>
      <w:start w:val="10"/>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lowerRoman"/>
      <w:start w:val="2"/>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
      <w:numFmt w:val="bullet"/>
      <w:start w:val="1"/>
    </w:lvl>
    <w:lvl w:ilvl="1">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5" Type="http://schemas.openxmlformats.org/officeDocument/2006/relationships/hyperlink" Target="https://www.sec.gov/Archives/edgar/data/1798562/000110465922090666/tm2223376d3_ex10-1.htm" TargetMode="External"/><Relationship Id="rId56" Type="http://schemas.openxmlformats.org/officeDocument/2006/relationships/hyperlink" Target="https://www.sec.gov/Archives/edgar/data/1798562/000110465922090666/tm2223376d3_ex10-2.htm" TargetMode="External"/><Relationship Id="rId57" Type="http://schemas.openxmlformats.org/officeDocument/2006/relationships/hyperlink" Target="https://www.sec.gov/Archives/edgar/data/1798562/000110465922090666/tm2223376d3_ex10-3.htm" TargetMode="External"/><Relationship Id="rId58" Type="http://schemas.openxmlformats.org/officeDocument/2006/relationships/hyperlink" Target="http://www.sec.gov/Archives/edgar/data/1798562/000110465922118962/tmc-20220930xex31d1.htm" TargetMode="External"/><Relationship Id="rId59" Type="http://schemas.openxmlformats.org/officeDocument/2006/relationships/hyperlink" Target="http://www.sec.gov/Archives/edgar/data/1798562/000110465922118962/tmc-20220930xex31d2.htm" TargetMode="External"/><Relationship Id="rId60" Type="http://schemas.openxmlformats.org/officeDocument/2006/relationships/hyperlink" Target="http://www.sec.gov/Archives/edgar/data/1798562/000110465922118962/tmc-20220930x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2022-11-15T07:49:20Z</dcterms:created>
  <dcterms:modified xsi:type="dcterms:W3CDTF">2022-11-15T07:49:20Z</dcterms:modified>
</cp:coreProperties>
</file>