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333-260126</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7</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OCTOBER 22,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2602230</wp:posOffset>
            </wp:positionH>
            <wp:positionV relativeFrom="paragraph">
              <wp:posOffset>142875</wp:posOffset>
            </wp:positionV>
            <wp:extent cx="1903095" cy="677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03095" cy="677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264,438,297 Common Shares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9,500,000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This prospectus supplement no. 7 (this “Supplement”) supplements the prospectus dated October 22, 2021 (the “Prospectus”) relating to the issuance by us of up to an aggregate of 24,500,000 of our common shares, without par value (“Common Shares”), which consists of (i) up to 9,500,000 Common Shares that are issuable upon the exercise of private placement warrants (the “Private Placement Warrants”) originally issued in a private placement in connection with the initial public offering of our predecessor company, Sustainable Opportunities Acquisition Corp. (“SOAC”), at an exercise price of $11.50 per Common Share, and (ii) up to 15,000,000 Common Shares that are issuable upon the exercise of 15,000,000 warrants issued in connection with the initial public offering of SOAC (the “Public Warrants,” and together with the Private Placement Warrants, the “Warrants”).</w:t>
      </w:r>
    </w:p>
    <w:p>
      <w:pPr>
        <w:spacing w:after="0" w:line="187" w:lineRule="exact"/>
        <w:rPr>
          <w:sz w:val="24"/>
          <w:szCs w:val="24"/>
          <w:color w:val="auto"/>
        </w:rPr>
      </w:pPr>
    </w:p>
    <w:p>
      <w:pPr>
        <w:jc w:val="both"/>
        <w:ind w:firstLine="432"/>
        <w:spacing w:after="0" w:line="257" w:lineRule="auto"/>
        <w:rPr>
          <w:sz w:val="20"/>
          <w:szCs w:val="20"/>
          <w:color w:val="auto"/>
        </w:rPr>
      </w:pPr>
      <w:r>
        <w:rPr>
          <w:rFonts w:ascii="Times New Roman" w:cs="Times New Roman" w:eastAsia="Times New Roman" w:hAnsi="Times New Roman"/>
          <w:sz w:val="18"/>
          <w:szCs w:val="18"/>
          <w:color w:val="auto"/>
        </w:rPr>
        <w:t>The Prospectus and this Supplement also relate to the resale from time to time by the Selling Securityholders named in the Prospectus (the “Selling Securityholders”) of up to (i) 9,500,000 Private Placement Warrants, (ii) 9,500,000 Common Shares that may be issued upon exercise of the Private Placement Warrants, (iii) 11,578,620 Common Shares that may be issued upon exercise of the Allseas Warrant (as defined in the Prospectus),</w:t>
      </w:r>
    </w:p>
    <w:p>
      <w:pPr>
        <w:spacing w:after="0" w:line="1" w:lineRule="exact"/>
        <w:rPr>
          <w:sz w:val="24"/>
          <w:szCs w:val="24"/>
          <w:color w:val="auto"/>
        </w:rPr>
      </w:pPr>
    </w:p>
    <w:p>
      <w:pPr>
        <w:jc w:val="both"/>
        <w:ind w:firstLine="8"/>
        <w:spacing w:after="0" w:line="250" w:lineRule="auto"/>
        <w:tabs>
          <w:tab w:leader="none" w:pos="3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6,759,000 Common Shares held by SOAC’s sponsor, Sustainable Opportunities Holdings LLC (the “Sponsor”), SOAC’s former directors and certain of their transferees (collectively, the “Founder Shares”), (v) 11,030,000 Common Shares issued in the PIPE Financing (as defined in the Prospectus),</w:t>
      </w:r>
    </w:p>
    <w:p>
      <w:pPr>
        <w:jc w:val="both"/>
        <w:ind w:firstLine="8"/>
        <w:spacing w:after="0" w:line="253" w:lineRule="auto"/>
        <w:tabs>
          <w:tab w:leader="none" w:pos="3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131,178,480 Common Shares issued to certain shareholders of DeepGreen (as defined in the Prospectus) pursuant to the Business Combination Agreement (as defined in the Prospectus), (vii) 77,277,244 Common Shares issuable to certain shareholders of DeepGreen upon the conversion of DeepGreen Earnout Shares (as defined in the Prospectus) pursuant to the Business Combination Agreement, (viii) 1,241,000 Common Shares issuable to the Sponsor and its transferees upon the conversion of Sponsor Earnout Shares (as defined in the Prospects) and (ix) 873,953 Common Shares issued to certain service providers to DeepGreen.</w:t>
      </w:r>
    </w:p>
    <w:p>
      <w:pPr>
        <w:spacing w:after="0" w:line="187" w:lineRule="exact"/>
        <w:rPr>
          <w:sz w:val="24"/>
          <w:szCs w:val="24"/>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Prospectus provides you with a general description of such securities and the general manner in which we and the Selling Securityholders may offer or sell the securities. More specific terms of any securities that we and the Selling Securityholders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the Prospectus.</w:t>
      </w:r>
    </w:p>
    <w:p>
      <w:pPr>
        <w:spacing w:after="0" w:line="180" w:lineRule="exact"/>
        <w:rPr>
          <w:sz w:val="24"/>
          <w:szCs w:val="24"/>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We will not receive any proceeds from the sale of Common Shares or Private Placement Warrants by the Selling Securityholders or of Common Shares by us pursuant to the Prospectus, except with respect to amounts received by us upon exercise of the Warrants.</w:t>
      </w:r>
    </w:p>
    <w:p>
      <w:pPr>
        <w:spacing w:after="0" w:line="162" w:lineRule="exact"/>
        <w:rPr>
          <w:sz w:val="24"/>
          <w:szCs w:val="24"/>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However, we will pay the expenses, other than any underwriting discounts and commissions, associated with the sale of securities pursuant to the Prospectus.</w:t>
      </w:r>
    </w:p>
    <w:p>
      <w:pPr>
        <w:spacing w:after="0" w:line="162" w:lineRule="exact"/>
        <w:rPr>
          <w:sz w:val="24"/>
          <w:szCs w:val="24"/>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registered certain of the securities for resale pursuant to the Selling Securityholders’ registration rights under certain agreements between us and the Selling Securityholders. Our registration of the securities covered by the Prospectus does not mean that either we or the Selling Securityholders will issue, offer or sell, as applicable, any of the securities. The Selling Securityholders may offer and sell the securities covered by the Prospectus in a number of different ways and at varying prices. We provide more information about how the Selling Securityholders may sell the shares or Warrants in the section entitled “Plan of Distribution” in the Prospectus.</w:t>
      </w:r>
    </w:p>
    <w:p>
      <w:pPr>
        <w:spacing w:after="0" w:line="183" w:lineRule="exact"/>
        <w:rPr>
          <w:sz w:val="24"/>
          <w:szCs w:val="24"/>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This Supplement incorporates into the Prospectus the information contained in our attached current report on Form 8-K which was filed with the Securities and Exchange Commission on December 6, 2022.</w:t>
      </w:r>
    </w:p>
    <w:p>
      <w:pPr>
        <w:spacing w:after="0" w:line="162" w:lineRule="exact"/>
        <w:rPr>
          <w:sz w:val="24"/>
          <w:szCs w:val="24"/>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You should read this Supplement in conjunction with the Prospectus, including any supplements and amendments thereto. This Supplement is qualified by reference to the Prospectus except to the extent that the information in this Supplement supersedes the information contained in the Prospectus. This Supplement is not complete without, and may not be delivered or utilized except in connection with, the Prospectus, including any supplements and amendments thereto.</w:t>
      </w:r>
    </w:p>
    <w:p>
      <w:pPr>
        <w:spacing w:after="0" w:line="180" w:lineRule="exact"/>
        <w:rPr>
          <w:sz w:val="24"/>
          <w:szCs w:val="24"/>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Our Common Shares and Public Warrants are listed on Nasdaq under the symbols “TMC” and “TMCWW,” respectively. On December 5, 2022, the closing price of our Common Shares was $0.81 and the closing price for our Public Warrants was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148590</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both"/>
        <w:ind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“Risk Factors” beginning on page 13 of the Prospectus and in the other documents that are incorporated by reference in the Prospectus.</w:t>
      </w:r>
    </w:p>
    <w:p>
      <w:pPr>
        <w:spacing w:after="0" w:line="155" w:lineRule="exact"/>
        <w:rPr>
          <w:sz w:val="24"/>
          <w:szCs w:val="24"/>
          <w:color w:val="auto"/>
        </w:rPr>
      </w:pPr>
    </w:p>
    <w:p>
      <w:pPr>
        <w:jc w:val="both"/>
        <w:ind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Supplement is truthful or complete. Any representation to the contrary is a criminal offense.</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supplement is December 6, 2022.</w:t>
      </w:r>
    </w:p>
    <w:p>
      <w:pPr>
        <w:sectPr>
          <w:pgSz w:w="11900" w:h="16838" w:orient="portrait"/>
          <w:cols w:equalWidth="0" w:num="1">
            <w:col w:w="11240"/>
          </w:cols>
          <w:pgMar w:left="320" w:top="468" w:right="339" w:bottom="150" w:gutter="0" w:footer="0" w:header="0"/>
        </w:sectPr>
      </w:pPr>
    </w:p>
    <w:bookmarkStart w:id="1" w:name="page2"/>
    <w:bookmarkEnd w:id="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TMC THE METALS COMPANY INC.</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460" w:type="dxa"/>
        <w:tblCellMar>
          <w:top w:w="0" w:type="dxa"/>
          <w:left w:w="0" w:type="dxa"/>
          <w:bottom w:w="0" w:type="dxa"/>
          <w:right w:w="0" w:type="dxa"/>
        </w:tblCellMar>
      </w:tblPr>
      <w:tr>
        <w:trPr>
          <w:trHeight w:val="220"/>
        </w:trPr>
        <w:tc>
          <w:tcPr>
            <w:tcW w:w="350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British Columbia, Canada</w:t>
            </w:r>
          </w:p>
        </w:tc>
        <w:tc>
          <w:tcPr>
            <w:tcW w:w="3700" w:type="dxa"/>
            <w:vAlign w:val="bottom"/>
          </w:tcPr>
          <w:p>
            <w:pPr>
              <w:jc w:val="right"/>
              <w:ind w:right="1570"/>
              <w:spacing w:after="0"/>
              <w:rPr>
                <w:sz w:val="20"/>
                <w:szCs w:val="20"/>
                <w:color w:val="auto"/>
              </w:rPr>
            </w:pPr>
            <w:r>
              <w:rPr>
                <w:rFonts w:ascii="Times New Roman" w:cs="Times New Roman" w:eastAsia="Times New Roman" w:hAnsi="Times New Roman"/>
                <w:sz w:val="18"/>
                <w:szCs w:val="18"/>
                <w:b w:val="1"/>
                <w:bCs w:val="1"/>
                <w:color w:val="auto"/>
              </w:rPr>
              <w:t>001-39281</w:t>
            </w:r>
          </w:p>
        </w:tc>
        <w:tc>
          <w:tcPr>
            <w:tcW w:w="238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216"/>
        </w:trPr>
        <w:tc>
          <w:tcPr>
            <w:tcW w:w="350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7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(Commission File Number)</w:t>
            </w:r>
          </w:p>
        </w:tc>
        <w:tc>
          <w:tcPr>
            <w:tcW w:w="23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50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incorporation)</w:t>
            </w:r>
          </w:p>
        </w:tc>
        <w:tc>
          <w:tcPr>
            <w:tcW w:w="3700" w:type="dxa"/>
            <w:vAlign w:val="bottom"/>
          </w:tcPr>
          <w:p>
            <w:pPr>
              <w:spacing w:after="0"/>
              <w:rPr>
                <w:sz w:val="20"/>
                <w:szCs w:val="20"/>
                <w:color w:val="auto"/>
              </w:rPr>
            </w:pPr>
          </w:p>
        </w:tc>
        <w:tc>
          <w:tcPr>
            <w:tcW w:w="23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50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595 Howe Street, 10th Floor</w:t>
            </w:r>
          </w:p>
        </w:tc>
        <w:tc>
          <w:tcPr>
            <w:tcW w:w="370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20"/>
        </w:trPr>
        <w:tc>
          <w:tcPr>
            <w:tcW w:w="350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Vancouver, British Columbia</w:t>
            </w:r>
          </w:p>
        </w:tc>
        <w:tc>
          <w:tcPr>
            <w:tcW w:w="3700" w:type="dxa"/>
            <w:vAlign w:val="bottom"/>
          </w:tcPr>
          <w:p>
            <w:pPr>
              <w:spacing w:after="0"/>
              <w:rPr>
                <w:sz w:val="19"/>
                <w:szCs w:val="19"/>
                <w:color w:val="auto"/>
              </w:rPr>
            </w:pPr>
          </w:p>
        </w:tc>
        <w:tc>
          <w:tcPr>
            <w:tcW w:w="238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rPr>
              <w:t>V6C 2T5</w:t>
            </w:r>
          </w:p>
        </w:tc>
      </w:tr>
      <w:tr>
        <w:trPr>
          <w:trHeight w:val="234"/>
        </w:trPr>
        <w:tc>
          <w:tcPr>
            <w:tcW w:w="350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700" w:type="dxa"/>
            <w:vAlign w:val="bottom"/>
          </w:tcPr>
          <w:p>
            <w:pPr>
              <w:spacing w:after="0"/>
              <w:rPr>
                <w:sz w:val="20"/>
                <w:szCs w:val="20"/>
                <w:color w:val="auto"/>
              </w:rPr>
            </w:pPr>
          </w:p>
        </w:tc>
        <w:tc>
          <w:tcPr>
            <w:tcW w:w="238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(604) 631-3115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0"/>
          <w:szCs w:val="20"/>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w:t>
            </w:r>
          </w:p>
        </w:tc>
      </w:tr>
      <w:tr>
        <w:trPr>
          <w:trHeight w:val="238"/>
        </w:trPr>
        <w:tc>
          <w:tcPr>
            <w:tcW w:w="5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which registered</w:t>
            </w:r>
          </w:p>
        </w:tc>
      </w:tr>
      <w:tr>
        <w:trPr>
          <w:trHeight w:val="191"/>
        </w:trPr>
        <w:tc>
          <w:tcPr>
            <w:tcW w:w="50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TMC Common Shares without par value</w:t>
            </w:r>
          </w:p>
        </w:tc>
        <w:tc>
          <w:tcPr>
            <w:tcW w:w="120" w:type="dxa"/>
            <w:vAlign w:val="bottom"/>
          </w:tcPr>
          <w:p>
            <w:pPr>
              <w:spacing w:after="0"/>
              <w:rPr>
                <w:sz w:val="16"/>
                <w:szCs w:val="16"/>
                <w:color w:val="auto"/>
              </w:rPr>
            </w:pPr>
          </w:p>
        </w:tc>
        <w:tc>
          <w:tcPr>
            <w:tcW w:w="25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TMC</w:t>
            </w:r>
          </w:p>
        </w:tc>
        <w:tc>
          <w:tcPr>
            <w:tcW w:w="100" w:type="dxa"/>
            <w:vAlign w:val="bottom"/>
          </w:tcPr>
          <w:p>
            <w:pPr>
              <w:spacing w:after="0"/>
              <w:rPr>
                <w:sz w:val="16"/>
                <w:szCs w:val="16"/>
                <w:color w:val="auto"/>
              </w:rPr>
            </w:pPr>
          </w:p>
        </w:tc>
        <w:tc>
          <w:tcPr>
            <w:tcW w:w="33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5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Redeemable warrants, each whole warrant exercisable for one TMC</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TMCWW</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5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Common Share, each at an exercise price of $11.50 per share</w:t>
            </w: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spacing w:after="0"/>
              <w:rPr>
                <w:sz w:val="20"/>
                <w:szCs w:val="20"/>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0"/>
          <w:szCs w:val="20"/>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0"/>
          <w:szCs w:val="20"/>
          <w:color w:val="auto"/>
        </w:rPr>
      </w:pPr>
    </w:p>
    <w:p>
      <w:pPr>
        <w:jc w:val="both"/>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5, 2022, TMC the metals company Inc. (the “Company”) received a written notice from The Nasdaq Stock Market LLC (“Nasdaq”) notifying the Company that the average closing price of the Company’s common shares (the “Common Shares”) over the 30 consecutive trading days from October 21, 2022 through December 2, 2022 had fallen below $1.00 per share, which is the minimum closing bid price required to maintain listing on the Nasdaq Stock Market under Nasdaq Listing Rule 5450(a)(1) (the “Minimum Bid Requirement”).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Nasdaq Listing Rule 5810(c)(3)(A), the Company has 180 calendar days to regain compliance with the Minimum Bid Requirement (the “Grace Period”), subject to a potential 180 calendar day extension, as described below. To regain compliance, the closing bid price of the Company’s Common Shares must be at least $1.00 per share for a minimum of 10 consecutive business days within the Grace Period.</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the Company does not achieve compliance with the Minimum Bid Requirement by June 5, 2023, the end of the Grace Period, the Company may be eligible for an additional 180 calendar day period to regain compliance. To qualify, the Company would be required, among other things, to meet the continued listing requirement for the market value of its publicly held shares and all other Nasdaq initial listing standards, with the exception of the bid price requirement, and would need to provide written notice to Nasdaq of its intention and plan to cure the deficiency during the second compliance period by effecting a reverse stock split if necessary. However, if it appears to Nasdaq staff that the Company will not be able to cure the deficiency, or if the Company does not meet the other listing standards, Nasdaq could provide notice that the Company’s Common Shares will be subject to delisting. In the event the Company receives notice that its Common Shares are being delisted, the Company would be entitled to appeal the determination to a Nasdaq Listing Qualifications Panel and request a hearing.</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intends to actively monitor the closing bid price of its Common Shares and will evaluate available options to regain compliance with the Minimum Bid Requirement. The notice has no immediate effect on the listing or trading of the Company’s Common Shares, which will continue to be listed and traded on the Nasdaq Stock Market, subject to the Company’s compliance with the other Nasdaq listing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6, 2022</w:t>
            </w: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/s/ Gerard Barron</w:t>
            </w:r>
          </w:p>
        </w:tc>
      </w:tr>
      <w:tr>
        <w:trPr>
          <w:trHeight w:val="178"/>
        </w:trPr>
        <w:tc>
          <w:tcPr>
            <w:tcW w:w="3700" w:type="dxa"/>
            <w:vAlign w:val="bottom"/>
          </w:tcPr>
          <w:p>
            <w:pPr>
              <w:spacing w:after="0"/>
              <w:rPr>
                <w:sz w:val="15"/>
                <w:szCs w:val="15"/>
                <w:color w:val="auto"/>
              </w:rPr>
            </w:pPr>
          </w:p>
        </w:tc>
        <w:tc>
          <w:tcPr>
            <w:tcW w:w="2380" w:type="dxa"/>
            <w:vAlign w:val="bottom"/>
          </w:tcPr>
          <w:p>
            <w:pPr>
              <w:ind w:left="1940"/>
              <w:spacing w:after="0" w:line="177" w:lineRule="exact"/>
              <w:rPr>
                <w:sz w:val="20"/>
                <w:szCs w:val="20"/>
                <w:color w:val="auto"/>
              </w:rPr>
            </w:pPr>
            <w:r>
              <w:rPr>
                <w:rFonts w:ascii="Times New Roman" w:cs="Times New Roman" w:eastAsia="Times New Roman" w:hAnsi="Times New Roman"/>
                <w:sz w:val="18"/>
                <w:szCs w:val="18"/>
                <w:color w:val="auto"/>
                <w:w w:val="87"/>
              </w:rPr>
              <w:t>Name:</w:t>
            </w:r>
          </w:p>
        </w:tc>
        <w:tc>
          <w:tcPr>
            <w:tcW w:w="5160" w:type="dxa"/>
            <w:vAlign w:val="bottom"/>
            <w:tcBorders>
              <w:top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Gerard Barron</w:t>
            </w:r>
          </w:p>
        </w:tc>
      </w:tr>
      <w:tr>
        <w:trPr>
          <w:trHeight w:val="234"/>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675"/>
        </w:trPr>
        <w:tc>
          <w:tcPr>
            <w:tcW w:w="37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Roman"/>
      <w:start w:val="4"/>
    </w:lvl>
  </w:abstractNum>
  <w:abstractNum w:abstractNumId="1">
    <w:nsid w:val="74B0DC51"/>
    <w:multiLevelType w:val="hybridMultilevel"/>
    <w:lvl w:ilvl="0">
      <w:lvlJc w:val="left"/>
      <w:lvlText w:val="(%1)"/>
      <w:numFmt w:val="lowerRoman"/>
      <w:start w:val="6"/>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2022-12-06T08:02:21Z</dcterms:created>
  <dcterms:modified xsi:type="dcterms:W3CDTF">2022-12-06T08:02:21Z</dcterms:modified>
</cp:coreProperties>
</file>