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333-267479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October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142875</wp:posOffset>
            </wp:positionV>
            <wp:extent cx="2614295" cy="925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$30,000,000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3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an At-The-Market Equity Distribution Agreement, or the Distribution Agreement, with Stifel, Nicolaus &amp; Company, Incorporated and Wedbush Securities Inc., as Sales Agents, relating to the sale of our common shares offered by this prospectus supplement. In accordance with the terms of the Distribution Agreement, under this prospectus supplement we may offer and sell our common shares, without par value, having an aggregate offering price of up to $30,000,000 from time to time through the Sales Agents.</w:t>
      </w:r>
    </w:p>
    <w:p>
      <w:pPr>
        <w:spacing w:after="0" w:line="112"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of our common shares under this prospectus supplement, if any, may be made by any method deemed to be an “at the market offering” as defined in Rule 415(a)(4) promulgated under the Securities Act of 1933, as amended, or the Securities Act, including block trades and sales made in ordinary brokers’ transactions on the Nasdaq Global Select Market, or Nasdaq, or otherwise at market prices prevailing at the time of the sale, at prices related to prevailing market prices or at negotiated prices. The Sales Agents are not required to sell any specific number or dollar amount of common shares. Each of the Sales Agents has agreed to use its commercially reasonable efforts to sell on our behalf all of the common shares requested to be sold by us, consistent with its normal trading and sales practices, on mutually agreed terms among the Sales Agents and us. There is no arrangement for funds to be received in any escrow, trust or similar arrangement. We also may sell shares to each of the Sales Agents as principal for their own accounts, at a price agreed upon at the time of sale. If we sell shares to the Sales Agents as principal, we will enter into a separate terms agreement with the Sales Agents setting forth the terms of such transaction, and we will describe this agreement in a separate pricing supplement.</w:t>
      </w:r>
    </w:p>
    <w:p>
      <w:pPr>
        <w:spacing w:after="0" w:line="121"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Sales Agents will be entitled to compensation under the terms of the Distribution Agreement at a commission rate equal to up to 3.0% of the gross sales price per share sold. In connection with the sale of common shares on our behalf, each of the Sales Agents will be deemed to be an “underwriter” within the meaning of the Securities Act, and the compensation of the Sales Agents will be deemed to be underwriting commissions or discounts. We have agreed to provide indemnification and contribution to the Sales Agents with respect to certain liabilities, including liabilities under the Securities Act.</w:t>
      </w:r>
    </w:p>
    <w:p>
      <w:pPr>
        <w:spacing w:after="0" w:line="116"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offering of common shares pursuant to the Distribution Agreement will terminate upon the earlier of (1) the sale of common shares having an aggregate sales price of $30,000,000, (2) the expiration date of the registration statement of which this prospectus supplement is a part and (3) the termination by us or the Sales Agents of the Distribution Agreement pursuant to its terms. See “Plan of Distribution.”</w:t>
      </w:r>
    </w:p>
    <w:p>
      <w:pPr>
        <w:spacing w:after="0" w:line="108"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net proceeds from any sales under this prospectus supplement will be used as described under the section entitled “Use of Proceeds.” See “Plan of Distribution” for additional information regarding compensation to be paid to the Sales Agents. The proceeds we receive from sales of our common shares, if any, will depend on the number of shares actually sold and the offering price of such shares.</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shares and publicly listed warrants to purchase common shares, or the Public Warrants, are listed on Nasdaq under the symbol “TMC” and “TMCWW”, respectively. On December 21, 2022, the closing price of our common shares was $0.60 and the closing price for our Public Warrants was $0.0501.</w:t>
      </w:r>
    </w:p>
    <w:p>
      <w:pPr>
        <w:spacing w:after="0" w:line="108"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“smaller reporting company” under the federal securities laws and, as such, are subject to reduced public company reporting requirements. See “Prospectus Summary—Implications of Being an Emerging Growth Company and Smaller Reporting Company.”</w:t>
      </w:r>
    </w:p>
    <w:p>
      <w:pPr>
        <w:spacing w:after="0" w:line="104" w:lineRule="exact"/>
        <w:rPr>
          <w:sz w:val="24"/>
          <w:szCs w:val="24"/>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shares involves a high degree of risk. See “Risk Factors” beginning on page S-8 of this prospectus supplement and page 5 of the accompanying prospectus and in the other documents that are incorporated by reference in this prospectus supplement.</w:t>
      </w:r>
    </w:p>
    <w:p>
      <w:pPr>
        <w:spacing w:after="0" w:line="87"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8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securities offered by this prospectus supplement have not been qualified for distribution in Canada and may not be offered or sold in</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35" w:lineRule="exact"/>
        <w:rPr>
          <w:sz w:val="24"/>
          <w:szCs w:val="24"/>
          <w:color w:val="auto"/>
        </w:rPr>
      </w:pPr>
    </w:p>
    <w:p>
      <w:pPr>
        <w:ind w:left="2620"/>
        <w:spacing w:after="0"/>
        <w:tabs>
          <w:tab w:leader="none" w:pos="7660" w:val="left"/>
        </w:tabs>
        <w:rPr>
          <w:sz w:val="20"/>
          <w:szCs w:val="20"/>
          <w:color w:val="auto"/>
        </w:rPr>
      </w:pPr>
      <w:r>
        <w:rPr>
          <w:rFonts w:ascii="Times New Roman" w:cs="Times New Roman" w:eastAsia="Times New Roman" w:hAnsi="Times New Roman"/>
          <w:sz w:val="18"/>
          <w:szCs w:val="18"/>
          <w:b w:val="1"/>
          <w:bCs w:val="1"/>
          <w:color w:val="auto"/>
        </w:rPr>
        <w:t>Stifel</w:t>
      </w:r>
      <w:r>
        <w:rPr>
          <w:sz w:val="20"/>
          <w:szCs w:val="20"/>
          <w:color w:val="auto"/>
        </w:rPr>
        <w:tab/>
      </w:r>
      <w:r>
        <w:rPr>
          <w:rFonts w:ascii="Times New Roman" w:cs="Times New Roman" w:eastAsia="Times New Roman" w:hAnsi="Times New Roman"/>
          <w:sz w:val="18"/>
          <w:szCs w:val="18"/>
          <w:b w:val="1"/>
          <w:bCs w:val="1"/>
          <w:color w:val="auto"/>
        </w:rPr>
        <w:t>Wedbush Securities</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December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gridSpan w:val="10"/>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20" w:type="dxa"/>
            <w:vAlign w:val="bottom"/>
            <w:gridSpan w:val="11"/>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20" w:type="dxa"/>
            <w:vAlign w:val="bottom"/>
            <w:gridSpan w:val="7"/>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Page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ABOUT THIS PROSPECTUS SUPPLEMENT</w:t>
            </w:r>
          </w:p>
        </w:tc>
        <w:tc>
          <w:tcPr>
            <w:tcW w:w="6180" w:type="dxa"/>
            <w:vAlign w:val="bottom"/>
            <w:gridSpan w:val="14"/>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rPr>
              <w:t>S-1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6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PROSPECTUS SUPPLEMENT SUMMARY</w:t>
            </w:r>
          </w:p>
        </w:tc>
        <w:tc>
          <w:tcPr>
            <w:tcW w:w="6180" w:type="dxa"/>
            <w:vAlign w:val="bottom"/>
            <w:gridSpan w:val="14"/>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rPr>
              <w:t>S-2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THE OFFERING</w:t>
            </w: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rPr>
              <w:t>S-7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8440" w:type="dxa"/>
            <w:vAlign w:val="bottom"/>
            <w:gridSpan w:val="25"/>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rPr>
              <w:t>S-8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SPECIAL NOTE REGARDING FORWARD-LOOKING STATEMENTS</w:t>
            </w: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w w:val="93"/>
              </w:rPr>
              <w:t>S-11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66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4160" w:type="dxa"/>
            <w:vAlign w:val="bottom"/>
            <w:gridSpan w:val="5"/>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w w:val="93"/>
              </w:rPr>
              <w:t>S-14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DILUTION</w:t>
            </w:r>
          </w:p>
        </w:tc>
        <w:tc>
          <w:tcPr>
            <w:tcW w:w="8900" w:type="dxa"/>
            <w:vAlign w:val="bottom"/>
            <w:tcBorders>
              <w:bottom w:val="single" w:sz="8" w:color="CCEEFF"/>
            </w:tcBorders>
            <w:gridSpan w:val="27"/>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w w:val="93"/>
              </w:rPr>
              <w:t>S-15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w w:val="93"/>
              </w:rPr>
              <w:t>S-17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LEGAL MATTERS</w:t>
            </w:r>
          </w:p>
        </w:tc>
        <w:tc>
          <w:tcPr>
            <w:tcW w:w="8260" w:type="dxa"/>
            <w:vAlign w:val="bottom"/>
            <w:tcBorders>
              <w:bottom w:val="single" w:sz="8" w:color="CCEEFF"/>
            </w:tcBorders>
            <w:gridSpan w:val="24"/>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w w:val="93"/>
              </w:rPr>
              <w:t>S-24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EXPERTS</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w w:val="93"/>
              </w:rPr>
              <w:t>S-25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WHERE YOU CAN FIND MORE INFORMATION</w:t>
            </w:r>
          </w:p>
        </w:tc>
        <w:tc>
          <w:tcPr>
            <w:tcW w:w="5780" w:type="dxa"/>
            <w:vAlign w:val="bottom"/>
            <w:tcBorders>
              <w:bottom w:val="single" w:sz="8" w:color="CCEEFF"/>
            </w:tcBorders>
            <w:gridSpan w:val="12"/>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w w:val="93"/>
              </w:rPr>
              <w:t>S-26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540" w:type="dxa"/>
            <w:vAlign w:val="bottom"/>
            <w:tcBorders>
              <w:bottom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INCORPORATION OF CERTAIN INFORMATION BY REFERENCE</w:t>
            </w:r>
          </w:p>
        </w:tc>
        <w:tc>
          <w:tcPr>
            <w:tcW w:w="4280" w:type="dxa"/>
            <w:vAlign w:val="bottom"/>
            <w:gridSpan w:val="6"/>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0000EE"/>
            </w:tcBorders>
            <w:gridSpan w:val="5"/>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w w:val="93"/>
              </w:rPr>
              <w:t>S-27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0" w:type="dxa"/>
            <w:vAlign w:val="bottom"/>
            <w:gridSpan w:val="9"/>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3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ABOUT THIS PROSPECTUS</w:t>
            </w:r>
          </w:p>
        </w:tc>
        <w:tc>
          <w:tcPr>
            <w:tcW w:w="7460" w:type="dxa"/>
            <w:vAlign w:val="bottom"/>
            <w:gridSpan w:val="19"/>
            <w:shd w:val="clear" w:color="auto" w:fill="CCEEFF"/>
          </w:tcPr>
          <w:p>
            <w:pPr>
              <w:spacing w:after="0"/>
              <w:rPr>
                <w:sz w:val="15"/>
                <w:szCs w:val="15"/>
                <w:color w:val="auto"/>
              </w:rPr>
            </w:pPr>
          </w:p>
        </w:tc>
        <w:tc>
          <w:tcPr>
            <w:tcW w:w="1420" w:type="dxa"/>
            <w:vAlign w:val="bottom"/>
            <w:gridSpan w:val="7"/>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6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PROSPECTUS SUMMARY</w:t>
            </w:r>
          </w:p>
        </w:tc>
        <w:tc>
          <w:tcPr>
            <w:tcW w:w="7460" w:type="dxa"/>
            <w:vAlign w:val="bottom"/>
            <w:gridSpan w:val="19"/>
          </w:tcPr>
          <w:p>
            <w:pPr>
              <w:spacing w:after="0"/>
              <w:rPr>
                <w:sz w:val="15"/>
                <w:szCs w:val="15"/>
                <w:color w:val="auto"/>
              </w:rPr>
            </w:pPr>
          </w:p>
        </w:tc>
        <w:tc>
          <w:tcPr>
            <w:tcW w:w="1420" w:type="dxa"/>
            <w:vAlign w:val="bottom"/>
            <w:gridSpan w:val="7"/>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3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8480" w:type="dxa"/>
            <w:vAlign w:val="bottom"/>
            <w:gridSpan w:val="26"/>
            <w:shd w:val="clear" w:color="auto" w:fill="CCEEFF"/>
          </w:tcPr>
          <w:p>
            <w:pPr>
              <w:spacing w:after="0"/>
              <w:rPr>
                <w:sz w:val="15"/>
                <w:szCs w:val="15"/>
                <w:color w:val="auto"/>
              </w:rPr>
            </w:pPr>
          </w:p>
        </w:tc>
        <w:tc>
          <w:tcPr>
            <w:tcW w:w="1420" w:type="dxa"/>
            <w:vAlign w:val="bottom"/>
            <w:gridSpan w:val="7"/>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SPECIAL NOTE REGARDING FORWARD-LOOKING STATEMENTS</w:t>
            </w:r>
          </w:p>
        </w:tc>
        <w:tc>
          <w:tcPr>
            <w:tcW w:w="1420" w:type="dxa"/>
            <w:vAlign w:val="bottom"/>
            <w:gridSpan w:val="7"/>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USE OF PROCEEDS</w:t>
            </w:r>
          </w:p>
        </w:tc>
        <w:tc>
          <w:tcPr>
            <w:tcW w:w="8140" w:type="dxa"/>
            <w:vAlign w:val="bottom"/>
            <w:gridSpan w:val="23"/>
            <w:shd w:val="clear" w:color="auto" w:fill="CCEEFF"/>
          </w:tcPr>
          <w:p>
            <w:pPr>
              <w:spacing w:after="0"/>
              <w:rPr>
                <w:sz w:val="15"/>
                <w:szCs w:val="15"/>
                <w:color w:val="auto"/>
              </w:rPr>
            </w:pPr>
          </w:p>
        </w:tc>
        <w:tc>
          <w:tcPr>
            <w:tcW w:w="1420" w:type="dxa"/>
            <w:vAlign w:val="bottom"/>
            <w:gridSpan w:val="7"/>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SELLING SHAREHOLDERS</w:t>
            </w:r>
          </w:p>
        </w:tc>
        <w:tc>
          <w:tcPr>
            <w:tcW w:w="1420" w:type="dxa"/>
            <w:vAlign w:val="bottom"/>
            <w:gridSpan w:val="7"/>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1420" w:type="dxa"/>
            <w:vAlign w:val="bottom"/>
            <w:gridSpan w:val="7"/>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rPr>
              <w:t>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COMMON SHARES AND SPECIAL SHARES</w:t>
            </w:r>
          </w:p>
        </w:tc>
        <w:tc>
          <w:tcPr>
            <w:tcW w:w="1420" w:type="dxa"/>
            <w:vAlign w:val="bottom"/>
            <w:gridSpan w:val="7"/>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PREFERRED SHARES</w:t>
            </w:r>
          </w:p>
        </w:tc>
        <w:tc>
          <w:tcPr>
            <w:tcW w:w="1420" w:type="dxa"/>
            <w:vAlign w:val="bottom"/>
            <w:gridSpan w:val="7"/>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6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DEBT SECURITIES</w:t>
            </w:r>
          </w:p>
        </w:tc>
        <w:tc>
          <w:tcPr>
            <w:tcW w:w="6360" w:type="dxa"/>
            <w:vAlign w:val="bottom"/>
            <w:tcBorders>
              <w:top w:val="single" w:sz="8" w:color="CCEEFF"/>
            </w:tcBorders>
            <w:gridSpan w:val="16"/>
          </w:tcPr>
          <w:p>
            <w:pPr>
              <w:spacing w:after="0"/>
              <w:rPr>
                <w:sz w:val="15"/>
                <w:szCs w:val="15"/>
                <w:color w:val="auto"/>
              </w:rPr>
            </w:pPr>
          </w:p>
        </w:tc>
        <w:tc>
          <w:tcPr>
            <w:tcW w:w="1240" w:type="dxa"/>
            <w:vAlign w:val="bottom"/>
            <w:tcBorders>
              <w:top w:val="single" w:sz="8" w:color="CCEEFF"/>
            </w:tcBorders>
            <w:gridSpan w:val="5"/>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w w:val="88"/>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WARRANTS</w:t>
            </w:r>
          </w:p>
        </w:tc>
        <w:tc>
          <w:tcPr>
            <w:tcW w:w="1420" w:type="dxa"/>
            <w:vAlign w:val="bottom"/>
            <w:gridSpan w:val="7"/>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62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UNITS</w:t>
            </w:r>
          </w:p>
        </w:tc>
        <w:tc>
          <w:tcPr>
            <w:tcW w:w="7200" w:type="dxa"/>
            <w:vAlign w:val="bottom"/>
            <w:tcBorders>
              <w:top w:val="single" w:sz="8" w:color="CCEEFF"/>
            </w:tcBorders>
            <w:gridSpan w:val="18"/>
          </w:tcPr>
          <w:p>
            <w:pPr>
              <w:spacing w:after="0"/>
              <w:rPr>
                <w:sz w:val="15"/>
                <w:szCs w:val="15"/>
                <w:color w:val="auto"/>
              </w:rPr>
            </w:pPr>
          </w:p>
        </w:tc>
        <w:tc>
          <w:tcPr>
            <w:tcW w:w="1240" w:type="dxa"/>
            <w:vAlign w:val="bottom"/>
            <w:tcBorders>
              <w:top w:val="single" w:sz="8" w:color="CCEEFF"/>
            </w:tcBorders>
            <w:gridSpan w:val="5"/>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w w:val="88"/>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CERTAIN IMPORTANT PROVISIONS OF THE NOTICE OF ARTICLES AND ARTICLES AND THE BCBCA</w:t>
            </w:r>
          </w:p>
        </w:tc>
        <w:tc>
          <w:tcPr>
            <w:tcW w:w="1420" w:type="dxa"/>
            <w:vAlign w:val="bottom"/>
            <w:gridSpan w:val="7"/>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780" w:type="dxa"/>
            <w:vAlign w:val="bottom"/>
            <w:tcBorders>
              <w:top w:val="single" w:sz="8" w:color="0000EE"/>
            </w:tcBorders>
            <w:gridSpan w:val="28"/>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OWNERSHIP AND EXCHANGE CONTROLS</w:t>
            </w:r>
          </w:p>
        </w:tc>
        <w:tc>
          <w:tcPr>
            <w:tcW w:w="104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gridSpan w:val="5"/>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w w:val="88"/>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MATERIAL U.S. FEDERAL INCOME TAX CONSIDERATIONS</w:t>
            </w:r>
          </w:p>
        </w:tc>
        <w:tc>
          <w:tcPr>
            <w:tcW w:w="1420" w:type="dxa"/>
            <w:vAlign w:val="bottom"/>
            <w:gridSpan w:val="7"/>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MATERIAL CANADIAN FEDERAL INCOME TAX CONSIDERATIONS</w:t>
            </w:r>
          </w:p>
        </w:tc>
        <w:tc>
          <w:tcPr>
            <w:tcW w:w="1420" w:type="dxa"/>
            <w:vAlign w:val="bottom"/>
            <w:gridSpan w:val="7"/>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rPr>
              <w:t>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LEGAL MATTERS</w:t>
            </w:r>
          </w:p>
        </w:tc>
        <w:tc>
          <w:tcPr>
            <w:tcW w:w="8260" w:type="dxa"/>
            <w:vAlign w:val="bottom"/>
            <w:tcBorders>
              <w:bottom w:val="single" w:sz="8" w:color="CCEEFF"/>
            </w:tcBorders>
            <w:gridSpan w:val="24"/>
            <w:shd w:val="clear" w:color="auto" w:fill="CCEEFF"/>
          </w:tcPr>
          <w:p>
            <w:pPr>
              <w:spacing w:after="0"/>
              <w:rPr>
                <w:sz w:val="17"/>
                <w:szCs w:val="17"/>
                <w:color w:val="auto"/>
              </w:rPr>
            </w:pPr>
          </w:p>
        </w:tc>
        <w:tc>
          <w:tcPr>
            <w:tcW w:w="1240" w:type="dxa"/>
            <w:vAlign w:val="bottom"/>
            <w:tcBorders>
              <w:bottom w:val="single" w:sz="8" w:color="CCEEFF"/>
            </w:tcBorders>
            <w:gridSpan w:val="5"/>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w w:val="88"/>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EXPERTS</w:t>
            </w:r>
          </w:p>
        </w:tc>
        <w:tc>
          <w:tcPr>
            <w:tcW w:w="1420" w:type="dxa"/>
            <w:vAlign w:val="bottom"/>
            <w:gridSpan w:val="7"/>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WHERE YOU CAN FIND MORE INFORMATION</w:t>
            </w:r>
          </w:p>
        </w:tc>
        <w:tc>
          <w:tcPr>
            <w:tcW w:w="5780" w:type="dxa"/>
            <w:vAlign w:val="bottom"/>
            <w:tcBorders>
              <w:bottom w:val="single" w:sz="8" w:color="CCEEFF"/>
            </w:tcBorders>
            <w:gridSpan w:val="12"/>
            <w:shd w:val="clear" w:color="auto" w:fill="CCEEFF"/>
          </w:tcPr>
          <w:p>
            <w:pPr>
              <w:spacing w:after="0"/>
              <w:rPr>
                <w:sz w:val="17"/>
                <w:szCs w:val="17"/>
                <w:color w:val="auto"/>
              </w:rPr>
            </w:pPr>
          </w:p>
        </w:tc>
        <w:tc>
          <w:tcPr>
            <w:tcW w:w="1240" w:type="dxa"/>
            <w:vAlign w:val="bottom"/>
            <w:tcBorders>
              <w:bottom w:val="single" w:sz="8" w:color="CCEEFF"/>
            </w:tcBorders>
            <w:gridSpan w:val="5"/>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w w:val="88"/>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INCORPORATION OF DOCUMENTS BY REFERENCE</w:t>
            </w:r>
          </w:p>
        </w:tc>
        <w:tc>
          <w:tcPr>
            <w:tcW w:w="1420" w:type="dxa"/>
            <w:vAlign w:val="bottom"/>
            <w:gridSpan w:val="7"/>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EE"/>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-5065395</wp:posOffset>
            </wp:positionV>
            <wp:extent cx="7132320" cy="283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(File No. 333-267479) that we filed with the Securities and Exchange Commission, or SEC, on September 16, 2022, as amended, that was declared effective by the SEC on October 14, 2022. This document is in two parts. The first part is this prospectus supplement, which describes the specific terms of the offering and also adds to and updates information contained in the accompanying prospectus and the documents incorporated by reference into this prospectus supplement and the accompanying prospectus. The second part, the accompanying prospectus dated October 14, 2022, including the documents incorporated by reference therein, provides more general information.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 You should read this prospectus supplement and the accompanying prospectus, including the information incorporated by reference and any free writing prospectus that we have authorized for use in connection with this offering, in their entirety before making an investment decision.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supplement and the accompanying prospectus, along with the information contained in any free writing prospectus that we have authorized for use in connection with this offering. If the description of the offering varies between this prospectus supplement and the accompanying prospectus, you should rely on the information in this prospectus supplement. We have not, and Stifel, Nicolaus &amp; Company, Incorporated and Wedbush Securities Inc. have not, authorized anyone to provide you with different or additional information. You should assume that the information appearing in this prospectus supplement, the accompanying prospectus, the documents incorporated by reference in this prospectus supplement and the accompanying prospectus, and in any free writing prospectus that we have authorized for use in connection with this offering is accurate only as of the respective dates of those documents. Our business, financial condition, results of operations and prospects may have changed since those dates.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and covenants were accurate only as of the date when made; therefore, such representations, warranties and covenants should not be relied on as accurate representations of the current state of our affairs.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Company,” “we,” “us,” “our” and similar terms refer to TMC the metals company Inc. and our subsidiaries.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includes trademarks, service marks and trade names owned by us or other companies. All trademarks, service marks and trade names included or incorporated by reference into this prospectus supplement or the accompanying prospectus are the property of their respective owners.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5379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37908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is a summary of what we believe to be the most important aspects of our business and the offering of our common shares under this prospectus supplement. We urge you to read this entire prospectus supplement, the accompanying prospectus, including the more detailed consolidated financial statements, notes to the consolidated financial statements and other information incorporated by reference from our other filings with the SEC. Investing in our common shares involves risks. Therefore, carefully consider the risk factors set forth in our most recent annual, quarterly and other filings with the SEC, as well as other information in this prospectus supplement and the accompanying prospectus and the documents incorporated by reference herein or therein, before purchasing our common shares. Each of the risk factors could adversely affect our business, operating results and financial condition, as well as adversely affect the value of an investment in our common shares.</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TMC the metals company Inc.</w:t>
      </w:r>
    </w:p>
    <w:p>
      <w:pPr>
        <w:spacing w:after="0" w:line="229" w:lineRule="exact"/>
        <w:rPr>
          <w:sz w:val="20"/>
          <w:szCs w:val="20"/>
          <w:color w:val="auto"/>
        </w:rPr>
      </w:pPr>
    </w:p>
    <w:p>
      <w:pPr>
        <w:jc w:val="both"/>
        <w:ind w:left="4" w:right="20" w:firstLine="648"/>
        <w:spacing w:after="0" w:line="258"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and processing of polymetallic nodules found on the seafloor in international waters of the Clarion Clipperton Zone, or the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spacing w:after="0" w:line="183" w:lineRule="exact"/>
        <w:rPr>
          <w:sz w:val="20"/>
          <w:szCs w:val="20"/>
          <w:color w:val="auto"/>
        </w:rPr>
      </w:pPr>
    </w:p>
    <w:p>
      <w:pPr>
        <w:jc w:val="both"/>
        <w:ind w:left="4" w:right="20" w:firstLine="648"/>
        <w:spacing w:after="0" w:line="254"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or intermediate nickel-copper-cobalt matte) for electric vehicles, or EVs, and renewable energy storage markets, (ii) nickel-copper-cobalt matte and/or copper cathode for EV wiring, clean energy transmission and other applications and</w:t>
      </w:r>
    </w:p>
    <w:p>
      <w:pPr>
        <w:spacing w:after="0" w:line="3" w:lineRule="exact"/>
        <w:rPr>
          <w:sz w:val="20"/>
          <w:szCs w:val="20"/>
          <w:color w:val="auto"/>
        </w:rPr>
      </w:pPr>
    </w:p>
    <w:p>
      <w:pPr>
        <w:jc w:val="both"/>
        <w:ind w:left="4" w:hanging="4"/>
        <w:spacing w:after="0" w:line="255" w:lineRule="auto"/>
        <w:tabs>
          <w:tab w:leader="none" w:pos="32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manganese silicate for manganese alloy production required for steel production. Our mission is to build a carefully managed shared stock of metal, which we refer to as a metals common, that can be used, recovered and reused for generations to come. Significant quantities of newly mined metal are required because existing metal stocks are insufficient to meet rapidly rising demand.</w:t>
      </w:r>
    </w:p>
    <w:p>
      <w:pPr>
        <w:spacing w:after="0" w:line="186"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or the ISA, an intergovernmental organization established pursuant to the 1994 Agreement Relating to the Implementation of the United Nations Convention on the Law of the Sea, or UNCLOS. The ISA grants contracts to sovereign states or to private contractors who are sponsored by a sovereign state. The ISA requires that a contractor obtains and maintains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two based on the ISA exploration contracts through our subsidiaries Nauru Ocean Resources Inc., or NORI, and Tonga Offshore Mining Limited, or TOML, sponsored by the Republic of Nauru and the Kingdom of Tonga, respectively, and exclusive commercial rights through our subsidiary, DeepGreen Engineering Pte. Ltd.’s, arrangement with Marawa Research and Exploration Limited, a company owned and sponsored by the Republic of Kiribati.</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4"/>
          </w:cols>
          <w:pgMar w:left="436" w:top="914" w:right="439" w:bottom="1440" w:gutter="0" w:footer="0" w:header="0"/>
        </w:sectPr>
      </w:pPr>
    </w:p>
    <w:bookmarkStart w:id="4" w:name="page5"/>
    <w:bookmarkEnd w:id="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46932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4693285"/>
                    </a:xfrm>
                    <a:prstGeom prst="rect">
                      <a:avLst/>
                    </a:prstGeom>
                    <a:noFill/>
                  </pic:spPr>
                </pic:pic>
              </a:graphicData>
            </a:graphic>
          </wp:anchor>
        </w:drawing>
        <w:t>We have key strategic alliances with (i) Allseas Group S.A., a leading global offshore contractor, which developed a pilot collection system, which is expected to be modified into an initial smaller scale commercial production system and serve as the basis for the design of a full-scale commercial production system and (ii) Glencore International AG, or Glencore, which holds offtake rights to 50% of nickel and copper production from the NORI area. In addition, we have worked with an engineering firm Hatch Ltd. and consultants Kingston Process Metallurgy Inc. to develop a near-zero solid waste flowsheet. The pyrometallurgical stages of the flowsheet were tested as part of our pilot plant program at FLSmidth &amp; Co. A/S’s and XPS Solutions’ (a Glencore subsidiary) facilities and bench-scale hydrometallurgical refining work is being carried out at SGS SA. The near-zero solid waste flowsheet provides a design that is expected to serve as the basis for our onshore processing facilities. In March 2022, we entered into a non-binding memorandum of understanding with Epsilon Carbon Pvt, LTD., or Epsilon Carbon, in which Epsilon Carbon expressed its intent to conduct pre-feasibility work to potentially finance, engineer, permit, construct and operate a commercial polymetallic nodule processing plant in India.</w:t>
      </w:r>
    </w:p>
    <w:p>
      <w:pPr>
        <w:spacing w:after="0" w:line="188"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currently focused on applying for our first exploitation contract from the ISA on the NORI Area D contract area and, subject to regulatory review and approval by the ISA, intend to start commercial production in 2024. To reach our objective, we are: (i) defining our resource and project economics, (ii) developing and testing an offshore nodule collection system, (iii) assessing the environmental, social and governance impacts of offshore nodule collection, and (iv) developing and testing onshore technology and system to process collected polymetallic nodules into a manganese silicate product, and an intermediate nickel-copper-cobalt matte product and/or end-products like nickel and cobalt sulfates, and copper cathode. We will need additional funding to reach our expected commercial production in 2024.</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Statements Regarding the NORI Initial Assessment and TOML Mineral Resource Statement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estimated the size and quality of our resource in the NORI and TOML contracted areas in our SEC Regulation S-K (subpart 1300), referred to herein as the SEC Mining Rules, compliant Technical Report Summary - Initial Assessment, of the NORI Property, Clarion-Clipperton Zone, Pacific Ocean dated March 17, 2021, or the NORI Initial Assessment, and Technical Report Summary - TOML Mineral Resource, Clarion - Clipperton Zone, Pacific Ocean dated March 26, 2021, or the TOML Mineral Resource Statement, respectively, prepared by AMC Consultants Ltd., or AMC, each of which is filed as an exhibit to the registration statement to which this prospectus supplement forms a part. We plan to continue to refine our resource estimate for the NORI and TOML areas and better resolve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40" w:top="918" w:right="439" w:bottom="1440" w:gutter="0" w:footer="0" w:header="0"/>
        </w:sectPr>
      </w:pPr>
    </w:p>
    <w:bookmarkStart w:id="5" w:name="page6"/>
    <w:bookmarkEnd w:id="5"/>
    <w:p>
      <w:pPr>
        <w:ind w:left="6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4993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4993005"/>
                    </a:xfrm>
                    <a:prstGeom prst="rect">
                      <a:avLst/>
                    </a:prstGeom>
                    <a:noFill/>
                  </pic:spPr>
                </pic:pic>
              </a:graphicData>
            </a:graphic>
          </wp:anchor>
        </w:drawing>
        <w:t>The NORI Initial Assessment and TOML Mineral Resource Statement do not include the conversion of mineral resources to mineral reserves.</w:t>
      </w:r>
    </w:p>
    <w:p>
      <w:pPr>
        <w:spacing w:after="0" w:line="225" w:lineRule="exact"/>
        <w:rPr>
          <w:sz w:val="20"/>
          <w:szCs w:val="20"/>
          <w:color w:val="auto"/>
        </w:rPr>
      </w:pPr>
    </w:p>
    <w:p>
      <w:pPr>
        <w:jc w:val="both"/>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As used in this prospectus supplement or in the applicable report summary, the terms “mineral resource,” “measured mineral resource,” “indicated mineral resource” and “inferred mineral resource”, as applicable, are defined and used in accordance with the SEC Mining Rules.</w:t>
      </w:r>
    </w:p>
    <w:p>
      <w:pPr>
        <w:spacing w:after="0" w:line="162"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prospectus supplement includes information that has been prepared in accordance with the requirements of the SEC Mining Rules.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9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Likewise, you are cautioned not to assume that all or any part of measured or indicated mineral resources will ever be upgraded to mineral</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reserves.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Our Corporate Information</w:t>
      </w:r>
    </w:p>
    <w:p>
      <w:pPr>
        <w:spacing w:after="0" w:line="229" w:lineRule="exact"/>
        <w:rPr>
          <w:sz w:val="20"/>
          <w:szCs w:val="20"/>
          <w:color w:val="auto"/>
        </w:rPr>
      </w:pPr>
    </w:p>
    <w:p>
      <w:pPr>
        <w:jc w:val="both"/>
        <w:ind w:left="4" w:right="20" w:firstLine="648"/>
        <w:spacing w:after="0" w:line="237" w:lineRule="auto"/>
        <w:rPr>
          <w:sz w:val="20"/>
          <w:szCs w:val="20"/>
          <w:color w:val="auto"/>
        </w:rPr>
      </w:pPr>
      <w:r>
        <w:rPr>
          <w:rFonts w:ascii="Times New Roman" w:cs="Times New Roman" w:eastAsia="Times New Roman" w:hAnsi="Times New Roman"/>
          <w:sz w:val="18"/>
          <w:szCs w:val="18"/>
          <w:color w:val="auto"/>
        </w:rPr>
        <w:t xml:space="preserve">The Company was originally known as Sustainable Opportunities Acquisition Corp., or SOAC. On September 9, 2021, or the Closing Date, we consummated a business combination, or the Business Combination, pursuant to the terms of the business combination agreement, or the Business Combination Agreement, dated as of March 4, 2021, by and among SOAC, 1291924 B.C. Unlimited Liability Company, an unlimited liability company existing under the laws of British Columbia, Canada, and DeepGreen Metals Inc., a company existing under the laws of British Columbia, Canada, or DeepGreen. In connection with the closing of the Business Combination, or the Closing, SOAC changed its name to “TMC the metals company Inc.” </w:t>
      </w:r>
      <w:r>
        <w:rPr>
          <w:rFonts w:ascii="Times New Roman" w:cs="Times New Roman" w:eastAsia="Times New Roman" w:hAnsi="Times New Roman"/>
          <w:sz w:val="18"/>
          <w:szCs w:val="18"/>
          <w:color w:val="auto"/>
          <w:highlight w:val="white"/>
        </w:rPr>
        <w:t>Our principal executive offices are located at 595 Howe Street, 10</w:t>
      </w:r>
      <w:r>
        <w:rPr>
          <w:rFonts w:ascii="Times New Roman" w:cs="Times New Roman" w:eastAsia="Times New Roman" w:hAnsi="Times New Roman"/>
          <w:sz w:val="29"/>
          <w:szCs w:val="29"/>
          <w:color w:val="auto"/>
          <w:highlight w:val="white"/>
          <w:vertAlign w:val="superscript"/>
        </w:rPr>
        <w:t>th</w:t>
      </w:r>
      <w:r>
        <w:rPr>
          <w:rFonts w:ascii="Times New Roman" w:cs="Times New Roman" w:eastAsia="Times New Roman" w:hAnsi="Times New Roman"/>
          <w:sz w:val="18"/>
          <w:szCs w:val="18"/>
          <w:color w:val="auto"/>
          <w:highlight w:val="white"/>
        </w:rPr>
        <w:t xml:space="preserve"> Floor, Vancouver, British Columbia V6C 2T5, and our telephone number is</w:t>
      </w:r>
    </w:p>
    <w:p>
      <w:pPr>
        <w:spacing w:after="0" w:line="5" w:lineRule="exact"/>
        <w:rPr>
          <w:sz w:val="20"/>
          <w:szCs w:val="20"/>
          <w:color w:val="auto"/>
        </w:rPr>
      </w:pPr>
    </w:p>
    <w:p>
      <w:pPr>
        <w:jc w:val="both"/>
        <w:ind w:left="4" w:right="20" w:hanging="4"/>
        <w:spacing w:after="0" w:line="252" w:lineRule="auto"/>
        <w:tabs>
          <w:tab w:leader="none" w:pos="468" w:val="left"/>
        </w:tabs>
        <w:numPr>
          <w:ilvl w:val="0"/>
          <w:numId w:val="2"/>
        </w:numPr>
        <w:rPr>
          <w:rFonts w:ascii="Times New Roman" w:cs="Times New Roman" w:eastAsia="Times New Roman" w:hAnsi="Times New Roman"/>
          <w:sz w:val="18"/>
          <w:szCs w:val="18"/>
          <w:color w:val="auto"/>
          <w:highlight w:val="white"/>
        </w:rPr>
      </w:pPr>
      <w:r>
        <w:rPr>
          <w:rFonts w:ascii="Times New Roman" w:cs="Times New Roman" w:eastAsia="Times New Roman" w:hAnsi="Times New Roman"/>
          <w:sz w:val="18"/>
          <w:szCs w:val="18"/>
          <w:color w:val="auto"/>
          <w:highlight w:val="white"/>
        </w:rPr>
        <w:t xml:space="preserve">252-9333. We do not have a physical office in Vancouver, British Columbia, our directors and executive officers work remotely in various countries around the world, and the Vancouver, British Columbia address disclosed as our principal executive office has been provided because it is our records office required under the Business Corporations Act (British Columbia). </w:t>
      </w:r>
      <w:r>
        <w:rPr>
          <w:rFonts w:ascii="Times New Roman" w:cs="Times New Roman" w:eastAsia="Times New Roman" w:hAnsi="Times New Roman"/>
          <w:sz w:val="18"/>
          <w:szCs w:val="18"/>
          <w:color w:val="auto"/>
        </w:rPr>
        <w:t>Our website address is</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The information contained on,</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or that can be accessed through, our website is not and shall not be deemed to be part of this prospectus supplement. We have included our website address in this prospectus supplement solely as an inactive textual reference. Investors should not rely on any such information in deciding whether to purchase our common shares or other securities.</w:t>
      </w:r>
    </w:p>
    <w:p>
      <w:pPr>
        <w:spacing w:after="0" w:line="200" w:lineRule="exact"/>
        <w:rPr>
          <w:sz w:val="20"/>
          <w:szCs w:val="20"/>
          <w:color w:val="auto"/>
        </w:rPr>
      </w:pPr>
    </w:p>
    <w:p>
      <w:pPr>
        <w:spacing w:after="0" w:line="2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4"/>
          </w:cols>
          <w:pgMar w:left="436" w:top="918" w:right="439" w:bottom="1440" w:gutter="0" w:footer="0" w:header="0"/>
        </w:sectPr>
      </w:pPr>
    </w:p>
    <w:bookmarkStart w:id="6" w:name="page7"/>
    <w:bookmarkEnd w:id="6"/>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400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4007485"/>
                    </a:xfrm>
                    <a:prstGeom prst="rect">
                      <a:avLst/>
                    </a:prstGeom>
                    <a:noFill/>
                  </pic:spPr>
                </pic:pic>
              </a:graphicData>
            </a:graphic>
          </wp:anchor>
        </w:drawing>
        <w:t>All service marks, trademarks and trade names appearing in this prospectus supplement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prospectus supplement may appear without the ® or</w:t>
      </w:r>
    </w:p>
    <w:p>
      <w:pPr>
        <w:spacing w:after="0" w:line="1" w:lineRule="exact"/>
        <w:rPr>
          <w:sz w:val="20"/>
          <w:szCs w:val="20"/>
          <w:color w:val="auto"/>
        </w:rPr>
      </w:pPr>
    </w:p>
    <w:p>
      <w:pPr>
        <w:ind w:left="4" w:right="20" w:hanging="4"/>
        <w:spacing w:after="0" w:line="260" w:lineRule="auto"/>
        <w:tabs>
          <w:tab w:leader="none" w:pos="23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symbols, but such references are not intended to indicate in any way that we will not assert, to the fullest extent under applicable law, our rights, or that the applicable owner will not assert its rights, to these trademarks and tradenames.</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ind w:left="4" w:right="20" w:firstLine="648"/>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or the JOBS Act. For so long as we remain an emerging growth company, we may take advantage of relief from certain reporting requirements and other burdens that are otherwise applicable generally to public companies. These provisions include:</w:t>
      </w:r>
    </w:p>
    <w:p>
      <w:pPr>
        <w:spacing w:after="0" w:line="176" w:lineRule="exact"/>
        <w:rPr>
          <w:sz w:val="20"/>
          <w:szCs w:val="20"/>
          <w:color w:val="auto"/>
        </w:rPr>
      </w:pPr>
    </w:p>
    <w:p>
      <w:pPr>
        <w:jc w:val="both"/>
        <w:ind w:left="1304" w:hanging="656"/>
        <w:spacing w:after="0" w:line="266" w:lineRule="auto"/>
        <w:tabs>
          <w:tab w:leader="none" w:pos="13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obligations with respect to financial data, including only being required to present two years of audited financial statements, in addition to any required unaudited interim financial statements with correspondingly reduced “Management’s Discussion and Analysis of Financial Condition and Results of Operations” disclosure;</w:t>
      </w:r>
    </w:p>
    <w:p>
      <w:pPr>
        <w:spacing w:after="0" w:line="175"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161"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161"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spacing w:after="0" w:line="161"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200" w:lineRule="exact"/>
        <w:rPr>
          <w:sz w:val="20"/>
          <w:szCs w:val="20"/>
          <w:color w:val="auto"/>
        </w:rPr>
      </w:pPr>
    </w:p>
    <w:p>
      <w:pPr>
        <w:spacing w:after="0" w:line="2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4"/>
          </w:cols>
          <w:pgMar w:left="436" w:top="918" w:right="439" w:bottom="1440" w:gutter="0" w:footer="0" w:header="0"/>
        </w:sectPr>
      </w:pPr>
    </w:p>
    <w:bookmarkStart w:id="7" w:name="page8"/>
    <w:bookmarkEnd w:id="7"/>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3733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3733165"/>
                    </a:xfrm>
                    <a:prstGeom prst="rect">
                      <a:avLst/>
                    </a:prstGeom>
                    <a:noFill/>
                  </pic:spPr>
                </pic:pic>
              </a:graphicData>
            </a:graphic>
          </wp:anchor>
        </w:drawing>
        <w:t>We may take advantage of these provisions until we no longer qualify as an emerging growth company. We will cease to qualify as an emerging growth company on the date that is the earliest of: (i) December 31, 2026, (ii) the last day of the fiscal year in which we have more than $1.07 billion in total annual gross revenues, (iii) the date on which we are deemed to be a “large accelerated filer” under the rules of the SEC which means the market value of our common shares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prospectus supplement. Accordingly, the information contained herein may be different than you might obtain from other public companies in which you hold equity interests.</w:t>
      </w:r>
    </w:p>
    <w:p>
      <w:pPr>
        <w:spacing w:after="0" w:line="189"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supplement may be different than the information you may receive from other public companies in which you hold equity interests. In addition, it is possible that some investors will find our common shares less attractive as a result of these elections, which may result in a less active trading market for our common shares and higher volatility in our share price.</w:t>
      </w:r>
    </w:p>
    <w:p>
      <w:pPr>
        <w:spacing w:after="0" w:line="192"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w:t>
      </w:r>
    </w:p>
    <w:p>
      <w:pPr>
        <w:jc w:val="both"/>
        <w:ind w:left="4" w:hanging="4"/>
        <w:spacing w:after="0" w:line="252" w:lineRule="auto"/>
        <w:tabs>
          <w:tab w:leader="none" w:pos="2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4"/>
          </w:cols>
          <w:pgMar w:left="436" w:top="918"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53790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5379085"/>
                    </a:xfrm>
                    <a:prstGeom prst="rect">
                      <a:avLst/>
                    </a:prstGeom>
                    <a:noFill/>
                  </pic:spPr>
                </pic:pic>
              </a:graphicData>
            </a:graphic>
          </wp:anchor>
        </w:drawing>
        <w:t>THE OFFERING</w:t>
      </w:r>
    </w:p>
    <w:p>
      <w:pPr>
        <w:sectPr>
          <w:pgSz w:w="11900" w:h="16838" w:orient="portrait"/>
          <w:cols w:equalWidth="0" w:num="1">
            <w:col w:w="11020"/>
          </w:cols>
          <w:pgMar w:left="440" w:top="914" w:right="4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shares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shares having an aggregate offering price of up to $30,000,000.</w:t>
      </w:r>
    </w:p>
    <w:p>
      <w:pPr>
        <w:spacing w:after="0" w:line="200" w:lineRule="exact"/>
        <w:rPr>
          <w:sz w:val="20"/>
          <w:szCs w:val="20"/>
          <w:color w:val="auto"/>
        </w:rPr>
      </w:pPr>
    </w:p>
    <w:p>
      <w:pPr>
        <w:sectPr>
          <w:pgSz w:w="11900" w:h="16838" w:orient="portrait"/>
          <w:cols w:equalWidth="0" w:num="2">
            <w:col w:w="2280" w:space="460"/>
            <w:col w:w="8280"/>
          </w:cols>
          <w:pgMar w:left="440" w:top="914" w:right="439" w:bottom="1440" w:gutter="0" w:footer="0" w:header="0"/>
          <w:type w:val="continuous"/>
        </w:sectPr>
      </w:pPr>
    </w:p>
    <w:p>
      <w:pPr>
        <w:spacing w:after="0" w:line="33"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color w:val="auto"/>
        </w:rPr>
        <w:t>Common shares to be outstanding after this offering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Up to 315,529,989 common shares, assuming sales of 50,000,000 common shares in this offering at an offering price of $0.60 per share, the last reported sale price of our common shares on the Nasdaq on December 21, 2022. The actual number of common shares issued will vary depending on the sales price under this offering.</w:t>
      </w:r>
    </w:p>
    <w:p>
      <w:pPr>
        <w:spacing w:after="0" w:line="172" w:lineRule="exact"/>
        <w:rPr>
          <w:sz w:val="20"/>
          <w:szCs w:val="20"/>
          <w:color w:val="auto"/>
        </w:rPr>
      </w:pPr>
    </w:p>
    <w:p>
      <w:pPr>
        <w:sectPr>
          <w:pgSz w:w="11900" w:h="16838" w:orient="portrait"/>
          <w:cols w:equalWidth="0" w:num="2">
            <w:col w:w="2300" w:space="440"/>
            <w:col w:w="8280"/>
          </w:cols>
          <w:pgMar w:left="440" w:top="914"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Manner of offering</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our Sales Agents. We may also sell common shares to each of the Sales Agents as principal for its own account. See “Plan of Distribution” on page S-17.</w:t>
      </w:r>
    </w:p>
    <w:p>
      <w:pPr>
        <w:spacing w:after="0" w:line="172" w:lineRule="exact"/>
        <w:rPr>
          <w:sz w:val="20"/>
          <w:szCs w:val="20"/>
          <w:color w:val="auto"/>
        </w:rPr>
      </w:pPr>
    </w:p>
    <w:p>
      <w:pPr>
        <w:sectPr>
          <w:pgSz w:w="11900" w:h="16838" w:orient="portrait"/>
          <w:cols w:equalWidth="0" w:num="2">
            <w:col w:w="2020" w:space="720"/>
            <w:col w:w="8280"/>
          </w:cols>
          <w:pgMar w:left="440" w:top="914"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general corporate purposes. See “Use of Proceeds” on page S-14 of this prospectus supplement.</w:t>
      </w:r>
    </w:p>
    <w:p>
      <w:pPr>
        <w:spacing w:after="0" w:line="158" w:lineRule="exact"/>
        <w:rPr>
          <w:sz w:val="20"/>
          <w:szCs w:val="20"/>
          <w:color w:val="auto"/>
        </w:rPr>
      </w:pPr>
    </w:p>
    <w:p>
      <w:pPr>
        <w:sectPr>
          <w:pgSz w:w="11900" w:h="16838" w:orient="portrait"/>
          <w:cols w:equalWidth="0" w:num="2">
            <w:col w:w="2020" w:space="720"/>
            <w:col w:w="8280"/>
          </w:cols>
          <w:pgMar w:left="440" w:top="914"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You should read the “Risk Factors” section of this prospectus supplement and in the documents incorporated by reference herein for a discussion of factors to consider carefully before deciding to invest in our common shares.</w:t>
      </w:r>
    </w:p>
    <w:p>
      <w:pPr>
        <w:spacing w:after="0" w:line="158" w:lineRule="exact"/>
        <w:rPr>
          <w:sz w:val="20"/>
          <w:szCs w:val="20"/>
          <w:color w:val="auto"/>
        </w:rPr>
      </w:pPr>
    </w:p>
    <w:p>
      <w:pPr>
        <w:sectPr>
          <w:pgSz w:w="11900" w:h="16838" w:orient="portrait"/>
          <w:cols w:equalWidth="0" w:num="2">
            <w:col w:w="2020" w:space="720"/>
            <w:col w:w="8280"/>
          </w:cols>
          <w:pgMar w:left="440" w:top="914" w:right="439" w:bottom="1440" w:gutter="0" w:footer="0" w:header="0"/>
          <w:type w:val="continuous"/>
        </w:sect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“TMC”</w:t>
      </w:r>
    </w:p>
    <w:p>
      <w:pPr>
        <w:spacing w:after="0" w:line="441" w:lineRule="exact"/>
        <w:rPr>
          <w:sz w:val="20"/>
          <w:szCs w:val="20"/>
          <w:color w:val="auto"/>
        </w:rPr>
      </w:pPr>
    </w:p>
    <w:p>
      <w:pPr>
        <w:sectPr>
          <w:pgSz w:w="11900" w:h="16838" w:orient="portrait"/>
          <w:cols w:equalWidth="0" w:num="2">
            <w:col w:w="2260" w:space="480"/>
            <w:col w:w="8280"/>
          </w:cols>
          <w:pgMar w:left="440" w:top="914" w:right="439" w:bottom="1440" w:gutter="0" w:footer="0" w:header="0"/>
          <w:type w:val="continuous"/>
        </w:sect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number of common shares to be outstanding after this offering is based on 265,529,989 common shares outstanding as of September 30, 2022. The number of outstanding common shares does not include:</w:t>
      </w:r>
    </w:p>
    <w:p>
      <w:pPr>
        <w:spacing w:after="0" w:line="162" w:lineRule="exact"/>
        <w:rPr>
          <w:sz w:val="20"/>
          <w:szCs w:val="20"/>
          <w:color w:val="auto"/>
        </w:rPr>
      </w:pPr>
    </w:p>
    <w:p>
      <w:pPr>
        <w:jc w:val="both"/>
        <w:ind w:left="1300" w:hanging="332"/>
        <w:spacing w:after="0" w:line="257"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25,140,263 common shares and 14,896,783 special shares, which are automatically convertible into common shares on a one-for-one basis if certain price thresholds are met, issuable upon exercise of share options outstanding as of September 30, 2022 under our stock incentive plans, at a weighted average per option exercise price of $1.11;</w:t>
      </w:r>
    </w:p>
    <w:p>
      <w:pPr>
        <w:spacing w:after="0" w:line="1" w:lineRule="exact"/>
        <w:rPr>
          <w:rFonts w:ascii="Times New Roman" w:cs="Times New Roman" w:eastAsia="Times New Roman" w:hAnsi="Times New Roman"/>
          <w:sz w:val="18"/>
          <w:szCs w:val="18"/>
          <w:color w:val="auto"/>
        </w:rPr>
      </w:pPr>
    </w:p>
    <w:p>
      <w:pPr>
        <w:ind w:left="1300" w:hanging="332"/>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5,021,783 common shares issuable upon the vesting of restricted stock units outstanding as of September 30, 2022;</w:t>
      </w:r>
    </w:p>
    <w:p>
      <w:pPr>
        <w:spacing w:after="0" w:line="9" w:lineRule="exact"/>
        <w:rPr>
          <w:rFonts w:ascii="Times New Roman" w:cs="Times New Roman" w:eastAsia="Times New Roman" w:hAnsi="Times New Roman"/>
          <w:sz w:val="18"/>
          <w:szCs w:val="18"/>
          <w:color w:val="auto"/>
        </w:rPr>
      </w:pPr>
    </w:p>
    <w:p>
      <w:pPr>
        <w:ind w:left="1300" w:hanging="332"/>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31,789,503 common shares available as of September 30, 2022 for future grant under the TMC Incentive Equity Plan;</w:t>
      </w:r>
    </w:p>
    <w:p>
      <w:pPr>
        <w:spacing w:after="0" w:line="9" w:lineRule="exact"/>
        <w:rPr>
          <w:rFonts w:ascii="Times New Roman" w:cs="Times New Roman" w:eastAsia="Times New Roman" w:hAnsi="Times New Roman"/>
          <w:sz w:val="18"/>
          <w:szCs w:val="18"/>
          <w:color w:val="auto"/>
        </w:rPr>
      </w:pPr>
    </w:p>
    <w:p>
      <w:pPr>
        <w:ind w:left="1300" w:hanging="332"/>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5,211,898 common shares available as of September 30, 2022 for future issuance under the 2021 Employee Stock Purchase Plan;</w:t>
      </w:r>
    </w:p>
    <w:p>
      <w:pPr>
        <w:spacing w:after="0" w:line="9" w:lineRule="exact"/>
        <w:rPr>
          <w:rFonts w:ascii="Times New Roman" w:cs="Times New Roman" w:eastAsia="Times New Roman" w:hAnsi="Times New Roman"/>
          <w:sz w:val="18"/>
          <w:szCs w:val="18"/>
          <w:color w:val="auto"/>
        </w:rPr>
      </w:pPr>
    </w:p>
    <w:p>
      <w:pPr>
        <w:ind w:left="1300" w:right="20" w:hanging="332"/>
        <w:spacing w:after="0" w:line="250"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136,239,964 common shares reserved for issuance upon conversion of our outstanding special shares, which are automatically convertible into common shares on a one-for-one basis if certain price thresholds are met;</w:t>
      </w:r>
    </w:p>
    <w:p>
      <w:pPr>
        <w:ind w:left="1300" w:right="20" w:hanging="332"/>
        <w:spacing w:after="0" w:line="250"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36,078,620 common shares issuable upon exercise of outstanding warrants to purchase common shares, at a weighted average per warrant exercise price of $7.81; and</w:t>
      </w:r>
    </w:p>
    <w:p>
      <w:pPr>
        <w:jc w:val="both"/>
        <w:ind w:left="1300" w:right="20" w:hanging="332"/>
        <w:spacing w:after="0" w:line="255"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10,850,000 common shares we intend to issue after September 30, 2022 at a price of $1.00 to Allseas Group SA as the third and final $10 million milestone payment as described in the original and amended Pilot Mining Test Agreement with Allseas and a $850,000 payment for additional costs related to the successful completion of pilot collection system trials.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40" w:top="914" w:right="4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shares involves a high degree of risk. Before you decide to invest in our common shares, you should carefully consider the risks and uncertainties described below together with all other information contained in this prospectus supplement, the accompanying prospectus and in our filings with the SEC that we have incorporated by reference into this prospectus supplement. See the sections of this prospectus supplement entitled “Where You Can Find More Information” and “Incorporation of Certain Information by Reference.” If any of the following risks actually occurs, our business, prospects, operating results and financial condition could suffer materially. In such event, the trading price of our common shares could decline and you might lose all or part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 including the Nasdaq’s minimum closing bid price.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10, 2021, our common shares and Public Warrants began trading on the Nasdaq Global Select Market under the symbols “TMC” and “TMCWW,” respectively. The Nasdaq has qualitative and quantitative listing criteria. If we are unable to meet any of the Nasdaq listing requirements in the future, including the $1.00 minimum closing bid price per share discussed below, Nasdaq could determine to delist our common shares. If in the future Nasdaq delists our common shares from trading on its exchange for failure to meet the listing standards, we and our shareholders could face significant material adverse consequences including:</w:t>
      </w:r>
    </w:p>
    <w:p>
      <w:pPr>
        <w:spacing w:after="0" w:line="18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deterrent for broker-dealers making a market in or otherwise seeking or generating interest in our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deterrent for certain institutions and persons from investing in our securities at all;</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shares are “penny stock” which will require brokers trading in our common shares to adhere to more stringent rules and possibly result in a reduced level of trading activity in the secondary trading market for our securities;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5, 2022, we received a written notice from Nasdaq because the closing bid price of our common shares has been below the minimum $1.00 closing bid price per share since October 21, 2022. To regain compliance, the closing bid price of our common shares must be at least $1.00 per share (the “Minimum Bid Requirement”) for a minimum of 10 consecutive business days by June 5, 2023 (the “Grace Period”). If we do not achieve compliance with the Minimum Bid Requirement by the end of the Grace Period, we may be eligible for an additional 180 calendar day period to regain compliance. To qualify, we would be required, among other things, to meet the continued listing requirement for the market value of our publicly held shares and all other Nasdaq initial listing standards, with the exception of the bid price requirement, and would need to provide written notice to Nasdaq of our intention and plan to cure the deficiency during the second compliance period by effecting a reverse stock split if necessary. However, if it appears to Nasdaq staff that we will not be able to cure the deficiency, or if we do not meet the other listing standards, Nasdaq could provide notice that our common shares and Public Warrants will be subject to delisting. In the event we receive notice that our common shares and Public Warrants are being delisted, we would be entitled to appeal the determination to a Nasdaq Listing Qualifications Panel and request a hearing.</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our common shares and Public Warrants are delisted from Nasdaq and are not eligible for quotation or listing on another market or exchange, trading of our common shares and warrants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shares and Public Warrants, and there would likely also be a reduction in our coverage by securities analysts and the news media, which could cause the price of our common shares and Public Warrants to decline further.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Resales of our common shares in the public market during this offering by our shareholders may cause the market price of our common shares to fall.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issue common shares from time to time in connection with this offering. The issuance from time to time of these common shares, or our ability to issue these common shares in this offering, could result in re-sales of our common shares by our current shareholders concerned about the potential dilution of their holdings. In turn, these re-sales could have the effect of depressing the market price for our common shares.</w:t>
      </w:r>
    </w:p>
    <w:p>
      <w:pPr>
        <w:spacing w:after="0" w:line="17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how we use the net proceeds of this offering, and we may not use these proceeds effectively or in ways with which you agree.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designated any portion of the net proceeds from this offering to be used for any particular purpose. Our management will have broad discretion as to the application of the net proceeds of this offering and could use them for purposes other than those contemplated at the time of this offering. Our shareholders may not agree with the manner in which our management chooses to allocate and spend the net proceeds. Moreover, our management may use the net proceeds for corporate purposes that may not increase the market price of our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common shares in this offering, you may suffer immediate dilution of your investment.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net tangible book value per common share outstanding prior to this offering. Because the sales of the common shares offered hereby will be made directly into the market, the prices at which we sell these shares will vary and these variations may be significant. Purchasers of the common shares we sell, as well as our existing shareholders, will experience significant dilution if we sell shares at prices significantly below the price at which they invested.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may experience future dilution.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common shares or other securities convertible into, or exchangeable for, our common shares at prices that may not be the same as the price per share in this offering. We cannot assure you that we will be able to sell our common shares or other related securities in any other offering at a price per share that is equal to or greater than the price per share paid by investors in this offering. If the price per share at which we sell additional common shares or related securities in future transactions is less than the price per share in this offering, investors who purchase our common shares in this offering will suffer dilution in their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common shares we will issue under the Distribution Agreement, at any one time or in total, is uncertain.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certain limitations in the Distribution Agreement and compliance with applicable law, we have the discretion to deliver a placement notice to the Sales Agents at any time throughout the term of the Distribution Agreement. The per share price of the common shares that are sold by the Sales Agents after delivering a placement notice will fluctuate based on the market price of our common shares during the sales period and limits we set with the Sales Agents. Because the price per share of each common share sold will fluctuate based on the market price of our common shares during the sales period, it is not possible at this stage to predict the number of common shares that will be ultimately issued.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common shares in the public markets, or the perception that such sales could occur, could depress the market price of our common shares.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our common shares in the public markets, or the perception that such sales could occur, could depress the market price of our common shares and impair our ability to raise capital through the sale of additional equity or equity-based securities. We cannot predict the effect that future sales of our common shares would have on the market price of our common shares.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shares offered hereby will be sold in “at the market offerings,” and investors who buy shares at different times will likely pay different prices.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Investors who purchase common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and there is no minimum or maximum sales price. Investors may experience a decline in the value of their common shares as a result of share sales made at prices lower than the prices they paid.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therein include forward-looking statements within the meaning of Section 27A of the Securities Act of 1933, as amended, or the Securities Act, and Section 21E of the Securities Exchange Act of 1934, as amended, or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supplement, the accompanying prospectus and the documents incorporated by reference therein,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most recent Annual Report on Form 10-K, as revised or supplemented by our subsequent Quarterly Reports on Form 10-Q or our Current Reports on Form 8-K, entitled “Business,” “Risk Factors,” and “Management’s Discussion and Analysis of Financial Condition and Results of Operations,” as well as other sections in this prospectus supplement, the accompanying prospectus and the other documents or reports incorporated by reference therein, discuss some of the factors that could contribute to these differences. These forward-looking statements include, among other things, statements about:</w:t>
      </w:r>
    </w:p>
    <w:p>
      <w:pPr>
        <w:spacing w:after="0" w:line="195"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net proceeds from this offering;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potential commercialization plans;</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battery metals and battery cathode feedstocks, copper cathode and manganese ores;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prices of battery metals and battery cathode feedstocks, copper cathode and manganese ores;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content of ISA’s final exploitation regulations that will create the legal and technical framework for exploitation of polymetallic nodules in the CCZ;</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polymetallic nodules at sea and to process such nodules on land;</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on hand to meet our working capital and capital expenditure requirements and the need for additional financing;</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and the nature of such financings;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limitations on insurance coverage;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mitigate our material weaknesses in our internal control over financial reporting;</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financial statements;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metallurgical and geotechnical studies and opinions;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risks;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management personnel and executive officers;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market conditions beyond our control;</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and the impact of the COVID-19 pandemic on our business;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00" w:lineRule="exact"/>
        <w:rPr>
          <w:sz w:val="20"/>
          <w:szCs w:val="20"/>
          <w:color w:val="auto"/>
        </w:rPr>
      </w:pPr>
    </w:p>
    <w:p>
      <w:pPr>
        <w:spacing w:after="0" w:line="241"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 w:name="page15"/>
    <w:bookmarkEnd w:id="1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supplement, the accompanying prospectus and in the documents incorporated by reference therein, particularly in the “Risk Factors” section, that we believe could cause actual results or events to differ materially from the forward-looking statements that we make. For a summary of such factors, please refer to the section entitled “Risk Factors” in this prospectus supplement and the accompanying prospectus, as updated and supplemented by the discussion of risks and uncertainties under “Risk Factors” contained in any supplements to this prospectus supplement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supplement, the accompanying prospectus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supplement.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and sell our common shares having aggregate gross sales proceeds of up to $30.0 million from time to time pursuant to the Distribution Agreement. Because there is no minimum offering amount required as a condition to close this offering, the actual total public offering amount, commissions and proceeds to us, if any, are not determinable at this time. There can be no assurance that we will sell any common shares under or fully utilize the Distribution Agreement as a source of financing.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currently intend to use the net proceeds, if any, for working capital and general corporate purposes. Pending these uses, we intend to invest the net proceeds in investment-grade, interest-bearing securities.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you invest in this offering, your ownership interest will be diluted to the extent of the difference between the public offering price per share and the as adjusted net tangible book value per share after giving effect to this offering. We calculate net tangible book value per share by dividing the net tangible book value, which is tangible assets less total liabilities, by the number of outstanding common shares. Dilution represents the difference between the amount per share paid by purchasers of common shares in this offering and the as adjusted net tangible book value per share immediately after giving effect to this offering. Our net tangible book value as of September 30, 2022 was approximately $35.1 million, or $0.13 per share.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our common shares in the aggregate amount of $30.0 million at an assumed offering price of $0.60 per share, which was the last reported sale price of our common shares on the Nasdaq Global Select Market on December 21, 2022 and after deducting offering commissions and estimated offering expenses payable by us, our net tangible book value as of September 30, 2022 would have been $63.9 million, or $0.20 per share. This represents an immediate increase in the net tangible book value of $0.07 per share to our existing shareholders and an immediate dilution in net tangible book value of $0.40 per share to new investors. The following table illustrates this per share dilution: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offering price per share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2022</w:t>
            </w: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per share attributable to this offering</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as of September 30, 2022 after this offering</w:t>
            </w:r>
          </w:p>
        </w:tc>
        <w:tc>
          <w:tcPr>
            <w:tcW w:w="9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r>
      <w:tr>
        <w:trPr>
          <w:trHeight w:val="209"/>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9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50,000,000 common shares are sold at a price of $0.60 per share, which was the last reported sale price of our common shares on the Nasdaq Global Select Market on December 21, 2022, for aggregate gross proceeds of $30.0 million. The shares sold in this offering, if any, will be sold from time to time at various prices. An increase of $0.25 per share in the price at which the common shares are sold from the assumed offering price of $0.60 per share shown in the table above, assuming all of our common shares in the aggregate amount of $30.0 million during the term of the Distribution Agreement is sold at that price, would increase our as adjusted net tangible book value per share after the offering to $0.21 per share and would increase the dilution in net tangible book value per share to new investors in this offering to $0.64 per share, after deducting offering commissions and estimated offering expenses payable by us. A decrease of $0.25 per share in the price at which the common shares are sold from the assumed offering price of $0.60 per share shown in the table above, assuming all of our common shares in the amount of $30.0 million during the term of the Distribution Agreement is sold at that price, would decrease our as adjusted net tangible book value per share after the offering to $0.18 per share and would decrease the dilution in net tangible book value per share to new investors in this offering to $0.17 per share, after deducting offering commissions and estimated offering expenses payable by us. This information is supplied for illustrative purposes only and may differ based on the actual offering price and the actual number of shares offered.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above discussion is based on 265,529,989 common shares outstanding as of September 30, 2022. It does not include:</w:t>
      </w:r>
    </w:p>
    <w:p>
      <w:pPr>
        <w:spacing w:after="0" w:line="225" w:lineRule="exact"/>
        <w:rPr>
          <w:sz w:val="20"/>
          <w:szCs w:val="20"/>
          <w:color w:val="auto"/>
        </w:rPr>
      </w:pPr>
    </w:p>
    <w:p>
      <w:pPr>
        <w:jc w:val="both"/>
        <w:ind w:left="640" w:hanging="320"/>
        <w:spacing w:after="0" w:line="266"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25,140,263 common shares and 14,896,783 special shares, which are automatically convertible into common shares on a one-for-one basis if certain price thresholds are met, issuable upon exercise of share options outstanding as of September 30, 2022 under our stock incentive plans, at a weighted average per option exercise price of $1.11;</w:t>
      </w:r>
    </w:p>
    <w:p>
      <w:pPr>
        <w:spacing w:after="0" w:line="17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5,021,783 common shares issuable upon the vesting of restricted stock units outstanding as of September 30, 2022;</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31,789,503 common shares available as of September 30, 2022 for future grant under the TMC Incentive Equity Plan;</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5,211,898 common shares available as of September 30, 2022 for future issuance under the 2021 Employee Stock Purchase Plan;</w:t>
      </w:r>
    </w:p>
    <w:p>
      <w:pPr>
        <w:spacing w:after="0" w:line="225" w:lineRule="exact"/>
        <w:rPr>
          <w:rFonts w:ascii="Times New Roman" w:cs="Times New Roman" w:eastAsia="Times New Roman" w:hAnsi="Times New Roman"/>
          <w:sz w:val="18"/>
          <w:szCs w:val="18"/>
          <w:color w:val="auto"/>
        </w:rPr>
      </w:pPr>
    </w:p>
    <w:p>
      <w:pPr>
        <w:ind w:left="640" w:hanging="320"/>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136,239,964 common shares reserved for issuance upon conversion of our outstanding special shares, which are automatically convertible into common shares on a one-for-one basis if certain price thresholds are met;</w:t>
      </w:r>
    </w:p>
    <w:p>
      <w:pPr>
        <w:spacing w:after="0" w:line="161" w:lineRule="exact"/>
        <w:rPr>
          <w:rFonts w:ascii="Times New Roman" w:cs="Times New Roman" w:eastAsia="Times New Roman" w:hAnsi="Times New Roman"/>
          <w:sz w:val="18"/>
          <w:szCs w:val="18"/>
          <w:color w:val="auto"/>
        </w:rPr>
      </w:pPr>
    </w:p>
    <w:p>
      <w:pPr>
        <w:ind w:left="640" w:hanging="320"/>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36,078,620 common shares issuable upon exercise of outstanding warrants to purchase common shares, at a weighted average per warrant exercise price of $7.81; and</w:t>
      </w:r>
    </w:p>
    <w:p>
      <w:pPr>
        <w:spacing w:after="0" w:line="161" w:lineRule="exact"/>
        <w:rPr>
          <w:rFonts w:ascii="Times New Roman" w:cs="Times New Roman" w:eastAsia="Times New Roman" w:hAnsi="Times New Roman"/>
          <w:sz w:val="18"/>
          <w:szCs w:val="18"/>
          <w:color w:val="auto"/>
        </w:rPr>
      </w:pPr>
    </w:p>
    <w:p>
      <w:pPr>
        <w:jc w:val="both"/>
        <w:ind w:left="640" w:hanging="320"/>
        <w:spacing w:after="0" w:line="266"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10,850,000 common shares we intend to issue after September 30, 2022 at a price of $1.00 to Allseas Group SA as the third and final $10 million milestone payment as described in the original and amended Pilot Mining Test Agreement with Allseas and a $850,000 payment for additional costs related to the successful completion of pilot collection system trials.</w:t>
      </w:r>
    </w:p>
    <w:p>
      <w:pPr>
        <w:spacing w:after="0" w:line="39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the Distribution Agreement with Stifel, Nicolaus &amp; Company, Incorporated and Wedbush Securities Inc., collectively referred to as Sales Agents and each individually a Sales Agent, under which we may, over a period of time and from time to time, offer and sell our common shares having an aggregate sales price of up to $30.0 million through the Sales Agents or to the Sales Agents. A copy of the Distribution Agreement will be filed as an exhibit to a Current Report on Form 8-K and will be incorporated by reference into this prospectus supplement. The sales, if any, of our common shares made under the Distribution Agreement, and to which this prospectus supplement relates, will be made in “at-the-market” offerings as defined in Rule 415 under the Securities Act, including sales made directly on the Nasdaq Global Select Market, the existing trading market for our common shares, or sales made to or through a market maker or through an electronic communications network. In addition, our common shares may be offered and sold by such other methods, including privately negotiated transactions, as we and the Sales Agents agree to in writing. The sales may be made at market prices prevailing at the time of the sale, at prices related to prevailing market prices or at negotiated prices.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may sell our common shares to the Sales Agents, as principal for their own respective accounts, at a price per share agreed upon at the time of sale. If we sell our common shares to the Sales Agents, as principal, we will enter into a separate terms agreement with the Sales Agents, and we will describe the agreement in a separate prospectus supplement or pricing supplement.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time to time during the term of the Distribution Agreement, we may deliver a placement notice to a Sales Agent specifying the length of the selling period, the amount of common shares to be sold and the minimum price below which sales may not be made.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Sales Agents have agreed that, upon receipt of a placement notice from us that is accepted by such Sales Agent, and is subject to the terms and conditions of the Distribution Agreement, the applicable Sales Agent will use its commercially reasonable efforts consistent with its normal trading and sales practices to sell such common shares on such terms. We or the applicable Sales Agent may suspend the offering of the common shares at any time upon proper notice to the other party, upon which the selling period will immediately terminate. Settlement for sales of the common shares is expected to occur on the second business day, that is also a trading day, following the date on which any sales were made, or on some other date that is agreed upon by us and the applicable Sales Agent in connection with a particular transaction. The obligation of the Sales Agents under the Distribution Agreement to sell common shares pursuant to any placement notice is subject to a number of conditions, which the Sales Agents reserve the right to waive in their sole discretion.</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acting as a sales agent, the applicable Sales Agent will provide to us written confirmation following the close of trading on the Nasdaq Global Select Market on each trading day on which shares are sold under the Distribution Agreement. Each confirmation will include the number of shares sold on that day, the aggregate gross sales proceeds of the shares, the net proceeds to us (after deduction of any transaction fees, transfer taxes or similar taxes or fees imposed by any governmental entity or self-regulatory organization in respect of such sales) and the aggregate compensation payable by us to the applicable Sales Agent with respect to such sales. We will report, on a quarterly basis, the number of shares sold by or through the Sales Agents during such quarterly fiscal period, the net proceeds received by the Company and the aggregate compensation paid by the Company to the Sales Agents with respect to such sales.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pay the Sales Agents an aggregate commission of up to 3.0% of the gross sales price per share for any shares sold through it as an agent under the Distribution Agreement. We have agreed to reimburse the Sales Agents for certain fees and expenses in connection with this offering, including the fees and disbursements of counsel to the Sales Agents, in an amount not to exceed $75,000 in the aggregate. We estimate that the total expenses of this offering payable by us, excluding commissions and reimbursements payable to the Sales Agents under the Distribution Agreement, will be approximately $275,000.</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sale of our common shares on our behalf, either Sales Agent may be deemed to be an “underwriter” within the meaning of the Securities Act, and the compensation paid to the Sales Agents may be deemed to be underwriting commissions or discounts. We have agreed in the Distribution Agreement to provide indemnification and contribution to the Sales Agents against certain civil liabilities, including liabilities under the Securities Act.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Sales of the common shares as contemplated by this prospectus supplement will be settled through the facilities of the Depository Trust Company or by such other means as we and the Sales Agents may agree upon. The offering of the common shares pursuant to the Distribution Agreement will terminate upon the earliest of (1) the sale of the maximum aggregate amount of our common shares subject to the Distribution Agreement, (2) the expiration date of the registration statement of which this prospectus supplement is a part, and (3) the termination of the Distribution Agreement by any party at any time upon three days’ notice, or by the Sales Agents, upon notice to us, in certain circumstances, including certain bankruptcy events relating to us or any material subsidiary, our failure to maintain a listing of our common shares on the Nasdaq Global Select Market or the occurrence of a material adverse effect on our Company, as defined in the Distribution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Sales Agents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Sales Agents and their affiliates have provided, and may in the future provide, a variety of these services to us and to persons and entities with relationships with us, for which they received or will receive customary fees and expenses.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Sales Agents and their affiliates, officers, directors and employees may purchase, sell or hold a broad array of investments and actively trade securities, derivatives, loans, commodities, currencies, credit default swaps and other financial instruments for their own accounts and for the accounts of their customers, and such investment and trading activities may involve or relate to our assets, securities and/or instruments (directly, as collateral securing other obligations or otherwise) and/or persons and entities with relationships with us. The Sales Agents and their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Sales Agents that would permit a public offering of the common shares offered by this prospectus supplement in any jurisdiction where action for that purpose is required. The common shares offered by this prospectus supplement may not be offered or sold, directly or indirectly, nor may this prospectus supplement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common shares offered by this prospectus supplement in any jurisdiction in which such an offer or a solicitation is unlawful.</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You should be aware that the laws and practices of certain countries require investors to pay stamp taxes and other charges in connection with purchases of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none of our common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83"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any legal entity which is a qualified investor as defined under the Prospectus Regulation;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representatives for any such offer; 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any other circumstances falling within Article 1(4) of the Prospectus Regulation, provided that no such offer of shares shall require the Issuer or the Sales Agents to publish a prospectus pursuant to Article 3 of the Prospectus Regulation or supplement a prospectus pursuant to Article 23 of the Prospectus Regulation.</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person in a Relevant State who initially acquires any shares or to whom any offer is made will be deemed to have represented, acknowledged and agreed to and with us and the Sales Agents that it is a qualified investor within the meaning of the Prospectus Regulation.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Sales Agent has been obtained to each such proposed offer or resale.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the Sales Agents and our respective affiliates will rely upon the truth and accuracy of the foregoing representations, acknowledgements and agreements.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relation to the United Kingdom (“UK”), no shares have been offered or will be offered pursuant to the offering to the public in the UK prior to the publication of a prospectus in relation to the shares which has been approved by the Financial Conduct Authority in the UK in accordance with the UK Prospectus Regulation and the FSMA, except that offers of shares may be made to the public in the UK at any time under the following exemptions under the UK Prospectus Regulation and the FSMA:</w:t>
      </w:r>
    </w:p>
    <w:p>
      <w:pPr>
        <w:spacing w:after="0" w:line="180"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representatives for any such offer; 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 other circumstances falling within section 86 of the FSMA, provided that no such offer of shares shall require the Issuer or the Sales Agents to publish a prospectus pursuant to Section 85 of the FSMA or Article 3 of the UK Prospectus Regulation or supplement a prospectus pursuant to Article 23 of the UK Prospectus Regulation.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person in the UK who initially acquires any shares or to whom any offer is made will be deemed to have represented, acknowledged and agreed to and with us and the Sales Agents that it is a qualified investor within the meaning of the UK Prospectus Regulation.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Sales Agents has been obtained to each such proposed offer or resale.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the Sales Agents and our respective affiliates will rely upon the truth and accuracy of the foregoing representations, acknowledgements and agreements.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in the UK means the communication in any form and by any means of sufficient information on the terms of the offer and any shares to be offered so as to enable an investor to decide to purchase or subscribe for any shares, the expression “UK Prospectus Regulation” means Regulation (EU) 2017/1129 as it forms part of domestic law by virtue of the European Union (Withdrawal) Act 2018, and the expression “FSMA” means the Financial Services and Markets Act 2000.</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securities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the securities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76" w:lineRule="exact"/>
        <w:rPr>
          <w:sz w:val="20"/>
          <w:szCs w:val="20"/>
          <w:color w:val="auto"/>
        </w:rPr>
      </w:pPr>
    </w:p>
    <w:p>
      <w:pPr>
        <w:ind w:left="130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 (i)(B) of the SFA;</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not a reporting issuer in any Province or Territory of Canada. The securities have not been registered or qualified by prospectus for distribution in any Province or Territory of Canada, and are not eligible for sale or resale in Canada. The Sales Agents have agreed not to sell, offer to sell or solicit offers to purchase common shares in Canada, or to or from persons resident in any Province or Territory of Canada or to or from any person acquiring such common shares for the benefit of another person resident in any Province or Territory of Canada.</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Fasken Martineau DuMoulin LLP, or Fasken, has passed upon the validity of the common shares offered by this prospectus supplement and certain other legal matters related to Canadian law. Mintz, Levin, Cohn, Ferris, Glovsky and Popeo, P.C., or Mintz, has passed upon certain other legal matters. Goodwin Procter LLP is counsel to Stifel, Nicolaus &amp; Company, Incorporated and Wedbush Securities Inc. in connection with this offering. Fasken and Mintz own 14,630 and 36,361 common shares, respectively.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of TMC the metals company Inc. as of December 31, 2021 and 2020 and for the years then ended have been incorporated by reference herein and in the registration statement in reliance on the report of Ernst &amp; Young LLP, independent registered public accounting firm, incorporated by reference herein, and upon the authority of said firm as experts in accounting and auditing.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(File No. 333-267479), of which this prospectus supplement and the accompanying prospectus form a part, under the Securities Act of 1933, to register our common shares offered by this prospectus supplement. This prospectus supplement and the accompanying prospectus do not contain all of the information contained in the registration statement and the exhibits and schedules to the registration statement. For further information about us and the common shares, please refer to the registration statement, including the exhibits to the registration statement. The exhibits to the registration statement provide more details of the matters discussed in this prospectus supplement and the accompanying prospectus.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proxy statements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supplement or the accompanying prospectus. We include our website address in this prospectus supplement and the accompanying prospectus only as an inactive textual reference. Information contained in our website does not constitute a part of this prospectus supplement and the accompanying prospectus or our other filings with the SEC.</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which means that we can disclose important information to you by referring you to another document filed separately with the SEC. The SEC file number for the documents incorporated by reference in this prospectus supplement is 001-39281. The documents incorporated by reference into this prospectus supplement contain important information that you should read about us.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are incorporated by reference into this document:</w:t>
      </w:r>
    </w:p>
    <w:p>
      <w:pPr>
        <w:spacing w:after="0" w:line="225"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u w:val="single" w:color="auto"/>
            <w:color w:val="0000EE"/>
          </w:rPr>
          <w:t>our Annual Report on Form 10-K for the fiscal year ended December 31, 2021 that we filed with the SEC on March 25, 2022</w:t>
        </w:r>
      </w:hyperlink>
      <w:r>
        <w:rPr>
          <w:rFonts w:ascii="Times New Roman" w:cs="Times New Roman" w:eastAsia="Times New Roman" w:hAnsi="Times New Roman"/>
          <w:sz w:val="18"/>
          <w:szCs w:val="18"/>
          <w:color w:val="000000"/>
        </w:rPr>
        <w:t>;</w:t>
      </w:r>
    </w:p>
    <w:p>
      <w:pPr>
        <w:spacing w:after="0" w:line="225" w:lineRule="exact"/>
        <w:rPr>
          <w:rFonts w:ascii="Times New Roman" w:cs="Times New Roman" w:eastAsia="Times New Roman" w:hAnsi="Times New Roman"/>
          <w:sz w:val="18"/>
          <w:szCs w:val="18"/>
          <w:color w:val="0000EE"/>
        </w:rPr>
      </w:pPr>
    </w:p>
    <w:p>
      <w:pPr>
        <w:ind w:left="1300" w:right="2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and amendments thereto for the quarters ended March 31, 2022, June 30, 2022 and September 30, 2022 that we filed with the SEC on </w:t>
      </w:r>
      <w:hyperlink r:id="rId45">
        <w:r>
          <w:rPr>
            <w:rFonts w:ascii="Times New Roman" w:cs="Times New Roman" w:eastAsia="Times New Roman" w:hAnsi="Times New Roman"/>
            <w:sz w:val="18"/>
            <w:szCs w:val="18"/>
            <w:u w:val="single" w:color="auto"/>
            <w:color w:val="0000EE"/>
          </w:rPr>
          <w:t>May 9, 2022</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August 15, 2022</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November 14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8">
        <w:r>
          <w:rPr>
            <w:rFonts w:ascii="Times New Roman" w:cs="Times New Roman" w:eastAsia="Times New Roman" w:hAnsi="Times New Roman"/>
            <w:sz w:val="18"/>
            <w:szCs w:val="18"/>
            <w:u w:val="single" w:color="auto"/>
            <w:color w:val="0000EE"/>
          </w:rPr>
          <w:t>November 15, 2022</w:t>
        </w:r>
      </w:hyperlink>
      <w:r>
        <w:rPr>
          <w:rFonts w:ascii="Times New Roman" w:cs="Times New Roman" w:eastAsia="Times New Roman" w:hAnsi="Times New Roman"/>
          <w:sz w:val="18"/>
          <w:szCs w:val="18"/>
          <w:color w:val="auto"/>
        </w:rPr>
        <w:t>, respectively;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4"/>
        </w:numPr>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u w:val="single" w:color="auto"/>
            <w:color w:val="0000EE"/>
          </w:rPr>
          <w:t>the portions of our Definitive Proxy Statement on Schedule 14A that we filed with the SEC on April 14, 2022 that are deemed filed under</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applicable SEC rules</w:t>
        </w:r>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jc w:val="both"/>
        <w:ind w:left="1300" w:hanging="644"/>
        <w:spacing w:after="0" w:line="266" w:lineRule="auto"/>
        <w:tabs>
          <w:tab w:leader="none" w:pos="1300" w:val="left"/>
        </w:tabs>
        <w:numPr>
          <w:ilvl w:val="0"/>
          <w:numId w:val="14"/>
        </w:numPr>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auto"/>
          </w:rPr>
          <w:t xml:space="preserve">our Current Reports on Form 8-K and amendments thereto that we filed with the SEC on </w:t>
        </w:r>
        <w:r>
          <w:rPr>
            <w:rFonts w:ascii="Times New Roman" w:cs="Times New Roman" w:eastAsia="Times New Roman" w:hAnsi="Times New Roman"/>
            <w:sz w:val="18"/>
            <w:szCs w:val="18"/>
            <w:u w:val="single" w:color="auto"/>
            <w:color w:val="0000EE"/>
          </w:rPr>
          <w:t>February 10,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17,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2,</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1">
        <w:r>
          <w:rPr>
            <w:rFonts w:ascii="Times New Roman" w:cs="Times New Roman" w:eastAsia="Times New Roman" w:hAnsi="Times New Roman"/>
            <w:sz w:val="18"/>
            <w:szCs w:val="18"/>
            <w:u w:val="single" w:color="auto"/>
            <w:color w:val="0000EE"/>
          </w:rPr>
          <w:t>August 15, 2022</w:t>
        </w:r>
      </w:hyperlink>
      <w:hyperlink r:id="rId5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2">
        <w:r>
          <w:rPr>
            <w:rFonts w:ascii="Times New Roman" w:cs="Times New Roman" w:eastAsia="Times New Roman" w:hAnsi="Times New Roman"/>
            <w:sz w:val="18"/>
            <w:szCs w:val="18"/>
            <w:u w:val="single" w:color="auto"/>
            <w:color w:val="0000EE"/>
          </w:rPr>
          <w:t>October 3, 2022</w:t>
        </w:r>
      </w:hyperlink>
      <w:hyperlink r:id="rId5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3">
        <w:r>
          <w:rPr>
            <w:rFonts w:ascii="Times New Roman" w:cs="Times New Roman" w:eastAsia="Times New Roman" w:hAnsi="Times New Roman"/>
            <w:sz w:val="18"/>
            <w:szCs w:val="18"/>
            <w:u w:val="single" w:color="auto"/>
            <w:color w:val="0000EE"/>
          </w:rPr>
          <w:t>October 12, 2022</w:t>
        </w:r>
      </w:hyperlink>
      <w:hyperlink r:id="rId5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4">
        <w:r>
          <w:rPr>
            <w:rFonts w:ascii="Times New Roman" w:cs="Times New Roman" w:eastAsia="Times New Roman" w:hAnsi="Times New Roman"/>
            <w:sz w:val="18"/>
            <w:szCs w:val="18"/>
            <w:u w:val="single" w:color="auto"/>
            <w:color w:val="0000EE"/>
          </w:rPr>
          <w:t>October 20, 2022</w:t>
        </w:r>
      </w:hyperlink>
      <w:hyperlink r:id="rId5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5">
        <w:r>
          <w:rPr>
            <w:rFonts w:ascii="Times New Roman" w:cs="Times New Roman" w:eastAsia="Times New Roman" w:hAnsi="Times New Roman"/>
            <w:sz w:val="18"/>
            <w:szCs w:val="18"/>
            <w:u w:val="single" w:color="auto"/>
            <w:color w:val="0000EE"/>
          </w:rPr>
          <w:t xml:space="preserve">November 14, 2022 </w:t>
        </w:r>
      </w:hyperlink>
      <w:hyperlink r:id="rId50">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6">
        <w:r>
          <w:rPr>
            <w:rFonts w:ascii="Times New Roman" w:cs="Times New Roman" w:eastAsia="Times New Roman" w:hAnsi="Times New Roman"/>
            <w:sz w:val="18"/>
            <w:szCs w:val="18"/>
            <w:u w:val="single" w:color="auto"/>
            <w:color w:val="0000EE"/>
          </w:rPr>
          <w:t xml:space="preserve">December 6, 2022 </w:t>
        </w:r>
      </w:hyperlink>
      <w:hyperlink r:id="rId50">
        <w:r>
          <w:rPr>
            <w:rFonts w:ascii="Times New Roman" w:cs="Times New Roman" w:eastAsia="Times New Roman" w:hAnsi="Times New Roman"/>
            <w:sz w:val="18"/>
            <w:szCs w:val="18"/>
            <w:color w:val="000000"/>
          </w:rPr>
          <w:t>(other than any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portion of such filings that are furnished under applicable SEC rules rather than filed);</w:t>
      </w:r>
    </w:p>
    <w:p>
      <w:pPr>
        <w:spacing w:after="0" w:line="175" w:lineRule="exact"/>
        <w:rPr>
          <w:rFonts w:ascii="Times New Roman" w:cs="Times New Roman" w:eastAsia="Times New Roman" w:hAnsi="Times New Roman"/>
          <w:sz w:val="18"/>
          <w:szCs w:val="18"/>
          <w:color w:val="0000EE"/>
        </w:rPr>
      </w:pPr>
    </w:p>
    <w:p>
      <w:pPr>
        <w:ind w:left="1300" w:hanging="644"/>
        <w:spacing w:after="0" w:line="282" w:lineRule="auto"/>
        <w:tabs>
          <w:tab w:leader="none" w:pos="1300" w:val="left"/>
        </w:tabs>
        <w:numPr>
          <w:ilvl w:val="0"/>
          <w:numId w:val="14"/>
        </w:numPr>
        <w:rPr>
          <w:rFonts w:ascii="Times New Roman" w:cs="Times New Roman" w:eastAsia="Times New Roman" w:hAnsi="Times New Roman"/>
          <w:sz w:val="18"/>
          <w:szCs w:val="18"/>
          <w:u w:val="single" w:color="auto"/>
          <w:color w:val="0000EE"/>
        </w:rPr>
      </w:pPr>
      <w:hyperlink r:id="rId57">
        <w:r>
          <w:rPr>
            <w:rFonts w:ascii="Times New Roman" w:cs="Times New Roman" w:eastAsia="Times New Roman" w:hAnsi="Times New Roman"/>
            <w:sz w:val="18"/>
            <w:szCs w:val="18"/>
            <w:u w:val="single" w:color="auto"/>
            <w:color w:val="0000EE"/>
          </w:rPr>
          <w:t>the description of our common shares contained in our Registration Statement on Form 8-A filed on September 10, 2021, including any</w:t>
        </w:r>
      </w:hyperlink>
      <w:r>
        <w:rPr>
          <w:rFonts w:ascii="Times New Roman" w:cs="Times New Roman" w:eastAsia="Times New Roman" w:hAnsi="Times New Roman"/>
          <w:sz w:val="18"/>
          <w:szCs w:val="18"/>
          <w:u w:val="single" w:color="auto"/>
          <w:color w:val="0000EE"/>
        </w:rPr>
        <w:t xml:space="preserve"> </w:t>
      </w:r>
      <w:hyperlink r:id="rId57">
        <w:r>
          <w:rPr>
            <w:rFonts w:ascii="Times New Roman" w:cs="Times New Roman" w:eastAsia="Times New Roman" w:hAnsi="Times New Roman"/>
            <w:sz w:val="18"/>
            <w:szCs w:val="18"/>
            <w:u w:val="single" w:color="auto"/>
            <w:color w:val="0000EE"/>
          </w:rPr>
          <w:t>amendment or report filed for the purpose of updating such description; and</w:t>
        </w:r>
      </w:hyperlink>
    </w:p>
    <w:p>
      <w:pPr>
        <w:spacing w:after="0" w:line="161" w:lineRule="exact"/>
        <w:rPr>
          <w:rFonts w:ascii="Times New Roman" w:cs="Times New Roman" w:eastAsia="Times New Roman" w:hAnsi="Times New Roman"/>
          <w:sz w:val="18"/>
          <w:szCs w:val="18"/>
          <w:u w:val="single" w:color="auto"/>
          <w:color w:val="0000EE"/>
        </w:rPr>
      </w:pPr>
    </w:p>
    <w:p>
      <w:pPr>
        <w:jc w:val="both"/>
        <w:ind w:left="1300" w:hanging="644"/>
        <w:spacing w:after="0" w:line="258"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with the SEC (other than any portion of such filings that are furnished under applicable SEC rules rather than filed) pursuant to Sections 13(a), 13(c), 14 and 15(d) of the Exchange Act after the date of this prospectus supplement and prior to the termination or completion of the offering of securities under this prospectus supplement shall be deemed to be incorporated by reference in this prospectus supplement and to be a part hereof from the date of filing such reports and other documents.</w:t>
      </w:r>
    </w:p>
    <w:p>
      <w:pPr>
        <w:spacing w:after="0" w:line="183"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supplement or the accompanying prospectus but not delivered with the prospectus, including exhibits which are specifically incorporated by reference into such documents. You should direct any requests for documents to TMC the metals company Inc., 595 Howe Street, 10 Floor, Vancouver, British Columbia V6C 2T5.</w:t>
      </w:r>
    </w:p>
    <w:p>
      <w:pPr>
        <w:spacing w:after="0" w:line="180" w:lineRule="exact"/>
        <w:rPr>
          <w:rFonts w:ascii="Times New Roman" w:cs="Times New Roman" w:eastAsia="Times New Roman" w:hAnsi="Times New Roman"/>
          <w:sz w:val="18"/>
          <w:szCs w:val="18"/>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39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6"/>
          <w:szCs w:val="16"/>
          <w:color w:val="auto"/>
        </w:rPr>
        <w:t>Filed Pursuant to Rule 424(b)(3)</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Registration No. 333-267479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156845</wp:posOffset>
            </wp:positionV>
            <wp:extent cx="2614295" cy="925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261429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MILLION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38,266,180 COMMON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OFFERED BY SELLING SHAREHOLDERS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offer and sell securities from time to time in one or more offerings of up to $100 million in aggregate offering price. This prospectus describes the general terms of these securities and the general manner in which these securities will be offered by us.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selling shareholders identified in this prospectus may from time to time sell up to 38,266,180 of our common shares, without par value, or the Common Shares. We will not receive any proceeds from the sale, if any, of Common Shares by the selling shareholders. Unless otherwise set forth in a prospectus supplement, if required, the selling shareholders will pay any underwriting discounts and commissions and transfer taxes incurred by the selling shareholders in disposing of the Common Shares.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and other options to purchase additional securities will be set forth in a prospectus supplement. The price to the public of such securities and the net proceeds that we expect to receive from such sale will also be set forth in a prospectus supplement.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Common Shares are listed on the Nasdaq Global Select Market under the symbol “TMC”. On October 4, 2022, the last reported sale price of our Common Shares was $1.02 per share. We also have warrants to purchase Common Shares listed on the Nasdaq Global Select Market under the symbol “TMCWW”. On October 4, 2022, the last reported sale price of these public warrants to purchase Common Shares was $0.148. The applicable prospectus supplement will contain information, where applicable, as to any other listing, if any, on The Nasdaq Stock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October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78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800" w:type="dxa"/>
            <w:vAlign w:val="bottom"/>
            <w:tcBorders>
              <w:bottom w:val="single" w:sz="8" w:color="CCEEFF"/>
            </w:tcBorders>
            <w:gridSpan w:val="12"/>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780" w:type="dxa"/>
            <w:vAlign w:val="bottom"/>
            <w:tcBorders>
              <w:bottom w:val="single" w:sz="8" w:color="CCEEFF"/>
            </w:tcBorders>
            <w:gridSpan w:val="19"/>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0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8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SELLING SHAREHOLDERS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980" w:type="dxa"/>
            <w:vAlign w:val="bottom"/>
            <w:tcBorders>
              <w:bottom w:val="single" w:sz="8" w:color="CCEEFF"/>
            </w:tcBorders>
            <w:gridSpan w:val="15"/>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12</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SHARES AND SPECIAL SHARES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16</w:t>
            </w:r>
          </w:p>
        </w:tc>
        <w:tc>
          <w:tcPr>
            <w:tcW w:w="2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PREFERRED SHARES</w:t>
            </w:r>
          </w:p>
        </w:tc>
        <w:tc>
          <w:tcPr>
            <w:tcW w:w="7780" w:type="dxa"/>
            <w:vAlign w:val="bottom"/>
            <w:tcBorders>
              <w:bottom w:val="single" w:sz="8" w:color="CCEEFF"/>
            </w:tcBorders>
            <w:gridSpan w:val="9"/>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19</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20</w:t>
            </w:r>
          </w:p>
        </w:tc>
        <w:tc>
          <w:tcPr>
            <w:tcW w:w="2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8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shd w:val="clear" w:color="auto" w:fill="CCEEFF"/>
          </w:tcPr>
          <w:p>
            <w:pPr>
              <w:spacing w:after="0"/>
              <w:rPr>
                <w:sz w:val="17"/>
                <w:szCs w:val="17"/>
                <w:color w:val="auto"/>
              </w:rPr>
            </w:pPr>
          </w:p>
        </w:tc>
      </w:tr>
      <w:tr>
        <w:trPr>
          <w:trHeight w:val="175"/>
        </w:trPr>
        <w:tc>
          <w:tcPr>
            <w:tcW w:w="248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8560" w:type="dxa"/>
            <w:vAlign w:val="bottom"/>
            <w:tcBorders>
              <w:top w:val="single" w:sz="8" w:color="CCEEFF"/>
            </w:tcBorders>
            <w:gridSpan w:val="11"/>
          </w:tcPr>
          <w:p>
            <w:pPr>
              <w:spacing w:after="0"/>
              <w:rPr>
                <w:sz w:val="15"/>
                <w:szCs w:val="15"/>
                <w:color w:val="auto"/>
              </w:rPr>
            </w:pPr>
          </w:p>
        </w:tc>
        <w:tc>
          <w:tcPr>
            <w:tcW w:w="180" w:type="dxa"/>
            <w:vAlign w:val="bottom"/>
            <w:tcBorders>
              <w:top w:val="single" w:sz="8" w:color="0000EE"/>
            </w:tcBorders>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31</w:t>
            </w:r>
          </w:p>
        </w:tc>
        <w:tc>
          <w:tcPr>
            <w:tcW w:w="2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30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CERTAIN IMPORTANT PROVISIONS OF THE NOTICE OF ARTICLES AND ARTICLES AND THE BCBCA</w:t>
            </w:r>
          </w:p>
        </w:tc>
        <w:tc>
          <w:tcPr>
            <w:tcW w:w="2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32</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OWNERSHIP AND EXCHANGE CONTROLS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35</w:t>
            </w:r>
          </w:p>
        </w:tc>
        <w:tc>
          <w:tcPr>
            <w:tcW w:w="2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MATERIAL U.S. FEDERAL INCOME TAX CONSIDERATIONS</w:t>
            </w:r>
          </w:p>
        </w:tc>
        <w:tc>
          <w:tcPr>
            <w:tcW w:w="6160" w:type="dxa"/>
            <w:vAlign w:val="bottom"/>
            <w:tcBorders>
              <w:bottom w:val="single" w:sz="8" w:color="CCEEFF"/>
            </w:tcBorders>
            <w:gridSpan w:val="5"/>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37</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MATERIAL CANADIAN FEDERAL INCOME TAX CONSIDERATIONS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44</w:t>
            </w:r>
          </w:p>
        </w:tc>
        <w:tc>
          <w:tcPr>
            <w:tcW w:w="2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8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46</w:t>
            </w:r>
          </w:p>
        </w:tc>
        <w:tc>
          <w:tcPr>
            <w:tcW w:w="20" w:type="dxa"/>
            <w:vAlign w:val="bottom"/>
            <w:shd w:val="clear" w:color="auto" w:fill="CCEEFF"/>
          </w:tcPr>
          <w:p>
            <w:pPr>
              <w:spacing w:after="0"/>
              <w:rPr>
                <w:sz w:val="17"/>
                <w:szCs w:val="17"/>
                <w:color w:val="auto"/>
              </w:rPr>
            </w:pPr>
          </w:p>
        </w:tc>
      </w:tr>
      <w:tr>
        <w:trPr>
          <w:trHeight w:val="176"/>
        </w:trPr>
        <w:tc>
          <w:tcPr>
            <w:tcW w:w="146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580" w:type="dxa"/>
            <w:vAlign w:val="bottom"/>
            <w:tcBorders>
              <w:top w:val="single" w:sz="8" w:color="CCEEFF"/>
            </w:tcBorders>
            <w:gridSpan w:val="18"/>
          </w:tcPr>
          <w:p>
            <w:pPr>
              <w:spacing w:after="0"/>
              <w:rPr>
                <w:sz w:val="15"/>
                <w:szCs w:val="15"/>
                <w:color w:val="auto"/>
              </w:rPr>
            </w:pPr>
          </w:p>
        </w:tc>
        <w:tc>
          <w:tcPr>
            <w:tcW w:w="180" w:type="dxa"/>
            <w:vAlign w:val="bottom"/>
            <w:tcBorders>
              <w:top w:val="single" w:sz="8" w:color="0000EE"/>
            </w:tcBorders>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46</w:t>
            </w:r>
          </w:p>
        </w:tc>
        <w:tc>
          <w:tcPr>
            <w:tcW w:w="20" w:type="dxa"/>
            <w:vAlign w:val="bottom"/>
            <w:tcBorders>
              <w:top w:val="single" w:sz="8" w:color="CCEEFF"/>
            </w:tcBorders>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0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8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46</w:t>
            </w:r>
          </w:p>
        </w:tc>
        <w:tc>
          <w:tcPr>
            <w:tcW w:w="2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46</w:t>
            </w:r>
          </w:p>
        </w:tc>
        <w:tc>
          <w:tcPr>
            <w:tcW w:w="20" w:type="dxa"/>
            <w:vAlign w:val="bottom"/>
          </w:tcPr>
          <w:p>
            <w:pPr>
              <w:spacing w:after="0"/>
              <w:rPr>
                <w:sz w:val="15"/>
                <w:szCs w:val="15"/>
                <w:color w:val="auto"/>
              </w:rPr>
            </w:pPr>
          </w:p>
        </w:tc>
      </w:tr>
      <w:tr>
        <w:trPr>
          <w:trHeight w:val="695"/>
        </w:trPr>
        <w:tc>
          <w:tcPr>
            <w:tcW w:w="7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a shelf registration process. Using this process, we may, from time to time, sell any securities described in this prospectus in one or more offerings up to a total dollar amount of $100,000,000. This prospectus provides a general description of the securities we may offer. Each time we sell any securities under this prospectus, we will provide a prospectus supplement that will contain more specific information about the terms of the securities being offered and the specific manner in which they will be offered.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about the selling shareholders may change over time. When the selling shareholders sell our Common Shares under this prospectus, we will, if necessary and required by law, provide a prospectus supplement that will contain specific information about the terms of that offering.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by us, unless it is accompanied by a prospectus supplement. To the extent there are inconsistencies between any prospectus supplement, this prospectus and any documents incorporated by reference, the document with the most recent date will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Company,” “we,” “us,” “our” and similar terms refer to TMC the metals company Inc. and our subsidiaries.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w:t>
      </w:r>
      <w:r>
        <w:rPr>
          <w:rFonts w:ascii="Times New Roman" w:cs="Times New Roman" w:eastAsia="Times New Roman" w:hAnsi="Times New Roman"/>
          <w:sz w:val="18"/>
          <w:szCs w:val="18"/>
          <w:color w:val="auto"/>
        </w:rPr>
        <w:t>: We have not done anything that would permit these offerings or possession or distribution of this prospectus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jurisdiction where action for that purpose is required, other than in the United States. You are required to inform yourselves about and to observe any restrictions relating to this offering and the distribution of this prospectus.</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ind w:right="-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7025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t>PROSPECTUS SUMMARY</w:t>
      </w:r>
    </w:p>
    <w:p>
      <w:pPr>
        <w:spacing w:after="0" w:line="227" w:lineRule="exact"/>
        <w:rPr>
          <w:sz w:val="20"/>
          <w:szCs w:val="20"/>
          <w:color w:val="auto"/>
        </w:rPr>
      </w:pPr>
    </w:p>
    <w:p>
      <w:pPr>
        <w:jc w:val="both"/>
        <w:ind w:left="10"/>
        <w:spacing w:after="0" w:line="273" w:lineRule="auto"/>
        <w:rPr>
          <w:sz w:val="20"/>
          <w:szCs w:val="20"/>
          <w:color w:val="auto"/>
        </w:rPr>
      </w:pPr>
      <w:r>
        <w:rPr>
          <w:rFonts w:ascii="Times New Roman" w:cs="Times New Roman" w:eastAsia="Times New Roman" w:hAnsi="Times New Roman"/>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quarterly and other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6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About TMC the metals company Inc.</w:t>
      </w:r>
    </w:p>
    <w:p>
      <w:pPr>
        <w:spacing w:after="0" w:line="229"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and processing of polymetallic nodules found on the seafloor in international waters of the Clarion Clipperton Zone, or the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spacing w:after="0" w:line="183"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(nickel-copper-cobalt matte and/or nickel and cobalt sulfates) for electric vehicles, or EVs, and renewable energy storage markets, (ii) nickel-copper-cobalt matte and/or copper cathode for EV wiring, clean energy transmission and other applications and</w:t>
      </w:r>
    </w:p>
    <w:p>
      <w:pPr>
        <w:spacing w:after="0" w:line="3" w:lineRule="exact"/>
        <w:rPr>
          <w:sz w:val="20"/>
          <w:szCs w:val="20"/>
          <w:color w:val="auto"/>
        </w:rPr>
      </w:pPr>
    </w:p>
    <w:p>
      <w:pPr>
        <w:jc w:val="both"/>
        <w:ind w:left="10" w:hanging="10"/>
        <w:spacing w:after="0" w:line="255"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manganese silicate for manganese alloy production required for steel production. Our mission is to build a carefully managed shared stock of metal, which we refer to as a metals common, that can be used, recovered and reused for generations to come. Significant quantities of newly mined metal are required because existing metal stocks are insufficient to meet rapidly rising demand.</w:t>
      </w:r>
    </w:p>
    <w:p>
      <w:pPr>
        <w:spacing w:after="0" w:line="186"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or the ISA, an intergovernmental organization established pursuant to the 1994 Agreement Relating to the Implementation of the United Nations Convention on the Law of the Sea, or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or NORI, and Tonga Offshore Mining Limited, or TOML, sponsored by the Republic of Nauru and the Kingdom of Tonga, respectively, and exclusive commercial rights through our subsidiary, DeepGreen Engineering Pte. Ltd.’s, arrangement with Marawa Research and Exploration Limited, a company owned and sponsored by the Republic of Kiribati.</w:t>
      </w:r>
    </w:p>
    <w:p>
      <w:pPr>
        <w:spacing w:after="0" w:line="194"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18"/>
          <w:szCs w:val="18"/>
          <w:color w:val="auto"/>
        </w:rPr>
        <w:t>We have key strategic alliances with (i) Allseas Group S.A., a leading global offshore contractor, which is developing a pilot collection system, which is expected to be modified into an initial smaller scale commercial production system and serve as the basis for the design of a full-scale commercial production system and (ii) Glencore International AG, or Glencore, which holds offtake rights on 50% of the NORI nickel and copper production. In addition, we have worked with an engineering firm Hatch Ltd. and consultants Kingston Process Metallurgy Inc. to develop a near-zero solid waste flowsheet. The pyrometallurgical stages of the flowsheet were tested as part of our pilot plant program at FLSmidth &amp; Co. A/S’s and XPS Solutions’ (a Glencore subsidiary) facilities and bench-scale hydrometallurgical refining stages are being carried out at SGS SA. The near-zero solid waste flowsheet is in the process design that is expected to serve as the basis for our onshore processing facilities. In March 2022, we entered into a non-binding memorandum of understanding with Epsilon Carbon Pvt, LTD., or Epsilon Carbon, in which Epsilon Carbon expressed its intent to conduct pre-feasibility work to potentially finance, engineer, permit, construct and operate a commercial polymetallic nodule processing plant in India.</w:t>
      </w:r>
    </w:p>
    <w:p>
      <w:pPr>
        <w:spacing w:after="0" w:line="200" w:lineRule="exact"/>
        <w:rPr>
          <w:sz w:val="20"/>
          <w:szCs w:val="20"/>
          <w:color w:val="auto"/>
        </w:rPr>
      </w:pPr>
    </w:p>
    <w:p>
      <w:pPr>
        <w:spacing w:after="0" w:line="345"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50"/>
          </w:cols>
          <w:pgMar w:left="670" w:top="1022" w:right="67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064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t>We are currently focused on applying for our first exploitation contract from the ISA on the NORI Area D contract area with the goal of potentially starting commercial production in 2024. To reach our objective and initiate commercial production in 2024, we are: (i) defining our resource and project economics, (ii) developing an offshore nodule collection system, (iii) assessing the environmental, social and governance (ESG) impacts of offshore nodule collection, and (iv) developing onshore technology to process collected polymetallic nodules into a manganese silicate product, and an intermediate nickel-copper-cobalt matte product and/or end-products like nickel and cobalt sulfates, and copper cathode. We will need additional funding to reach our expected commercial production in 2024.</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Statements Regarding the NORI Initial Assessment and TOML Mineral Resource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estimated the size and quality of our resource in the NORI and TOML contracted areas in our SEC Regulation S-K (subpart 1300), referred to herein as the SEC Mining Rules, compliant Technical Report Summary - Initial Assessment, of the NORI Property, Clarion-Clipperton Zone, Pacific Ocean dated March 17, 2021, or the NORI Initial Assessment, and Technical Report Summary - TOML Mineral Resource, Clarion-Clipperton Zone, Pacific Ocean dated March 26, 2021, or the TOML Mineral Resource Statement, respectively, prepared by AMC Consultants Ltd., or AMC, each of which is filed as an exhibit to the registration statement to which this prospectus forms a part. We plan to continue to refine our resource estimate for the NORI and TOML areas and better resolve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NORI Initial Assessment and TOML Mineral Resource Statement do not include the conversion of mineral resources to mineral reserves.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used in this prospectus or in the applicable report summary, the terms “mineral resource,” “measured mineral resource,” “indicated mineral resource” and “inferred mineral resource”, as applicable, are defined and used in accordance with the SEC Mining Rules.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prospectus includes information that has been prepared in accordance with the requirements of the SEC Mining Rules.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680" w:top="1026" w:right="679" w:bottom="1440" w:gutter="0" w:footer="0" w:header="0"/>
        </w:sectPr>
      </w:pPr>
    </w:p>
    <w:bookmarkStart w:id="34" w:name="page35"/>
    <w:bookmarkEnd w:id="34"/>
    <w:p>
      <w:pPr>
        <w:jc w:val="both"/>
        <w:ind w:left="1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75736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136130" cy="7573645"/>
                    </a:xfrm>
                    <a:prstGeom prst="rect">
                      <a:avLst/>
                    </a:prstGeom>
                    <a:noFill/>
                  </pic:spPr>
                </pic:pic>
              </a:graphicData>
            </a:graphic>
          </wp:anchor>
        </w:drawing>
        <w:t>Likewise, you are cautioned not to assume that all or any part of measured or indicated mineral resources will ever be upgraded to mineral reserves.</w:t>
      </w:r>
    </w:p>
    <w:p>
      <w:pPr>
        <w:spacing w:after="0" w:line="1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229" w:lineRule="exact"/>
        <w:rPr>
          <w:sz w:val="20"/>
          <w:szCs w:val="20"/>
          <w:color w:val="auto"/>
        </w:rPr>
      </w:pPr>
    </w:p>
    <w:p>
      <w:pPr>
        <w:jc w:val="both"/>
        <w:ind w:left="10"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as described under the caption “Incorporation of Documents by Reference” on page 46 of this prospectus.</w:t>
      </w:r>
    </w:p>
    <w:p>
      <w:pPr>
        <w:spacing w:after="0" w:line="1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Our Corporate Information</w:t>
      </w:r>
    </w:p>
    <w:p>
      <w:pPr>
        <w:spacing w:after="0" w:line="229"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18"/>
          <w:szCs w:val="18"/>
          <w:color w:val="auto"/>
        </w:rPr>
        <w:t xml:space="preserve">The Company was originally known as Sustainable Opportunities Acquisition Corp., or SOAC. On September 9, 2021, we consummated a business combination, or the Business Combination, pursuant to the terms of the business combination agreement dated as of March 4, 2021 by and among SOAC, 1291924 B.C. Unlimited Liability Company, an unlimited liability company existing under the laws of British Columbia, Canada, and DeepGreen Metals Inc., a company existing under the laws of British Columbia, Canada, or DeepGreen. In connection with the Business Combination, SOAC changed its name to “TMC the metals company Inc.” Our principal executive offices are located at 595 Howe Street, 10th Floor, Vancouver, British Columbia V6C 2T5, and our telephone number is (574) 252-9333. Our website address is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The information contained on, or that can be accessed through, our website is not and shall not be deemed to be part of this prospectus. We have included our website address in this prospectus solely as an inactive textual reference. Investors should not rely on any such information in deciding whether to purchase our Common Shares or other securities.</w:t>
      </w:r>
    </w:p>
    <w:p>
      <w:pPr>
        <w:spacing w:after="0" w:line="188"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8"/>
          <w:szCs w:val="18"/>
          <w:color w:val="auto"/>
        </w:rPr>
        <w:t>All service marks, trademarks and trade names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prospectus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spacing w:after="0" w:line="1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Offerings Under This Prospectus by Us</w:t>
      </w:r>
    </w:p>
    <w:p>
      <w:pPr>
        <w:spacing w:after="0" w:line="229"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8"/>
          <w:szCs w:val="18"/>
          <w:color w:val="auto"/>
        </w:rPr>
        <w:t>Under this prospectus, we may offer our securities from time to time at prices and on terms to be determined by market conditions at the time of the offering. This prospectus provides you with a general description of the securities we may offer. Each time we offer securities under this prospectus, we will provide a prospectus supplement that will describe the specific amounts, prices and other important terms of the securities.</w:t>
      </w:r>
    </w:p>
    <w:p>
      <w:pPr>
        <w:spacing w:after="0" w:line="176"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76"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76" w:lineRule="exact"/>
        <w:rPr>
          <w:sz w:val="20"/>
          <w:szCs w:val="20"/>
          <w:color w:val="auto"/>
        </w:rPr>
      </w:pPr>
    </w:p>
    <w:p>
      <w:pPr>
        <w:ind w:left="330" w:hanging="330"/>
        <w:spacing w:after="0"/>
        <w:tabs>
          <w:tab w:leader="none" w:pos="3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27"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9"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and other options to purchase additional securities, if any; and</w:t>
      </w:r>
    </w:p>
    <w:p>
      <w:pPr>
        <w:spacing w:after="0" w:line="9"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by us unless it is accompanied by a prospectus supplement.</w:t>
      </w:r>
    </w:p>
    <w:p>
      <w:pPr>
        <w:spacing w:after="0" w:line="2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Selling Shareholders May Offer</w:t>
      </w:r>
    </w:p>
    <w:p>
      <w:pPr>
        <w:spacing w:after="0" w:line="229" w:lineRule="exact"/>
        <w:rPr>
          <w:sz w:val="20"/>
          <w:szCs w:val="20"/>
          <w:color w:val="auto"/>
        </w:rPr>
      </w:pPr>
    </w:p>
    <w:p>
      <w:pPr>
        <w:ind w:left="10" w:right="20"/>
        <w:spacing w:after="0" w:line="282" w:lineRule="auto"/>
        <w:rPr>
          <w:sz w:val="20"/>
          <w:szCs w:val="20"/>
          <w:color w:val="auto"/>
        </w:rPr>
      </w:pPr>
      <w:r>
        <w:rPr>
          <w:rFonts w:ascii="Times New Roman" w:cs="Times New Roman" w:eastAsia="Times New Roman" w:hAnsi="Times New Roman"/>
          <w:sz w:val="18"/>
          <w:szCs w:val="18"/>
          <w:color w:val="auto"/>
        </w:rPr>
        <w:t>The selling shareholders named in this prospectus may offer and resell from time to time up to 38,266,180 Common Shares. We will not receive any proceeds from the sale of Common Shares by the selling shareholders. Please see the section titled “Selling Shareholders” in this prospectus.</w:t>
      </w:r>
    </w:p>
    <w:p>
      <w:pPr>
        <w:spacing w:after="0" w:line="200" w:lineRule="exact"/>
        <w:rPr>
          <w:sz w:val="20"/>
          <w:szCs w:val="20"/>
          <w:color w:val="auto"/>
        </w:rPr>
      </w:pPr>
    </w:p>
    <w:p>
      <w:pPr>
        <w:spacing w:after="0" w:line="313"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50"/>
          </w:cols>
          <w:pgMar w:left="670" w:top="1242" w:right="67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Securities Exchange Act of 1934, as amended, or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most recent Annual Report on Form 10-K, as revised or supplemented by our subsequent Quarterly Reports on Form 10-Q or our Current Reports on Form 8-K, entitled “Business,” “Risk Factors,” and “Management’s Discussion and Analysis of Financial Condition and Results of Operations,” as well as other sections in this prospectus and the other documents or reports incorporated by reference in this prospectus, discuss some of the factors that could contribute to these differences. These forward-looking statements include, among other things, statements about:</w:t>
      </w:r>
    </w:p>
    <w:p>
      <w:pPr>
        <w:spacing w:after="0" w:line="196"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net proceeds from this offering;</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potential commercialization plans;</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battery metals and battery cathode feedstocks, copper cathode and manganese ores;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prices of battery metals and battery cathode feedstocks, copper cathode and manganese ores;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content of ISA’s final exploitation regulations that will create the legal and technical framework for exploitation of polymetallic nodules in the CCZ;</w:t>
      </w: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9"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polymetallic nodules at sea and to process such nodules on land;</w:t>
      </w:r>
    </w:p>
    <w:p>
      <w:pPr>
        <w:ind w:left="1300" w:hanging="644"/>
        <w:spacing w:after="0" w:line="250"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on hand to meet our working capital and capital expenditure requirements and the need for additional financing;</w:t>
      </w: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and the nature of such financings;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limitations on insurance coverage;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mitigate our material weaknesses in our internal control over financial reporting;</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financial statements;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metallurgical and geotechnical studies and opinions;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and the impact of the COVID-19 pandemic on our business; and</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any net proceeds from our sale of securities under this prospectus for general corporate purposes. We will have broad discretion over the use of any proceeds. Pending application of the net proceeds, we may initially invest the net proceeds in short-term, investment-grade, interest-bearing securities or apply them to the reduction of any indebtedness.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shareholders will make offers and sales pursuant to this prospectus and, if required, any applicable prospectus supplement. We will not receive any proceeds from the sale or other disposition by the selling shareholders of the Common Shares covered hereby, or interests therein. The selling shareholders will pay any expenses incurred by the selling shareholders for brokerage, accounting, tax or legal services or any other expenses incurred by the selling shareholders in disposing of these shares. We will bear all other costs, fees and expenses incurred in effecting the registration of the shares covered by this prospectus, including, without limitation, all registration fees, listing fees of The Nasdaq Stock Market and fees and expenses of our counsel and our independent registered public accounting firm.</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registering for resale an aggregate of 38,266,180 Common Shares, all of which have been issued by us as of the date of this prospectus, that may be sold by the selling shareholders set forth herein. Of these shares, 37,978,680 Common Shares were issued to the selling shareholders pursuant to that certain securities purchase agreement, dated August 12, 2022, or the PIPE Purchase Agreement, with the purchasers named therein for the issuance and sale of an aggregate of 31,625,000 Common Shares at a purchase price of $0.80 per share, a separate securities purchase agreement with Gerard Barron, our Chief Executive Officer and Chairman, or the Barron Purchase Agreement, for the issuance and sale of 103,680 Common Shares at $0.9645 per share, the consolidated closing bid price per Common Share on the Nasdaq Global Select Market on August 11, 2022, the date immediately preceding the signing of the Barron Purchase Agreement, and a separate securities purchase agreement with ERAS Capital LLC, the family fund of one of our directors, Andrei Karkar, for the issuance and sale of 6,250,000 Common Shares at a purchase price of $0.80 per share, or the ERAS Purchase Agreement. The PIPE Purchase Agreement, the Barron Purchase Agreement and the ERAS Purchase Agreement are referred to herein collectively as the Purchase Agreements. An aggregate of 287,500 Common Shares were issued to certain of our advisors in connection with advisory services they rendered related to the issuances of Common Shares pursuant to the Purchase Agreements. We are registering the resale of these Common Shares pursuant to the Purchase Agreements as well as arrangements with certain of our advisors. We will not receive any proceeds from the resale of the Common Shares by the selling shareholders.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and the accompanying footnotes are based in part on information supplied to us by the selling shareholders. The table and footnotes assume that the selling shareholders will sell all of the shares listed. However, because the selling shareholders may sell all or some of their shares under this prospectus from time to time, or in another permitted manner, we cannot assure you as to the actual number of shares that will be sold by the selling shareholders or that will be held by the selling shareholders after completion of any sales. We do not know how long the selling shareholders will hold the shares before selling them.</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Shares as of August 31, 2022 by each selling shareholder. Beneficial ownership is determined in accordance with the rules of the SEC and includes voting or investment power with respect to the securities. We deem Common Shares that may be acquired by an individual or group within 60 days of August 31, 2022 pursuant to the exercise of options or conversion of convertible securities to be outstanding for the purpose of computing the percentage ownership of such individual or group, but those shares are not deemed to be outstanding for the purpose of computing the percentage ownership of any other person shown in the table. The Common Shares issuable upon conversion of any Special Shares owned by the selling shareholders are not beneficially owned by any of the selling shareholders and are excluded from the beneficial ownership columns in the table below since the conversions of such Special Shares are subject to the Common Share trading price thresholds described herein. Please see the section titled “Description of Common Shares and Special Shares” in this prospectus. Except as indicated in footnotes to this table, we believe that the shareholders named in this table have sole voting and investment power with respect to all Common Shares shown to be beneficially owned by them based on information provided to us by these shareholders. Percentage of ownership prior to the offering is based on 265,424,635 Common Shares outstanding on August 31, 2022, assuming that we issued all of the 37,978,680 Common Shares issued under the Purchase Agreements and the 287,500 Common Shares issued to our advisors on or before such date.</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1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Common Shares to be</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24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Common Shares Beneficially</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1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 Owned After</w:t>
            </w:r>
          </w:p>
        </w:tc>
        <w:tc>
          <w:tcPr>
            <w:tcW w:w="0" w:type="dxa"/>
            <w:vAlign w:val="bottom"/>
          </w:tcPr>
          <w:p>
            <w:pPr>
              <w:spacing w:after="0"/>
              <w:rPr>
                <w:sz w:val="1"/>
                <w:szCs w:val="1"/>
                <w:color w:val="auto"/>
              </w:rPr>
            </w:pPr>
          </w:p>
        </w:tc>
      </w:tr>
      <w:tr>
        <w:trPr>
          <w:trHeight w:val="238"/>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Selling Shareholder</w:t>
            </w:r>
            <w:r>
              <w:rPr>
                <w:rFonts w:ascii="Times New Roman" w:cs="Times New Roman" w:eastAsia="Times New Roman" w:hAnsi="Times New Roman"/>
                <w:sz w:val="29"/>
                <w:szCs w:val="29"/>
                <w:b w:val="1"/>
                <w:bCs w:val="1"/>
                <w:color w:val="auto"/>
                <w:vertAlign w:val="superscript"/>
              </w:rPr>
              <w:t>(1)</w:t>
            </w:r>
          </w:p>
        </w:tc>
        <w:tc>
          <w:tcPr>
            <w:tcW w:w="24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Owned Prior to Offering</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Being</w:t>
            </w:r>
          </w:p>
        </w:tc>
        <w:tc>
          <w:tcPr>
            <w:tcW w:w="21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12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11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20" w:type="dxa"/>
            <w:vAlign w:val="bottom"/>
            <w:tcBorders>
              <w:top w:val="single" w:sz="8" w:color="CCEEFF"/>
            </w:tcBorders>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Willeese Pty Ltd ATF Wilson Family Trust</w:t>
            </w:r>
            <w:r>
              <w:rPr>
                <w:rFonts w:ascii="Times New Roman" w:cs="Times New Roman" w:eastAsia="Times New Roman" w:hAnsi="Times New Roman"/>
                <w:sz w:val="27"/>
                <w:szCs w:val="27"/>
                <w:color w:val="auto"/>
                <w:vertAlign w:val="superscript"/>
              </w:rPr>
              <w:t>(2)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1,522,990</w:t>
            </w:r>
          </w:p>
        </w:tc>
        <w:tc>
          <w:tcPr>
            <w:tcW w:w="1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2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1,147,990</w:t>
            </w: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Cadence Capital Limited</w:t>
            </w:r>
            <w:r>
              <w:rPr>
                <w:rFonts w:ascii="Times New Roman" w:cs="Times New Roman" w:eastAsia="Times New Roman" w:hAnsi="Times New Roman"/>
                <w:sz w:val="29"/>
                <w:szCs w:val="29"/>
                <w:color w:val="auto"/>
                <w:vertAlign w:val="superscript"/>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Cadence Opportunities Fund Limited</w:t>
            </w:r>
            <w:r>
              <w:rPr>
                <w:rFonts w:ascii="Times New Roman" w:cs="Times New Roman" w:eastAsia="Times New Roman" w:hAnsi="Times New Roman"/>
                <w:sz w:val="29"/>
                <w:szCs w:val="29"/>
                <w:color w:val="auto"/>
                <w:vertAlign w:val="superscript"/>
              </w:rPr>
              <w:t>(4)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Carrera Capital International Ltd.</w:t>
            </w:r>
            <w:r>
              <w:rPr>
                <w:rFonts w:ascii="Times New Roman" w:cs="Times New Roman" w:eastAsia="Times New Roman" w:hAnsi="Times New Roman"/>
                <w:sz w:val="29"/>
                <w:szCs w:val="29"/>
                <w:color w:val="auto"/>
                <w:vertAlign w:val="superscript"/>
              </w:rPr>
              <w:t>(5)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1,719,890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1,469,890</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Lucas Cahill</w:t>
            </w:r>
            <w:r>
              <w:rPr>
                <w:rFonts w:ascii="Times New Roman" w:cs="Times New Roman" w:eastAsia="Times New Roman" w:hAnsi="Times New Roman"/>
                <w:sz w:val="29"/>
                <w:szCs w:val="29"/>
                <w:color w:val="auto"/>
                <w:vertAlign w:val="superscript"/>
              </w:rPr>
              <w:t>(6)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1,198,298</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510,798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Brian Paes-Braga</w:t>
            </w:r>
            <w:r>
              <w:rPr>
                <w:rFonts w:ascii="Times New Roman" w:cs="Times New Roman" w:eastAsia="Times New Roman" w:hAnsi="Times New Roman"/>
                <w:sz w:val="29"/>
                <w:szCs w:val="29"/>
                <w:color w:val="auto"/>
                <w:vertAlign w:val="superscript"/>
              </w:rPr>
              <w:t>(7)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2,325,731</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1,562,500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763,231</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Valola Holdings Corp.</w:t>
            </w:r>
            <w:r>
              <w:rPr>
                <w:rFonts w:ascii="Times New Roman" w:cs="Times New Roman" w:eastAsia="Times New Roman" w:hAnsi="Times New Roman"/>
                <w:sz w:val="29"/>
                <w:szCs w:val="29"/>
                <w:color w:val="auto"/>
                <w:vertAlign w:val="superscript"/>
              </w:rPr>
              <w:t>(8)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South Lake One LLC</w:t>
            </w:r>
            <w:r>
              <w:rPr>
                <w:rFonts w:ascii="Times New Roman" w:cs="Times New Roman" w:eastAsia="Times New Roman" w:hAnsi="Times New Roman"/>
                <w:sz w:val="29"/>
                <w:szCs w:val="29"/>
                <w:color w:val="auto"/>
                <w:vertAlign w:val="superscript"/>
              </w:rPr>
              <w:t>(9)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12,284,667</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9,784,667</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Brian Stewart</w:t>
            </w:r>
            <w:r>
              <w:rPr>
                <w:rFonts w:ascii="Times New Roman" w:cs="Times New Roman" w:eastAsia="Times New Roman" w:hAnsi="Times New Roman"/>
                <w:sz w:val="29"/>
                <w:szCs w:val="29"/>
                <w:color w:val="auto"/>
                <w:vertAlign w:val="superscript"/>
              </w:rPr>
              <w:t>(10)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Namdar Family Holdings LLC</w:t>
            </w:r>
            <w:r>
              <w:rPr>
                <w:rFonts w:ascii="Times New Roman" w:cs="Times New Roman" w:eastAsia="Times New Roman" w:hAnsi="Times New Roman"/>
                <w:sz w:val="29"/>
                <w:szCs w:val="29"/>
                <w:color w:val="auto"/>
                <w:vertAlign w:val="superscript"/>
              </w:rPr>
              <w:t>(11)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Majid Fahd M Alghaslan</w:t>
            </w:r>
            <w:r>
              <w:rPr>
                <w:rFonts w:ascii="Times New Roman" w:cs="Times New Roman" w:eastAsia="Times New Roman" w:hAnsi="Times New Roman"/>
                <w:sz w:val="29"/>
                <w:szCs w:val="29"/>
                <w:color w:val="auto"/>
                <w:vertAlign w:val="superscript"/>
              </w:rPr>
              <w:t>(12)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261,000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BMO Nesbitt Burns Inc. ITF Lynwood Opportunities Master Fund</w:t>
            </w:r>
            <w:r>
              <w:rPr>
                <w:rFonts w:ascii="Times New Roman" w:cs="Times New Roman" w:eastAsia="Times New Roman" w:hAnsi="Times New Roman"/>
                <w:sz w:val="29"/>
                <w:szCs w:val="29"/>
                <w:color w:val="auto"/>
                <w:vertAlign w:val="superscript"/>
              </w:rPr>
              <w:t>(13)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Nero Resource Fund Pty Ltd</w:t>
            </w:r>
            <w:r>
              <w:rPr>
                <w:rFonts w:ascii="Times New Roman" w:cs="Times New Roman" w:eastAsia="Times New Roman" w:hAnsi="Times New Roman"/>
                <w:sz w:val="29"/>
                <w:szCs w:val="29"/>
                <w:color w:val="auto"/>
                <w:vertAlign w:val="superscript"/>
              </w:rPr>
              <w:t>(14)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Peter Jon Deschenes Jr</w:t>
            </w:r>
            <w:r>
              <w:rPr>
                <w:rFonts w:ascii="Times New Roman" w:cs="Times New Roman" w:eastAsia="Times New Roman" w:hAnsi="Times New Roman"/>
                <w:sz w:val="29"/>
                <w:szCs w:val="29"/>
                <w:color w:val="auto"/>
                <w:vertAlign w:val="superscript"/>
              </w:rPr>
              <w:t>(15)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The RF Trust</w:t>
            </w:r>
            <w:r>
              <w:rPr>
                <w:rFonts w:ascii="Times New Roman" w:cs="Times New Roman" w:eastAsia="Times New Roman" w:hAnsi="Times New Roman"/>
                <w:sz w:val="29"/>
                <w:szCs w:val="29"/>
                <w:color w:val="auto"/>
                <w:vertAlign w:val="superscript"/>
              </w:rPr>
              <w:t>(16)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Gadi Slade</w:t>
            </w:r>
            <w:r>
              <w:rPr>
                <w:rFonts w:ascii="Times New Roman" w:cs="Times New Roman" w:eastAsia="Times New Roman" w:hAnsi="Times New Roman"/>
                <w:sz w:val="29"/>
                <w:szCs w:val="29"/>
                <w:color w:val="auto"/>
                <w:vertAlign w:val="superscript"/>
              </w:rPr>
              <w:t>(17)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Ronit Global Opportunities Master Fund Limited</w:t>
            </w:r>
            <w:r>
              <w:rPr>
                <w:rFonts w:ascii="Times New Roman" w:cs="Times New Roman" w:eastAsia="Times New Roman" w:hAnsi="Times New Roman"/>
                <w:sz w:val="29"/>
                <w:szCs w:val="29"/>
                <w:color w:val="auto"/>
                <w:vertAlign w:val="superscript"/>
              </w:rPr>
              <w:t>(18)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1,748,154</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248,154</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Leste Global Fund SPC - Segregated Portfolio B</w:t>
            </w:r>
            <w:r>
              <w:rPr>
                <w:rFonts w:ascii="Times New Roman" w:cs="Times New Roman" w:eastAsia="Times New Roman" w:hAnsi="Times New Roman"/>
                <w:sz w:val="29"/>
                <w:szCs w:val="29"/>
                <w:color w:val="auto"/>
                <w:vertAlign w:val="superscript"/>
              </w:rPr>
              <w:t>(19)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Light Doors LLC</w:t>
            </w:r>
            <w:r>
              <w:rPr>
                <w:rFonts w:ascii="Times New Roman" w:cs="Times New Roman" w:eastAsia="Times New Roman" w:hAnsi="Times New Roman"/>
                <w:sz w:val="29"/>
                <w:szCs w:val="29"/>
                <w:color w:val="auto"/>
                <w:vertAlign w:val="superscript"/>
              </w:rPr>
              <w:t>(20)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Lydia Barron</w:t>
            </w:r>
            <w:r>
              <w:rPr>
                <w:rFonts w:ascii="Times New Roman" w:cs="Times New Roman" w:eastAsia="Times New Roman" w:hAnsi="Times New Roman"/>
                <w:sz w:val="29"/>
                <w:szCs w:val="29"/>
                <w:color w:val="auto"/>
                <w:vertAlign w:val="superscript"/>
              </w:rPr>
              <w:t>(21)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489,338</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364,338</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Claudia Barron</w:t>
            </w:r>
            <w:r>
              <w:rPr>
                <w:rFonts w:ascii="Times New Roman" w:cs="Times New Roman" w:eastAsia="Times New Roman" w:hAnsi="Times New Roman"/>
                <w:sz w:val="29"/>
                <w:szCs w:val="29"/>
                <w:color w:val="auto"/>
                <w:vertAlign w:val="superscript"/>
              </w:rPr>
              <w:t>(22)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389,632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264,632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Charlotte Barron</w:t>
            </w:r>
            <w:r>
              <w:rPr>
                <w:rFonts w:ascii="Times New Roman" w:cs="Times New Roman" w:eastAsia="Times New Roman" w:hAnsi="Times New Roman"/>
                <w:sz w:val="29"/>
                <w:szCs w:val="29"/>
                <w:color w:val="auto"/>
                <w:vertAlign w:val="superscript"/>
              </w:rPr>
              <w:t>(23)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396,538</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271,538</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Allseas Group S.A.</w:t>
            </w:r>
            <w:r>
              <w:rPr>
                <w:rFonts w:ascii="Times New Roman" w:cs="Times New Roman" w:eastAsia="Times New Roman" w:hAnsi="Times New Roman"/>
                <w:sz w:val="29"/>
                <w:szCs w:val="29"/>
                <w:color w:val="auto"/>
                <w:vertAlign w:val="superscript"/>
              </w:rPr>
              <w:t>(24)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22,701,648</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16,451,648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Gerard Barron</w:t>
            </w:r>
            <w:r>
              <w:rPr>
                <w:rFonts w:ascii="Times New Roman" w:cs="Times New Roman" w:eastAsia="Times New Roman" w:hAnsi="Times New Roman"/>
                <w:sz w:val="29"/>
                <w:szCs w:val="29"/>
                <w:color w:val="auto"/>
                <w:vertAlign w:val="superscript"/>
              </w:rPr>
              <w:t>(25)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18,806,677</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103,680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18,702,997</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ERAS Capital LLC</w:t>
            </w:r>
            <w:r>
              <w:rPr>
                <w:rFonts w:ascii="Times New Roman" w:cs="Times New Roman" w:eastAsia="Times New Roman" w:hAnsi="Times New Roman"/>
                <w:sz w:val="29"/>
                <w:szCs w:val="29"/>
                <w:color w:val="auto"/>
                <w:vertAlign w:val="superscript"/>
              </w:rPr>
              <w:t>(26)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53,370,692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47,120,692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Odeon Capital Group LLC</w:t>
            </w:r>
            <w:r>
              <w:rPr>
                <w:rFonts w:ascii="Times New Roman" w:cs="Times New Roman" w:eastAsia="Times New Roman" w:hAnsi="Times New Roman"/>
                <w:sz w:val="29"/>
                <w:szCs w:val="29"/>
                <w:color w:val="auto"/>
                <w:vertAlign w:val="superscript"/>
              </w:rPr>
              <w:t>(27)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186,250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186,250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Edward Sugar</w:t>
            </w:r>
            <w:r>
              <w:rPr>
                <w:rFonts w:ascii="Times New Roman" w:cs="Times New Roman" w:eastAsia="Times New Roman" w:hAnsi="Times New Roman"/>
                <w:sz w:val="29"/>
                <w:szCs w:val="29"/>
                <w:color w:val="auto"/>
                <w:vertAlign w:val="superscript"/>
              </w:rPr>
              <w:t>(28)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70,875</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Rogier de la Rambelje</w:t>
            </w:r>
            <w:r>
              <w:rPr>
                <w:rFonts w:ascii="Times New Roman" w:cs="Times New Roman" w:eastAsia="Times New Roman" w:hAnsi="Times New Roman"/>
                <w:sz w:val="29"/>
                <w:szCs w:val="29"/>
                <w:color w:val="auto"/>
                <w:vertAlign w:val="superscript"/>
              </w:rPr>
              <w:t>(29)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Matthew Bonner</w:t>
            </w:r>
            <w:r>
              <w:rPr>
                <w:rFonts w:ascii="Times New Roman" w:cs="Times New Roman" w:eastAsia="Times New Roman" w:hAnsi="Times New Roman"/>
                <w:sz w:val="29"/>
                <w:szCs w:val="29"/>
                <w:color w:val="auto"/>
                <w:vertAlign w:val="superscript"/>
              </w:rPr>
              <w:t>(30)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Common Shares.</w:t>
      </w:r>
    </w:p>
    <w:p>
      <w:pPr>
        <w:spacing w:after="0" w:line="27" w:lineRule="exact"/>
        <w:rPr>
          <w:rFonts w:ascii="Times New Roman" w:cs="Times New Roman" w:eastAsia="Times New Roman" w:hAnsi="Times New Roman"/>
          <w:sz w:val="18"/>
          <w:szCs w:val="18"/>
          <w:color w:val="auto"/>
        </w:rPr>
      </w:pPr>
    </w:p>
    <w:p>
      <w:pPr>
        <w:ind w:left="460" w:right="20" w:hanging="448"/>
        <w:spacing w:after="0" w:line="250" w:lineRule="auto"/>
        <w:tabs>
          <w:tab w:leader="none" w:pos="4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these holders is c/o TMC the metals company Inc., 595 Howe Street, 10th Floor, Vancouver, British Columbia, Canada V6C 2T5.</w:t>
      </w:r>
    </w:p>
    <w:p>
      <w:pPr>
        <w:ind w:left="460" w:right="20" w:hanging="448"/>
        <w:spacing w:after="0" w:line="250" w:lineRule="auto"/>
        <w:tabs>
          <w:tab w:leader="none" w:pos="4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David Wilson may be deemed to have voting and investment power over the shares held by Willeese Pty Ltd ATF Wilson Family Trust. The business address of such holder is 58 Warragal Road, Turramurra, New South Wales, 2074, Australia.</w:t>
      </w:r>
    </w:p>
    <w:p>
      <w:pPr>
        <w:ind w:left="460" w:right="20" w:hanging="448"/>
        <w:spacing w:after="0" w:line="250" w:lineRule="auto"/>
        <w:tabs>
          <w:tab w:leader="none" w:pos="4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Cadence Capital Limited is a company listed on the Australian Securities Exchange. The business address of such holder is 11/131 Macquarie Street, Sydney, NSW, 2000.</w:t>
      </w:r>
    </w:p>
    <w:p>
      <w:pPr>
        <w:ind w:left="460" w:right="20" w:hanging="448"/>
        <w:spacing w:after="0" w:line="250" w:lineRule="auto"/>
        <w:tabs>
          <w:tab w:leader="none" w:pos="4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Cadence Opportunities Fund Limited is a company listed on the Australian Securities Exchange. The business address of such holder is 11/131 Macquarie Street, Sydney, NSW, 2000.</w:t>
      </w:r>
    </w:p>
    <w:p>
      <w:pPr>
        <w:ind w:left="460" w:right="20" w:hanging="448"/>
        <w:spacing w:after="0" w:line="260" w:lineRule="auto"/>
        <w:tabs>
          <w:tab w:leader="none" w:pos="4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Zicherman may be deemed to have voting and investment power over the shares held by Carrera Capital International Ltd. The business address of such holder is One Nexus Way, Camana Bay, Grand Cayman, Cayman Islands, KY1-9005.</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ind w:left="448" w:hanging="448"/>
        <w:spacing w:after="0"/>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One Connaught Place, 1st Floor, London, W2 WET, United Kingdom.</w:t>
      </w:r>
    </w:p>
    <w:p>
      <w:pPr>
        <w:spacing w:after="0" w:line="27"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57,893 Common Shares held by its wholly-owned subsidiary, WTP Capital Corp. and 126,407 Common Shares underlying options that are exercisable within 60 days of August 31, 2022. Mr. Paes-Braga may be deemed to have voting and investment power over the shares held by WTP Capital Corp. and Valola Holdings Corp. The business address of such holder is One Connaught Place, 1st Floor, London, W2 WET, United Kingdom. Mr. Paes-Braga was formerly a non-employee director of DeepGreen.</w:t>
      </w:r>
    </w:p>
    <w:p>
      <w:pPr>
        <w:spacing w:after="0" w:line="1" w:lineRule="exact"/>
        <w:rPr>
          <w:rFonts w:ascii="Times New Roman" w:cs="Times New Roman" w:eastAsia="Times New Roman" w:hAnsi="Times New Roman"/>
          <w:sz w:val="18"/>
          <w:szCs w:val="18"/>
          <w:color w:val="auto"/>
        </w:rPr>
      </w:pPr>
    </w:p>
    <w:p>
      <w:pPr>
        <w:ind w:left="448" w:right="20" w:hanging="448"/>
        <w:spacing w:after="0" w:line="250" w:lineRule="auto"/>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Paes-Braga may be deemed to have voting and investment power over the shares held by Valola Holdings Corp. The business address of such holder is One Nexus Way, Camana Bay, Grand Cayman, Cayman Islands, KY1-9005.</w:t>
      </w:r>
    </w:p>
    <w:p>
      <w:pPr>
        <w:jc w:val="both"/>
        <w:ind w:left="448" w:hanging="448"/>
        <w:spacing w:after="0" w:line="250" w:lineRule="auto"/>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Isidoro Alfonso Quiroga Cortés, María Victoria Quiroga Moreno, Martín Abraham Guiloff Salvador and Luis Felipe Correa González, in their capacity as members of the board of managers, may be deemed to have voting and dispositive power (acting jointly Isidoro Alfonso Quiroga Cortés or María Victoria Quiroga Moreno with any of between Martín Abraham Guiloff Salvador and Luis Felipe Correa González) with respect to the securities held by South Lake One LLC. The business address of such holder is Presidente Riesco 5711 office 1603, Las Condes, Santiago, Chile.</w:t>
      </w:r>
    </w:p>
    <w:p>
      <w:pPr>
        <w:spacing w:after="0" w:line="1"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48 Weathervane Circle, Cream Ridge, NJ 08514.</w:t>
      </w:r>
    </w:p>
    <w:p>
      <w:pPr>
        <w:spacing w:after="0" w:line="9" w:lineRule="exact"/>
        <w:rPr>
          <w:rFonts w:ascii="Times New Roman" w:cs="Times New Roman" w:eastAsia="Times New Roman" w:hAnsi="Times New Roman"/>
          <w:sz w:val="18"/>
          <w:szCs w:val="18"/>
          <w:color w:val="auto"/>
        </w:rPr>
      </w:pPr>
    </w:p>
    <w:p>
      <w:pPr>
        <w:ind w:left="448" w:right="20" w:hanging="448"/>
        <w:spacing w:after="0" w:line="250" w:lineRule="auto"/>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Igal Namdar may be deemed to have voting and investment power over the shares held by Namdar Family Holdings LLC. The business address of such holder is 150 Great Neck Road, Suite 304, Great Neck, NY, 11021.</w:t>
      </w:r>
    </w:p>
    <w:p>
      <w:pPr>
        <w:ind w:left="448" w:hanging="448"/>
        <w:spacing w:after="0"/>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3618, Al Amir Muhammad bin Fahd Rd, Al Qusur Unit 6, Dhahran, Kingdom of Saudi Arabia.</w:t>
      </w:r>
    </w:p>
    <w:p>
      <w:pPr>
        <w:spacing w:after="0" w:line="9"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 Shapiro may be deemed to have voting and investment power over the shares held by BMO Nesbitt Burns Inc. ITF Lynwood Opportunities Master Fund. The business address of such holder is FG Services Limited, #2206, Cassia Court, 72 Market St., Camana Bay, P.O. Box 30869 Grand Cayman KY1-1204, Cayman Islands.</w:t>
      </w:r>
    </w:p>
    <w:p>
      <w:pPr>
        <w:spacing w:after="0" w:line="1"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AAM PO Box 107, Morley, Western Australia, Australia 6943.</w:t>
      </w:r>
    </w:p>
    <w:p>
      <w:pPr>
        <w:spacing w:after="0" w:line="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115 East 67th Street, Apartment 4B, New York, NY 10065.</w:t>
      </w:r>
    </w:p>
    <w:p>
      <w:pPr>
        <w:spacing w:after="0" w:line="9" w:lineRule="exact"/>
        <w:rPr>
          <w:rFonts w:ascii="Times New Roman" w:cs="Times New Roman" w:eastAsia="Times New Roman" w:hAnsi="Times New Roman"/>
          <w:sz w:val="18"/>
          <w:szCs w:val="18"/>
          <w:color w:val="auto"/>
        </w:rPr>
      </w:pPr>
    </w:p>
    <w:p>
      <w:pPr>
        <w:ind w:left="448" w:right="20" w:hanging="448"/>
        <w:spacing w:after="0" w:line="250" w:lineRule="auto"/>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Muriel Rubin and Harriet Rothfeld may be deemed to have voting and investment power over the shares held by The RF Trust. The business address of such holder is PO Box 213399, Royal Palm Beach, Florida 33421.</w:t>
      </w:r>
    </w:p>
    <w:p>
      <w:pPr>
        <w:ind w:left="448" w:hanging="448"/>
        <w:spacing w:after="0"/>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48 Owenoke Park, Westport, CT 06880, USA.</w:t>
      </w:r>
    </w:p>
    <w:p>
      <w:pPr>
        <w:spacing w:after="0" w:line="9" w:lineRule="exact"/>
        <w:rPr>
          <w:rFonts w:ascii="Times New Roman" w:cs="Times New Roman" w:eastAsia="Times New Roman" w:hAnsi="Times New Roman"/>
          <w:sz w:val="18"/>
          <w:szCs w:val="18"/>
          <w:color w:val="auto"/>
        </w:rPr>
      </w:pPr>
    </w:p>
    <w:p>
      <w:pPr>
        <w:ind w:left="448" w:right="20" w:hanging="448"/>
        <w:spacing w:after="0" w:line="250" w:lineRule="auto"/>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Ronit Capital LLP may be deemed to have voting and investment power over the shares held by Ronit Global Opportunities Master Fund Limited. The business address of such holder is C/O Ronit Capital LLP, 20 North Audley Street, London, W1K 6WE, UK.</w:t>
      </w:r>
    </w:p>
    <w:p>
      <w:pPr>
        <w:jc w:val="both"/>
        <w:ind w:left="448" w:hanging="448"/>
        <w:spacing w:after="0" w:line="250" w:lineRule="auto"/>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Emmanuel Rose Hermann may be deemed to have voting and investment power over the shares held by Leste Global Fund SPC - Segregated Portfolio B. The business address of such holder is Conyers Trust Company (Cayman) Limited, Cricket Square, Hutchins Drive, PO Box 2681, George Town, Grand Cayman, KY1-1111, Cayman Islands.</w:t>
      </w:r>
    </w:p>
    <w:p>
      <w:pPr>
        <w:spacing w:after="0" w:line="1" w:lineRule="exact"/>
        <w:rPr>
          <w:rFonts w:ascii="Times New Roman" w:cs="Times New Roman" w:eastAsia="Times New Roman" w:hAnsi="Times New Roman"/>
          <w:sz w:val="18"/>
          <w:szCs w:val="18"/>
          <w:color w:val="auto"/>
        </w:rPr>
      </w:pPr>
    </w:p>
    <w:p>
      <w:pPr>
        <w:ind w:left="448" w:hanging="448"/>
        <w:spacing w:after="0" w:line="250" w:lineRule="auto"/>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Mathew Van Alstyne may be deemed to have voting and investment power over the shares held by Light Doors LLC. The business address of such holder is 750 Lexington Avenue, 27th Floor, NY, NY 10022.</w:t>
      </w:r>
    </w:p>
    <w:p>
      <w:pPr>
        <w:ind w:left="448" w:hanging="448"/>
        <w:spacing w:after="0"/>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399,944 Common Shares and (ii) 89,394 Common Shares issued upon exercise of warrants.</w:t>
      </w:r>
    </w:p>
    <w:p>
      <w:pPr>
        <w:spacing w:after="0" w:line="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300,238 Common Shares and (ii) 89,394 Common Shares issued upon exercise of warrants.</w:t>
      </w:r>
    </w:p>
    <w:p>
      <w:pPr>
        <w:spacing w:after="0" w:line="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307,144 Common Shares and (ii) 89,394 Common Shares issued upon exercise of warrants.</w:t>
      </w:r>
    </w:p>
    <w:p>
      <w:pPr>
        <w:spacing w:after="0" w:line="9"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11,578,620 Common Shares issuable upon exercise of the warrant held by Allseas Group S.A. (“Allseas”). Edward Heerema, the Administrateur President of Allseas, has sole authority over Allseas. Edward Hereema, Allseas Investments S.A. (“Allseas Investments”), the majority parent of Allseas, Argentum Cedit Virtuti GCV (“ACV”), the parent of Allseas Investments, and Stichting Administratiekantoor Aequa Lance Foundation, the parent of ACV, may be deemed to have beneficial ownership of the shares owned by Allseas. The business address of such holder is 18 Route de Pra de Plan, Case Postale, 411 1618 Chatel-Saint-Denis, Switzerland. We have a strategic relationship with Allseas in connection with the development of our collection systems.</w:t>
      </w:r>
    </w:p>
    <w:p>
      <w:pPr>
        <w:spacing w:after="0" w:line="2"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14,639,239 Common Shares, (ii) 4,078,044 Common Shares that are issuable upon exercise of options that are exercisable within 60 days of August 31, 2022, and (iii) 89,394 Common Shares underlying warrants. Does not include (i) up to 781,250 restricted stock units, each representing the right to receive one Common Share upon vesting, which vest in three equal annual installments beginning on November 22, 2022 and ending on November 22, 2024 and (ii)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2"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51,955,976 Common Shares and (ii) 1,414,716 Common Shares issuable upon exercise of warrants owned by ERAS Capital LLC (“ERAS”). Andrei Karkar has voting and dispositive control over the securities held by ERAS and therefore Mr. Karkar may be deemed to have beneficial ownership of the shares held by ERAS. The business address of such holder is 323 Marina Blvd, San Francisco, CA 94123-1213.</w:t>
      </w:r>
    </w:p>
    <w:p>
      <w:pPr>
        <w:spacing w:after="0" w:line="1"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Mathew Van Alstyne may be deemed to have voting and investment power over the shares held by Odeon Capital Group LLC. The business address of such holder is 750 Lexington Avenue, 27th Floor, NY, NY 10022. The Common Shares being offered were issued by us in connection with advisory services rendered to us related to the issuance of the Common Shares pursuant to the Purchaser Agreement.</w:t>
      </w:r>
    </w:p>
    <w:p>
      <w:pPr>
        <w:spacing w:after="0" w:line="1" w:lineRule="exact"/>
        <w:rPr>
          <w:rFonts w:ascii="Times New Roman" w:cs="Times New Roman" w:eastAsia="Times New Roman" w:hAnsi="Times New Roman"/>
          <w:sz w:val="18"/>
          <w:szCs w:val="18"/>
          <w:color w:val="auto"/>
        </w:rPr>
      </w:pPr>
    </w:p>
    <w:p>
      <w:pPr>
        <w:ind w:left="448" w:hanging="448"/>
        <w:spacing w:after="0" w:line="250" w:lineRule="auto"/>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785 Fifth Avenue, Apt. 11-C, New York, NY 10022. The Common Shares being offered were issued by us in connection with advisory services rendered to us related to the issuance of the Common Shares pursuant to the Purchaser Agreement.</w:t>
      </w:r>
    </w:p>
    <w:p>
      <w:pPr>
        <w:ind w:left="448" w:right="20" w:hanging="448"/>
        <w:spacing w:after="0" w:line="250" w:lineRule="auto"/>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54 Morton Street, Apt 4F, New York, NY 10014. The Common Shares being offered were issued by us in connection with advisory services rendered to us related to the issuance of the Common Shares pursuant to the Purchaser Agreement.</w:t>
      </w:r>
    </w:p>
    <w:p>
      <w:pPr>
        <w:ind w:left="448" w:right="20" w:hanging="448"/>
        <w:spacing w:after="0" w:line="260" w:lineRule="auto"/>
        <w:tabs>
          <w:tab w:leader="none" w:pos="4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3600 North Lake Blvd, #186, Tahoe City, CA 96145. The Common Shares being offered were issued by us in connection with advisory services rendered to us related to the issuance of the Common Shares pursuant to the Purchaser Agreement.</w:t>
      </w:r>
    </w:p>
    <w:p>
      <w:pPr>
        <w:spacing w:after="0" w:line="397"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8"/>
          </w:cols>
          <w:pgMar w:left="332" w:top="931"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or the selling shareholders may offer securities under this prospectus from time to time pursuant to underwritten public offerings, negotiated transactions, block trades or a combination of these methods or any of the following:</w:t>
      </w:r>
    </w:p>
    <w:p>
      <w:pPr>
        <w:spacing w:after="0" w:line="162" w:lineRule="exact"/>
        <w:rPr>
          <w:sz w:val="20"/>
          <w:szCs w:val="20"/>
          <w:color w:val="auto"/>
        </w:rPr>
      </w:pPr>
    </w:p>
    <w:p>
      <w:pPr>
        <w:ind w:left="1300" w:hanging="64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7" w:lineRule="exact"/>
        <w:rPr>
          <w:rFonts w:ascii="Times New Roman" w:cs="Times New Roman" w:eastAsia="Times New Roman" w:hAnsi="Times New Roman"/>
          <w:sz w:val="18"/>
          <w:szCs w:val="18"/>
          <w:color w:val="auto"/>
        </w:rPr>
      </w:pPr>
    </w:p>
    <w:p>
      <w:pPr>
        <w:ind w:left="1300" w:right="20" w:hanging="640"/>
        <w:spacing w:after="0" w:line="250"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ind w:left="1300" w:hanging="64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shareholders to sell a specified number of such shares at a stipulated price per share;</w:t>
      </w:r>
    </w:p>
    <w:p>
      <w:pPr>
        <w:spacing w:after="0" w:line="9" w:lineRule="exact"/>
        <w:rPr>
          <w:rFonts w:ascii="Times New Roman" w:cs="Times New Roman" w:eastAsia="Times New Roman" w:hAnsi="Times New Roman"/>
          <w:sz w:val="18"/>
          <w:szCs w:val="18"/>
          <w:color w:val="auto"/>
        </w:rPr>
      </w:pPr>
    </w:p>
    <w:p>
      <w:pPr>
        <w:ind w:left="1300" w:right="20" w:hanging="640"/>
        <w:spacing w:after="0" w:line="250"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such options are listed on an options exchange or otherwise;</w:t>
      </w:r>
    </w:p>
    <w:p>
      <w:pPr>
        <w:ind w:left="1300" w:hanging="64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or the selling shareholders may sell the securities (1) through underwriters or dealers, (2) through agents or (3) directly to one or more purchasers, or through a combination of such methods. We or the selling shareholders may distribute the securities on any national securities exchange or quotation service on which the securities may be listed or quoted at the time of sale, in the over-the-counter market or in transactions otherwise than on these exchanges or systems or in the over-the-counter market from time to time in one or more transactions at:</w:t>
      </w:r>
    </w:p>
    <w:p>
      <w:pPr>
        <w:spacing w:after="0" w:line="180" w:lineRule="exact"/>
        <w:rPr>
          <w:sz w:val="20"/>
          <w:szCs w:val="20"/>
          <w:color w:val="auto"/>
        </w:rPr>
      </w:pPr>
    </w:p>
    <w:p>
      <w:pPr>
        <w:ind w:left="1300" w:hanging="64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 from time to time;</w:t>
      </w:r>
    </w:p>
    <w:p>
      <w:pPr>
        <w:spacing w:after="0" w:line="27"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prices; or</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the selling shareholders utilize a dealer in the sale of the securities being offered by this prospectus, we or the selling shareholders, as applicable, will sell the securities to the dealer, as principal. The dealer may then resell the securities to the public at varying prices to be determined by the dealer at the time of resale.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underwriter is used in the sale of the securities being offered by this prospectus, an underwriting agreement will be executed with the underwriter at the time of sale, and the name of any underwriter will be provided in any prospectus supplement, if required, which the underwriter will use to make resales of the securities to the public. In connection with the sale of the securities, we or the selling shareholders,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underwritten public offerings, negotiated transactions and block trades, we or the selling shareholders, if required, will provide in the applicable prospectus supplement information regarding any compensation paid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or the selling securities may enter into agreements to indemnify underwriters, dealers and agents against civil liabilities, including liabilities under the Securities Act, or to contribute to payments they may be required to make in respect thereof. To the extent required by the Purchase Agreements, we have agreed to indemnify certain of the selling shareholders against liabilities, including liabilities under the Securities Act and state securities laws, relating to the registration of certain of the shares offered by this prospectus.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both"/>
        <w:spacing w:after="0" w:line="255" w:lineRule="auto"/>
        <w:rPr>
          <w:sz w:val="20"/>
          <w:szCs w:val="20"/>
          <w:color w:val="auto"/>
        </w:rPr>
      </w:pPr>
      <w:r>
        <w:rPr>
          <w:rFonts w:ascii="Times New Roman" w:cs="Times New Roman" w:eastAsia="Times New Roman" w:hAnsi="Times New Roman"/>
          <w:sz w:val="18"/>
          <w:szCs w:val="18"/>
          <w:color w:val="auto"/>
        </w:rPr>
        <w:t>If so indicated in a prospectus supplement, if required, we or the selling shareholders will authorize the underwriters, dealers or other persons acting as our agents to solicit offers by certain institutions to purchase securities from us pursuant to delayed delivery contracts providing for payment and delivery on the date stated in each applicable prospectus supplement, if required.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9" w:lineRule="exact"/>
        <w:rPr>
          <w:sz w:val="20"/>
          <w:szCs w:val="20"/>
          <w:color w:val="auto"/>
        </w:rPr>
      </w:pPr>
    </w:p>
    <w:p>
      <w:pPr>
        <w:ind w:left="1300" w:hanging="644"/>
        <w:spacing w:after="0" w:line="261"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jc w:val="both"/>
        <w:ind w:left="1300" w:hanging="644"/>
        <w:spacing w:after="0" w:line="255"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a prospectus supplement, if required,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if required,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if required, for offers and sales related to market-making transactions in the securities. These underwriters may act as principal or agent in these transactions, and the sales will be made at prices related to prevailing market prices at the time of sale. Any selling shareholders and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 Selling shareholders who are “underwriters” within the meaning of Section 2(a)(11) of the Securities Act will be subject to the prospectus delivery requirements of the Securities Act.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 Shares sold pursuant to the registration statement of which this prospectus is a part will be authorized for listing and trading on The Nasdaq Stock Market. The applicable prospectus supplement, if required, will contain information, where applicable, as to any other listing, if any, on The Nasdaq Stock Market or any securities market or other securities exchange of the securities covered by the prospectus supplement. Underwriters may make a market in our Common Shares, but will not be obligated to do so and may discontinue any market making at any time without notice. We can make no assurance as to the liquidity of or the existence, development or maintenance of trading markets for any of the securities.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shareholders also may resell all or a portion of the shares in open market transactions in reliance upon Rule 144 under the Securities Act, as permitted by that rule, or Section 4(1) under the Securities Act, if available, rather than under this prospectus, provided that they meet the criteria and conform to the requirements of those provisions.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Broker-dealers engaged by the selling shareholders may arrange for other broker-dealers to participate in sales. If the selling shareholders effect such transactions by selling Common Shares to or through underwriters, broker-dealers or agents, such underwriters, broker-dealers or agents may receive commissions in the form of discounts, concessions or commissions from the selling shareholders or commissions from purchasers of the Common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5110.</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sales of the Common Shares or otherwise, the selling shareholders may enter into hedging transactions with broker-dealers or other financial institutions, which may in turn engage in short sales of the Common Shares in the course of hedging in positions they assume. The selling shareholders may also sell Common Shares short and if such short sale shall take place after the effective date of this registration statement, the selling shareholders may deliver Common Shares covered by this prospectus to close out short positions and to return borrowed shares in connection with such short sales. The selling shareholders may also loan or pledge Common Shares to broker-dealers that in turn may sell such shares, to the extent permitted by applicable law. The selling shareholders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if required). Notwithstanding the foregoing, the selling shareholders have been advised that they may not use shares registered on this registration statement to cover short sales of Common Shares made prior to the effective date of the registration statement, of which this prospectus forms a part.</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shareholders may, from time to time, pledge or grant a security interest in some or all of the Common Shares owned by them and, if they default in the performance of their secured obligations, the pledgees or secured parties may offer and sell the Common Shares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shareholders also may transfer and donate the Common Shares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selling shareholder has informed the Company that it is not a registered broker-dealer and does not have any written or oral agreement or understanding, directly or indirectly, with any person to distribute the Common Shares. Upon the Company being notified in writing by a selling shareholders that any material arrangement has been entered into with a broker-dealer for the sale of Common Shares through a block trade, special offering, exchange distribution or secondary distribution or a purchase by a broker or dealer, a supplement to this prospectus will be filed, if required, pursuant to Rule 424(b) under the Securities Act, disclosing (i) the name of each such selling shareholders and of the participating broker-dealer(s), (ii) the number of shares involved, (iii) the price at which such the Common Shares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Common Shares may be sold in such states only through registered or licensed brokers or dealers. In addition, in some states the Common Shares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shareholders will sell any or all of the Common Shares registered pursuant to the shelf registration statement, of which this prospectus forms a part.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selling shareholder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Common Shares by the selling shareholders and any other participating person. Regulation M may also restrict the ability of any person engaged in the distribution of the Common Shares to engage in market-making activities with respect to the Common Shares. All of the foregoing may affect the marketability of the Common Shares and the ability of any person or entity to engage in market-making activities with respect to the Common Shares.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pay all expenses of the registration of the Common Shares pursuant to the Purchase Agreements, including, without limitation, SEC filing fees and expenses of compliance with state securities or “blue sky” laws; provided, however, that each selling shareholder will pay all underwriting discounts and selling commissions, if any. We will indemnify the selling shareholders against certain liabilities, including some liabilities under the Securities Act, in accordance with the Purchase Agreements, or the selling shareholders will be entitled to contribution. We may be indemnified by the selling shareholders against civil liabilities, including liabilities under the Securities Act, that may arise from any written information furnished to us by the selling shareholders specifically for use in this prospectus, in accordance with the Purchase Agreements, or we may be entitled to contribution.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SHARES AND SPECIAL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capital consists of (a) an unlimited number of Common Shares, (b) an unlimited number of preferred shares, issuable in series,</w:t>
      </w:r>
    </w:p>
    <w:p>
      <w:pPr>
        <w:spacing w:after="0" w:line="27" w:lineRule="exact"/>
        <w:rPr>
          <w:sz w:val="20"/>
          <w:szCs w:val="20"/>
          <w:color w:val="auto"/>
        </w:rPr>
      </w:pPr>
    </w:p>
    <w:p>
      <w:pPr>
        <w:jc w:val="both"/>
        <w:ind w:firstLine="8"/>
        <w:spacing w:after="0" w:line="255" w:lineRule="auto"/>
        <w:tabs>
          <w:tab w:leader="none" w:pos="2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Class A Special Shares, (d) 10,000,000 Class B Special Shares, (e) 10,000,000 Class C Special Shares, (f) 20,000,000 Class D Special Shares, (g) 20,000,000 Class E Special Shares, (h) 20,000,000 Class F Special Shares, (i) 25,000,000 Class G Special Shares, (j) 25,000,000 Class H Special Shares, (k) 500,000 Class I Special Shares, and (l) 741,000 Class J Special Shares, each without par value.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summaries of certain provisions of our Common Shares and Special Shares do not purport to be complete. You should refer to the section of this prospectus entitled “Certain Important Provisions of The Notice of Articles and Articles and the BCBCA”, “Ownership and Exchange Controls” and our notice of articles and articles, both of which are included as exhibits to the registration statement of which this prospectus is a part. The summaries below are also qualified by provisions of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there were 265,529,989 Common Shares issued and outstanding. As of September 30, 2022, we had approximately 125 record holders of our Common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Holders of Common Shares are entitled to one (1) vote per share on all matters upon which holders of shares are entitled to vote. Subject to the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Corporations Act </w:t>
      </w:r>
      <w:r>
        <w:rPr>
          <w:rFonts w:ascii="Times New Roman" w:cs="Times New Roman" w:eastAsia="Times New Roman" w:hAnsi="Times New Roman"/>
          <w:sz w:val="18"/>
          <w:szCs w:val="18"/>
          <w:color w:val="auto"/>
        </w:rPr>
        <w:t>(British Columbia), or the BCBCA, and prior rights of the holders of preferred shares and any other class ranking senior to the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the holders of Common Shares are entitled to receive dividends as, if and when declared by the board of directors. Subject to the prior rights of the holders of Special Shares and preferred shares, and any other class ranking senior to the Common Shares, in the event of our liquidation, dissolution or winding-up or other distribution of our assets among our shareholders, the holders of Common Shares will be entitled to share pro rata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of articles and articles requiring holders of Common Shares to contribute additional capital, or permitting or restricting the issuance of additional securities of authorized share capital or any other material restrictions. The special rights or restrictions attached to Common Shares are subject to and may be adversely affected by, the rights attached to any series of preferred shares that the board of directors may designate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Agent and Registrar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Shares is Continental Stock Transfer &amp;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Shares are listed for trading on the Nasdaq Global Select Market under the symbol “TMC”.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there were issued and outstanding (a) 4,999,973 Class A Special Shares, (b) 9,999,853 Class B Special Shares, (c) 9,999,853 Class C Special Shares, (d) 19,999,855 Class D Special Shares, (e) 19,999,855 Class E Special Shares, (f) 19,999,855 Class F Special Shares,</w:t>
      </w: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24,999,860 Class G Special Shares, (h) 24,999,860 Class H Special Shares, (i) 500,000 Class I Special Shares and (j) 741,000 Class J Special Shares.</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spacing w:after="0" w:line="253" w:lineRule="auto"/>
        <w:rPr>
          <w:sz w:val="20"/>
          <w:szCs w:val="20"/>
          <w:color w:val="auto"/>
        </w:rPr>
      </w:pPr>
      <w:r>
        <w:rPr>
          <w:rFonts w:ascii="Times New Roman" w:cs="Times New Roman" w:eastAsia="Times New Roman" w:hAnsi="Times New Roman"/>
          <w:sz w:val="18"/>
          <w:szCs w:val="18"/>
          <w:color w:val="auto"/>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 or the Redemption Price. Holders of Special Shares have no pre-emptive or exchange rights or other subscription rights. There is no provision in our notice of articles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Our notice of articles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our notice or articles and articles, referred to herein as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BCBCA, any Special Shares then outstanding shall be redeemed by us without any action on the part of the holders of Special Shares (i) at any time after the 15th year anniversary of the original issue date of the Special Shares or (ii) at any time after a Change of Control, in each case at the Redemption Price. For the purposes of our notice of articles and articles, “Change of Control” shall mean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our shareholders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our capital or similar interest us (including any stock appreciation, phantom stock, profit participation or similar rights), and any option, warrant, right or security (including debt securities) convertible, exchangeable or exercisable therefor.</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Special Shares will automatically convert into Common Shares on a one (1) for one (1) basis (unless adjusted as described below) upon the occurrence of the following events:</w:t>
      </w:r>
    </w:p>
    <w:p>
      <w:pPr>
        <w:spacing w:after="0" w:line="162" w:lineRule="exact"/>
        <w:rPr>
          <w:sz w:val="20"/>
          <w:szCs w:val="20"/>
          <w:color w:val="auto"/>
        </w:rPr>
      </w:pPr>
    </w:p>
    <w:p>
      <w:pPr>
        <w:jc w:val="both"/>
        <w:ind w:left="660" w:hanging="328"/>
        <w:spacing w:after="0" w:line="255"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A Special Shares, if (a) on any twenty (20) trading days within any thirty (30) trading day period, the Common Shares trade on the principal securities exchange or securities market on which Common Shares are then traded for a price that is greater than or equal to $15.00, or (b) there occurs any transaction resulting in a Change of Control with a valuation of the Common Shares that is greater than or equal to $15.00 per Common Share;</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$25.00, or (b) there occurs any transaction resulting in a Change of Control with a valuation of the Common Shares that is greater than or equal to $25.00 per Common Share;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$35.00, or (b) there occurs any transaction resulting in a Change of Control with a valuation of the Common Shares that is greater than or equal to $35.00 per Common Share;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 (b) there occurs any transaction resulting in a Change of Control with a valuation of the Common Shares that is greater than or equal to $75.00 per Common Share;</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left="660" w:hanging="328"/>
        <w:spacing w:after="0" w:line="25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 (b) there occurs any transaction resulting in a Change of Control with a valuation of the Common Shares that is greater than or equal to $100.00 per Common Share;</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 (b) there occurs any transaction resulting in a Change of Control with a valuation of the Common Shares that is greater than or equal to $150.00 per Common Share;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 (b) there occurs any transaction resulting in a Change of Control with a valuation of the Common Shares that is greater than or equal to $200.00 per Common Share;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 (b) there occurs any transaction resulting in a Change of Control with a valuation of the Common Shares that is greater than or equal to $12.00 per Common Share.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Common Share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preferred shares and the description of the terms of any particular series of preferred shares that we choose to issue hereunder are not complete. These descriptions are qualified in their entirety by reference to notice of articles and articles, both of which are included as exhibits to the registration statement of which this prospectus is a part.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authorized to issue an unlimited number of preferred shares, issuable in series. Accordingly, the board of directors is authorized, without shareholder approval but subject to the provisions of the BCBCA and notice of articles, to determine the maximum number of shares of each series, create an identifying name for each series and attach such special rights or restrictions, including dividend, liquidation and voting rights, as the board of directors may determine, and such special rights or restrictions, including dividend, liquidation and voting rights, may be superior to those of the Common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preferred shares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or designation;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ind w:left="6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a series of debt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or Exchange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common shares or our other securities. We will include provisions as to whether conversion or exchange is mandatory, at the option of the holder or at our option. We may include provisions pursuant to which the number of our common shares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Merger or Sale; No Protection in Event of a Change of Control or Highly Leveraged Transaction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spacing w:after="0" w:line="269"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83"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16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jc w:val="both"/>
        <w:ind w:left="660" w:hanging="328"/>
        <w:spacing w:after="0" w:line="253"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periodically file statements with the applicable debenture trustee regarding our compliance with specified covenants in the applicable indenture.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Indenture; Waiver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27"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0"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Discharge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16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or exchange of debt securities of the series;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57"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Concerning the Debenture Trustee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and Paying Agents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Subordination of Subordinated Debt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warrants to purchase our common shares, preferred shares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common shares and the number of our common shares to be received upon exercise of the warrants;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preferred shares, the number of preferred shares to be received upon exercise, and a description of that series of our preferred shares;</w:t>
      </w:r>
    </w:p>
    <w:p>
      <w:pPr>
        <w:ind w:left="660" w:hanging="328"/>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ind w:left="660" w:hanging="328"/>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ind w:left="660" w:hanging="328"/>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shares, preferred shares and/or debt securities will be separately transferable;</w:t>
      </w: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may be sold separately or with other securities as parts of units;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governing law of the warrants;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any warrants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2022, there were an aggregate of 15,000,000 outstanding public warrants held of record by one holder,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jc w:val="both"/>
        <w:spacing w:after="0" w:line="254" w:lineRule="auto"/>
        <w:rPr>
          <w:sz w:val="20"/>
          <w:szCs w:val="20"/>
          <w:color w:val="auto"/>
        </w:rPr>
      </w:pPr>
      <w:r>
        <w:rPr>
          <w:rFonts w:ascii="Times New Roman" w:cs="Times New Roman" w:eastAsia="Times New Roman" w:hAnsi="Times New Roman"/>
          <w:sz w:val="18"/>
          <w:szCs w:val="18"/>
          <w:color w:val="auto"/>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Redemptions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w:t>
      </w:r>
    </w:p>
    <w:p>
      <w:pPr>
        <w:spacing w:after="0" w:line="22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the permitted transferees of Sustainable Opportunities Holdings LLC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w:t>
      </w:r>
    </w:p>
    <w:p>
      <w:pPr>
        <w:spacing w:after="0" w:line="5" w:lineRule="exact"/>
        <w:rPr>
          <w:sz w:val="20"/>
          <w:szCs w:val="20"/>
          <w:color w:val="auto"/>
        </w:rPr>
      </w:pPr>
    </w:p>
    <w:p>
      <w:pPr>
        <w:jc w:val="both"/>
        <w:ind w:firstLine="8"/>
        <w:spacing w:after="0" w:line="250" w:lineRule="auto"/>
        <w:tabs>
          <w:tab w:leader="none" w:pos="2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8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w:t>
      </w:r>
    </w:p>
    <w:p>
      <w:pPr>
        <w:jc w:val="both"/>
        <w:ind w:firstLine="8"/>
        <w:spacing w:after="0" w:line="252" w:lineRule="auto"/>
        <w:tabs>
          <w:tab w:leader="none" w:pos="26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registration statement of which this prospectus is a part, for a complete description of the terms and conditions applicable to the warrants.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Common Shares and any voting rights until they exercise their warrants and receive Common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Warrant Agent and Registrar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agent for our public warrants is Continental Stock Transfer &amp; Trust Company.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public warrants are listed for trading on the Nasdaq Global Select Market under the symbol “TMCWW”.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2022, there were 9,500,000 private placement warrants outstanding held of record by 32 holders. The private placement warrants (including the Common Shares issuable upon exercise of the private placement warrants) were not transferable, assignable or salable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SOAC or its permitted transferees. SOAC,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SOAC or its permitted transferees, the private placement warrants will be redeemable by us and exercisable by the holders on the same basis as the public warrants.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spacing w:after="0" w:line="256" w:lineRule="auto"/>
        <w:rPr>
          <w:sz w:val="20"/>
          <w:szCs w:val="20"/>
          <w:color w:val="auto"/>
        </w:rPr>
      </w:pPr>
      <w:r>
        <w:rPr>
          <w:rFonts w:ascii="Times New Roman" w:cs="Times New Roman" w:eastAsia="Times New Roman" w:hAnsi="Times New Roman"/>
          <w:sz w:val="18"/>
          <w:szCs w:val="18"/>
          <w:color w:val="auto"/>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Allseas Warrant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4, 2021, DeepGreen issued a warrant to Allseas Group S.A., or the Allseas Warrant, which shall vest upon successful completion of a prescribed project, referred to as the PMTS, and become exercisable for a maximum of 11,578,620 Common Shares (as it may be adjusted based on the formula described therein) at a purchase price of $0.01 per share. A maximum of 11.6 million warrants to purchase common shares will vest if the PMTS is completed by September 30, 2023, gradually decreasing to 5.8 million warrants to purchase Common Shares if PMTS is completed after September 30, 2025. The Allseas Warrant shall vest only upon (and not before) the successful completion of PMTS and will expire on September 30, 2026.</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units that we may offer under this prospectus. While the terms summarized below will apply generally to any units that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debt securities, common shares, preferred shares, or warrants, for the purchase of common shares and/or preferred shares in one or more series,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governing law of the unit agreement;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such numbers of distinct series as we determine.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Common Shares and Special Shares,” “Description of Preferred Shares,” “Description of Debt Securities” and “Description of Warrants” will apply to each unit, as applicable, and to any common share, preferred share or warrant included in each unit, as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CERTAIN IMPORTANT PROVISIONS OF THE NOTICE OF ARTICLES AND ARTICLES AND THE BCBCA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Stated Objects or Purposes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articles and articles do not contain stated objects or purposes and do not place any limitations on the business that we may carry 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Power to vote on matters in which a director is materially interested. Under the BCBCA, a director or senior officer of a company is 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or senior officer does not hold a disclosable interest in a contract or transaction if the contract or transaction: (i) is an arrangement by way of security granted by the company for money loaned to, or obligations undertaken by, the director or senior officer, or a person in whom the director or senior officer has a material interest, for the benefit the company or for one of our affiliates’ benefit; (ii) relates to an indemnity or insurance permitted under the BCBCA; (iii) relates to the remuneration of the director or senior officer in his or her capacity as director, officer, employee or agent of the company or of one of its affiliates;</w:t>
      </w:r>
    </w:p>
    <w:p>
      <w:pPr>
        <w:spacing w:after="0" w:line="6" w:lineRule="exact"/>
        <w:rPr>
          <w:sz w:val="20"/>
          <w:szCs w:val="20"/>
          <w:color w:val="auto"/>
        </w:rPr>
      </w:pPr>
    </w:p>
    <w:p>
      <w:pPr>
        <w:jc w:val="both"/>
        <w:ind w:firstLine="8"/>
        <w:spacing w:after="0" w:line="255" w:lineRule="auto"/>
        <w:tabs>
          <w:tab w:leader="none" w:pos="32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 loan to the company and the director or senior officer, or a person in whom the director or senior officer has a material interest, is the guarantor of some or all of the loan; or (v) is with a company that is affiliated to the company and the director or senior officer is also a director or senior officer of that company or an affiliate of that company.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director or senior officer who holds a disclosable interest may also be liable to account to the company for any profit that accrues to the director or senior officer under or as a result of a contract or transaction in which the director or senior officer holds a disclosable interest, unless the contract or transaction is: (i) 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or senior officer, the disclosable interest was disclosed to the other directors or shareholders and the director or senior officer who holds the disclosable interest does not vote on any decision or resolution touching on the contract or transaction. Directors and senior officers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Directors’ power to determine the remuneration of directors. The remuneration of our directors, if any, may be determined by our directors subject to our Articles. The remuneration may be in addition to any salary or other remuneration paid to any of our employees (including executive officers) who are also directors.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Number of shares required to be owned by a director. Our Articles do not and the BCBCA does not provide that a director is required to hold any of Common Shares as a qualification for holding his or her office.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electronic or other communications facilities that permit all participants to communicate with each other during the meeting.</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spacing w:after="0" w:line="256" w:lineRule="auto"/>
        <w:rPr>
          <w:sz w:val="20"/>
          <w:szCs w:val="20"/>
          <w:color w:val="auto"/>
        </w:rPr>
      </w:pPr>
      <w:r>
        <w:rPr>
          <w:rFonts w:ascii="Times New Roman" w:cs="Times New Roman" w:eastAsia="Times New Roman" w:hAnsi="Times New Roman"/>
          <w:sz w:val="18"/>
          <w:szCs w:val="18"/>
          <w:color w:val="auto"/>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and the auditors,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quorum for meetings of shareholders is present if at least two shareholders who, in the aggregate, hold at least 5%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vote at any meetings of our shareholders. Our directors and officers, our auditor and any other persons invited by our directors or the chair of the meeting are entitled to attend any meeting of our shareholders but will not be counted in the quorum or be entitled to vote at the meeting unless he or she is a shareholder or proxyholder entitled to vote at the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 and Advance Notice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BCBCA, qualified shareholders holding at least either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advance notice provisions with respect to the election of our directors are included in the notice of articles and articles, referred to herein as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referred to herein as the Notice Date, is less than 50 days before the meeting date, not later than the close of business on the 10th day following the Notice Date; and (ii) in the case of a special meeting (which is not also an annual meeting) of shareholders called for any purpose which includes electing directors, not later than the close of business on the 15th day following the Notice Date.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delaying until the next shareholder meeting the nomination of certain persons for director that are favored by the holders of a majority of our outstanding voting securities.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Forum Selection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notice of articles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of articles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of articles and articles provides that the federal district courts of the United States of America, to the fullest extent permitted by law, are the sole and exclusive forum for resolving any complaint asserting a cause of action arising under the Securities Act, referred to herein as the Federal Forum Provision. Application of the Federal Forum Provision means that suits brought by our shareholders to enforce any duty or liability created by the Securities Act must be brought in federal court and cannot be brought in state court.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of articles and articles to be inapplicable or unenforceable in an action, we may incur additional costs associated with resolving such action in other jurisdictions, which could harm our business,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or an indemnifiable person, against all judgments, penalties or fines, or amounts paid to settle a proceeding or an action, in respect of any legal proceeding or investigative action (whether current, threatened, pending or completed) in which he or she is involved because of that person’s position as an indemnifiable person, or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 subject to the indemnifiable person providing an undertaking that such person will repay the amounts advanced if it is ultimately determined that the payment of such expenses is prohibited by the BCBCA.</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OWNERSHIP AND EXCHANGE CONTROLS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limitation imposed by Canadian law or by the notice of articles and articles on the right of a non-resident to hold or vote Common Shares, other than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Act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Limitations on the ability to acquire and hold Common Shares may be imposed by the Competition Act (Canada). This legislation permits the Commissioner of Competition, or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Canada Act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Investment Canada Act requires each “non Canadian” (as defined in the Investment Canada Act) who acquires “control” of an existing “Canadian business,” to file a notification in prescribed form with the responsible federal government department or departments not later than 30 days after closing, provided the acquisition of control is not a reviewable transaction under the Investment Canada Act. Subject to certain exemptions, a transaction that is reviewable under the Investment Canada Act may not be implemented until an application for review has been filed and the responsible Minister of the federal cabinet has determined that the investment is likely to be of “net benefit to Canada” taking into account certain factors set out in the Investment Canada Act. Under the Investment Canada Act, an investment in Common Shares by a non-Canadian who is an investor originating from a country with which Canada has a free trade agreement, including a United States investor, and is not a state-owned enterprise, would be reviewable only if it were an investment to acquire control of us pursuant to the Investment Canada Act and our enterprise value (as determined pursuant to the Investment Canada Act and its regulations) was equal to or greater than the amount specified, which is currently CAD$1.711 billion. For most other investors who are not state-owned enterprises the threshold is currently CAD$1.141 billion for 2022.</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Investment Canada Act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national-security-review regime in the Investment Canada Act,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pre-or post-closing basis.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spacing w:after="0" w:line="282" w:lineRule="auto"/>
        <w:rPr>
          <w:sz w:val="20"/>
          <w:szCs w:val="20"/>
          <w:color w:val="auto"/>
        </w:rPr>
      </w:pPr>
      <w:r>
        <w:rPr>
          <w:rFonts w:ascii="Times New Roman" w:cs="Times New Roman" w:eastAsia="Times New Roman" w:hAnsi="Times New Roman"/>
          <w:sz w:val="18"/>
          <w:szCs w:val="18"/>
          <w:color w:val="auto"/>
        </w:rPr>
        <w:t>Certain transactions relating to Common Shares will generally be exempt from the Investment Canada Act, subject to the federal government’s prerogative to conduct a national-security review, including:</w:t>
      </w:r>
    </w:p>
    <w:p>
      <w:pPr>
        <w:spacing w:after="0" w:line="162" w:lineRule="exact"/>
        <w:rPr>
          <w:sz w:val="20"/>
          <w:szCs w:val="20"/>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Common Shares by a person in the ordinary course of that person’s business as a trader or dealer in securities;</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in connection with the realization of security granted for a loan or other financial assistance and not for any purpose related to the provisions of the Investment Canada Act; and</w:t>
      </w:r>
    </w:p>
    <w:p>
      <w:pPr>
        <w:ind w:left="980" w:right="20" w:hanging="324"/>
        <w:spacing w:after="0" w:line="260"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by reason of an amalgamation, merger, consolidation or corporate reorganization following which the ultimate direct or indirect control in fact of us, through ownership of Common Shares, remains unchanged.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you if you are a U.S. Holder (as defined below) of our Common Shares and/or public warrants. This discussion addresses only those U.S. Holders that hold our Common Shares and/or public warrants as capital assets within the meaning of Section 1221 of the Internal Revenue Code of 1986, as amended, or the Code (generally property held for investment). This summary does not discuss all aspects of U.S. federal income taxation that may be relevant to particular investors in light of their particular circumstances, or to investors subject to special tax rules, such as:</w:t>
      </w:r>
    </w:p>
    <w:p>
      <w:pPr>
        <w:spacing w:after="0" w:line="197" w:lineRule="exact"/>
        <w:rPr>
          <w:sz w:val="20"/>
          <w:szCs w:val="20"/>
          <w:color w:val="auto"/>
        </w:rPr>
      </w:pPr>
    </w:p>
    <w:p>
      <w:pPr>
        <w:ind w:left="720" w:hanging="33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mark-to-market treatment;</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27" w:lineRule="exact"/>
        <w:rPr>
          <w:rFonts w:ascii="Times New Roman" w:cs="Times New Roman" w:eastAsia="Times New Roman" w:hAnsi="Times New Roman"/>
          <w:sz w:val="18"/>
          <w:szCs w:val="18"/>
          <w:color w:val="auto"/>
        </w:rPr>
      </w:pPr>
    </w:p>
    <w:p>
      <w:pPr>
        <w:ind w:left="720" w:hanging="334"/>
        <w:spacing w:after="0" w:line="182" w:lineRule="auto"/>
        <w:tabs>
          <w:tab w:leader="none" w:pos="720" w:val="left"/>
        </w:tabs>
        <w:numPr>
          <w:ilvl w:val="0"/>
          <w:numId w:val="4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investors that hold our Common Shares or public warrants as part of a “straddle,” “hedge,” “conversion,” “synthetic security,” “constructive ownership transaction,” “constructive sale” or other integrated transaction for U.S. federal income tax purposes;</w:t>
      </w:r>
    </w:p>
    <w:p>
      <w:pPr>
        <w:ind w:left="720" w:hanging="33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alternative minimum tax provisions of the Code;</w:t>
      </w:r>
    </w:p>
    <w:p>
      <w:pPr>
        <w:spacing w:after="0" w:line="31"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have a functional currency other than the U.S. dollar;</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U.S. “inversion” rules;</w:t>
      </w:r>
    </w:p>
    <w:p>
      <w:pPr>
        <w:spacing w:after="0" w:line="27" w:lineRule="exact"/>
        <w:rPr>
          <w:rFonts w:ascii="Times New Roman" w:cs="Times New Roman" w:eastAsia="Times New Roman" w:hAnsi="Times New Roman"/>
          <w:sz w:val="18"/>
          <w:szCs w:val="18"/>
          <w:color w:val="auto"/>
        </w:rPr>
      </w:pPr>
    </w:p>
    <w:p>
      <w:pPr>
        <w:ind w:left="720" w:hanging="334"/>
        <w:spacing w:after="0" w:line="182" w:lineRule="auto"/>
        <w:tabs>
          <w:tab w:leader="none" w:pos="720" w:val="left"/>
        </w:tabs>
        <w:numPr>
          <w:ilvl w:val="0"/>
          <w:numId w:val="4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U.S. Holders owning or considered as owning (directly, indirectly, or through attribution) 5% (measured by vote or value) or more of our Common Shares;</w:t>
      </w:r>
    </w:p>
    <w:p>
      <w:pPr>
        <w:ind w:left="720" w:hanging="334"/>
        <w:spacing w:after="0" w:line="180" w:lineRule="auto"/>
        <w:tabs>
          <w:tab w:leader="none" w:pos="720" w:val="left"/>
        </w:tabs>
        <w:numPr>
          <w:ilvl w:val="0"/>
          <w:numId w:val="45"/>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persons that acquired our Common Shares or public warrants pursuant to an exercise of employee share options, in connection with employee share incentive plans or otherwise as compensation as compensation;</w:t>
      </w:r>
    </w:p>
    <w:p>
      <w:pPr>
        <w:ind w:left="720" w:hanging="33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31"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that file applicable financial statements as described in Section 451(b) of the Code;</w:t>
      </w:r>
    </w:p>
    <w:p>
      <w:pPr>
        <w:spacing w:after="0" w:line="27"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(except to the limited extent provided herein); and</w:t>
      </w:r>
    </w:p>
    <w:p>
      <w:pPr>
        <w:spacing w:after="0" w:line="22"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not U.S. Holders, all of whom may be subject to tax rules that differ materially from those summarized below.</w:t>
      </w:r>
    </w:p>
    <w:p>
      <w:pPr>
        <w:spacing w:after="0" w:line="2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summary does not discuss any state, local, or non-U.S. tax considerations, any non-income tax (such as gift or estate tax) considerations, the alternative minimum tax or the Medicare tax on net investment income. If a partnership (including an entity or arrangement treated as a partnership for U.S. federal income tax purposes) holds Common Shares or public warrants the tax treatment of a partner in such partnership will generally depend upon the status of the partner, the activities of the partnership and the partner and certain determinations made at the partner level. If you are a partner of a partnership holding Common Shares or public warrants, you are urged to consult your tax advisor regarding the tax consequences to you of the ownership and disposition of Common Shares or public warrants by the partnership.</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summary is based upon the Code, the U.S. Department of Treasury regulations, or Treasury Regulations, current administrative interpretations and practices of the Internal Revenue Service, or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ind w:left="34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Common Shares or public warrants, as the case may be, that is:</w:t>
      </w:r>
    </w:p>
    <w:p>
      <w:pPr>
        <w:spacing w:after="0" w:line="239" w:lineRule="exact"/>
        <w:rPr>
          <w:sz w:val="20"/>
          <w:szCs w:val="20"/>
          <w:color w:val="auto"/>
        </w:rPr>
      </w:pPr>
    </w:p>
    <w:p>
      <w:pPr>
        <w:ind w:left="720" w:hanging="334"/>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resident of the United States;</w:t>
      </w:r>
    </w:p>
    <w:p>
      <w:pPr>
        <w:spacing w:after="0" w:line="27" w:lineRule="exact"/>
        <w:rPr>
          <w:rFonts w:ascii="Times New Roman" w:cs="Times New Roman" w:eastAsia="Times New Roman" w:hAnsi="Times New Roman"/>
          <w:sz w:val="18"/>
          <w:szCs w:val="18"/>
          <w:color w:val="auto"/>
        </w:rPr>
      </w:pPr>
    </w:p>
    <w:p>
      <w:pPr>
        <w:ind w:left="720" w:right="20" w:hanging="334"/>
        <w:spacing w:after="0" w:line="182" w:lineRule="auto"/>
        <w:tabs>
          <w:tab w:leader="none" w:pos="720" w:val="left"/>
        </w:tabs>
        <w:numPr>
          <w:ilvl w:val="0"/>
          <w:numId w:val="4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a corporation (including an entity treated as a corporation for U.S. federal income tax purposes) created or organized in or under the laws of the United States, any state thereof or the District of Columbia;</w:t>
      </w:r>
    </w:p>
    <w:p>
      <w:pPr>
        <w:ind w:left="720" w:hanging="334"/>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(within the</w:t>
      </w:r>
    </w:p>
    <w:p>
      <w:pPr>
        <w:spacing w:after="0" w:line="22" w:lineRule="exact"/>
        <w:rPr>
          <w:rFonts w:ascii="Times New Roman" w:cs="Times New Roman" w:eastAsia="Times New Roman" w:hAnsi="Times New Roman"/>
          <w:sz w:val="18"/>
          <w:szCs w:val="18"/>
          <w:color w:val="auto"/>
        </w:rPr>
      </w:pPr>
    </w:p>
    <w:p>
      <w:pPr>
        <w:ind w:left="720" w:hanging="334"/>
        <w:spacing w:after="0" w:line="260"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meaning of the Code) who have the authority to control all substantial decisions of the trust or (B) that has in effect a valid election under applicable Treasury Regulations to be treated as a U.S. person.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Ownership and Disposition of Common Shares and Public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Other Distributions on Common Shares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xml:space="preserve">,” distributions on Common Shares will generally be taxable as a dividend for U.S. federal income tax purposes to the extent paid from the Company’s current or accumulated earnings and profits, as determined under U.S. federal income tax principles. Distributions in excess of the Company’s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 </w:t>
      </w:r>
      <w:r>
        <w:rPr>
          <w:rFonts w:ascii="Times New Roman" w:cs="Times New Roman" w:eastAsia="Times New Roman" w:hAnsi="Times New Roman"/>
          <w:sz w:val="18"/>
          <w:szCs w:val="18"/>
          <w:i w:val="1"/>
          <w:iCs w:val="1"/>
          <w:color w:val="auto"/>
        </w:rPr>
        <w:t>Tax Consequences of Ownership and Disposition of Common Shares and Public Warrants - Sale, Taxable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Shares and Public Warrants.</w:t>
      </w:r>
      <w:r>
        <w:rPr>
          <w:rFonts w:ascii="Times New Roman" w:cs="Times New Roman" w:eastAsia="Times New Roman" w:hAnsi="Times New Roman"/>
          <w:sz w:val="18"/>
          <w:szCs w:val="18"/>
          <w:color w:val="auto"/>
        </w:rPr>
        <w:t>” The amount of any such distribution will include any amounts withheld by us (or another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agent) in respect of Canadian income taxes. Any amount treated as dividend income will be treated as foreign-source dividend income. Amounts treated as dividends that the Company pays to a U.S. Holder that is a taxable corporation generally will be taxed at regular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Common Shares are readily tradable on an established securities market in the United States or the Company is eligible for benefits under an applicable tax treaty with the United States, and the Company is not treated as a PFIC with respect to such U.S. Holder at the time the dividend was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Subject to applicable limitations, non-refundable Canadian income taxes withheld from dividends on Common Shares at a rate not exceeding the rate provided by the applicable treaty with the United States will be eligible for credit against the U.S. treaty beneficiary’s U.S. federal income tax liability. The rules governing foreign tax credits are complex and U.S. Holders are urged to consult their tax advisers regarding the creditability of foreign taxes in their particular circumstances. In lieu of claiming a foreign tax credit, a 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Sale, Taxable Exchange or Other Taxable Disposition of Common Shares and Public Warrants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upon any sale, exchange or other taxable disposition of Common Shares or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Common Shares or public warrants, in each case as calculated in U.S. dollars. If a U.S. Holder acquired such Common Shares or public warrants as part of a unit, the adjusted tax basis in the Common Shares or public warrants will be the portion of the acquisition cost allocated to the shares or warrants, respectively, or if such Common Shares were received upon exercise of public warrants, the initial basis of the Common Shares upon exercise of public warrants (generally determined as described below in “</w:t>
      </w:r>
      <w:r>
        <w:rPr>
          <w:rFonts w:ascii="Times New Roman" w:cs="Times New Roman" w:eastAsia="Times New Roman" w:hAnsi="Times New Roman"/>
          <w:sz w:val="18"/>
          <w:szCs w:val="18"/>
          <w:i w:val="1"/>
          <w:iCs w:val="1"/>
          <w:color w:val="auto"/>
        </w:rPr>
        <w:t>- Tax Consequences of Ownership and Disposition of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and Public Warrants - Exercise or Lapse of a Public Warrant</w:t>
      </w:r>
      <w:r>
        <w:rPr>
          <w:rFonts w:ascii="Times New Roman" w:cs="Times New Roman" w:eastAsia="Times New Roman" w:hAnsi="Times New Roman"/>
          <w:sz w:val="18"/>
          <w:szCs w:val="18"/>
          <w:color w:val="auto"/>
        </w:rPr>
        <w:t>”). Any such gain or loss generally will be capital gain or loss and will be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gain or loss if the U.S. Holder’s holding period for such Common Shares exceeds one (1) year. Long-term capital gain realized by a non-corporate U.S. Holder generally will be taxable at a reduced rate. The deduction of capital losses is subject to limitations. This gain or loss generally will be treated as U.S. source gain or loss.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or Lapse of a Public Warrant</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U.S. Holder generally will not recognize taxable gain or loss on the acquisition of a Common Share upon exercise of a public warrant for cash. The U.S. Holder’s tax basis in the Common Share received upon exercise of the public warrant generally will be an amount equal to the sum of the U.S. Holder’s initial investment in the public warrant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its tax basis, calculated in U.S. dollars) and the exercise price. The U.S. Holder’s holding period for a Common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U.S. Holder’s tax basis in the warrant (calculated in U.S. dollars). Such loss will be long-term if the warrant has been held for more than one (1) year.</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Common Shares received generally should equal the U.S. Holder’s tax basis in the public warrants. If the cashless exercise was not a realization event, it is unclear whether a U.S. Holder’s holding period for the Common Shares would be treated as commencing on the date of exercise of the public warrant or the day following the date of exercise of the public warrant. If the cashless exercise were treated as a recapitalization, the holding period of the shares of Common Shares received would include the holding period of the public warrant.</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is also possible that a cashless exercise may be treated in part as a taxable exchange in which gain or loss would be recognized. In such event, a U.S. Holder may be deemed to have surrendered a number of public warrants having a value equal to the exercise price for the total number of public warrants to be exercised. The U.S. Holder would recognize capital gain or loss in an amount equal to the difference between the fair market value of the public warrants deemed surrendered and the U.S. Holder’s tax basis in the public warrants deemed surrendered. In this case, a U.S. Holder’s tax basis in the shares of Common Shares received would equal the sum of the U.S. Holder’s tax basis in the public warrants exercised, and the exercise price of such public warrants. It is unclear whether a U.S. Holder’s holding period for the shares of Common Shares would commence on the date of exercise of the public warrant or the day following the date of exercise of the public warrant; in either case, the holding period will not include the period during which the U.S. Holder held the public warrant.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shares of Common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If the Company redeems public warrants for cash or if the Company purchases public warrants in an open market transaction, such redemption or purchase generally will be treated as a taxable disposition to the U.S. Holder, taxed as described above under “- </w:t>
      </w:r>
      <w:r>
        <w:rPr>
          <w:rFonts w:ascii="Times New Roman" w:cs="Times New Roman" w:eastAsia="Times New Roman" w:hAnsi="Times New Roman"/>
          <w:sz w:val="18"/>
          <w:szCs w:val="18"/>
          <w:i w:val="1"/>
          <w:iCs w:val="1"/>
          <w:color w:val="auto"/>
        </w:rPr>
        <w:t>Tax Consequences of Ownership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Shares and Public Warrants - Sale, Taxable Exchange or Other Taxable Disposition of Common Shares and Public Warrants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color w:val="auto"/>
        </w:rPr>
        <w:t>Adjustment to Exercise Price</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Times New Roman" w:cs="Times New Roman" w:eastAsia="Times New Roman" w:hAnsi="Times New Roman"/>
          <w:sz w:val="18"/>
          <w:szCs w:val="18"/>
          <w:i w:val="1"/>
          <w:iCs w:val="1"/>
          <w:color w:val="auto"/>
        </w:rPr>
        <w:t>Tax Consequences of Ownership and Disposition of Common Shares and Public Warrants - Dividends and Other Distributions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Common Shares</w:t>
      </w:r>
      <w:r>
        <w:rPr>
          <w:rFonts w:ascii="Times New Roman" w:cs="Times New Roman" w:eastAsia="Times New Roman" w:hAnsi="Times New Roman"/>
          <w:sz w:val="18"/>
          <w:szCs w:val="18"/>
          <w:color w:val="auto"/>
        </w:rPr>
        <w:t>”). The rules governing constructive distributions as a result of certain adjustments with respect to a public warrant are complex,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Holders are urged to consult their tax advisors on the tax consequences any such constructive distribution with respect to a public warrant.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treatment of U.S. Holders of Common Shares and public warrants could be materially different from that described above if the Company is treated as a PFIC for U.S. federal income tax purposes.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Company is a PFIC for any taxable year, U.S. Holders of Common Shares or public warrants may be subject to adverse U.S. federal income tax consequences with respect to dispositions of, and distributions with respect to Common Shares, and may be subject to additional reporting requirements.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the Income Test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or the Asset Test. Passive income generally includes dividends, interest, rents and royalties (other than rents or royalties derived from the active conduct of a trade or business) and gains from the disposition of passive assets.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on our initial assessment, we do not believe that the Company was classified as a PFIC for U.S. federal income tax purposes for the taxable year ending December 31, 2021. However, the application of the PFIC rules is subject to uncertainty in several respects, and we cannot assure you that the IRS will not take a contrary position. Furthermore, whether the Company is classified as a PFIC is a factual determination that must be made annually after the close of each taxable year. Accordingly, there can be no assurance with respect to the Company’s status as a PFIC for the current or any future taxable year. Although PFIC status is generally determined annually, if the Company is determined to be a PFIC for any taxable year (or portion thereof) that is included in the holding period of a U.S. Holder of Common Shares and the U.S. Holder did not make either a qualifying electing fund, or QEF, election or a mark-to-market election, or collectively, the PFIC Elections, for the first taxable year of the Company in which it was treated as a PFIC, and in which the U.S. Holder held (or was deemed to hold) such shares, or such U.S. Holder does not otherwise make an applicable purging election described below, such U.S. Holder generally will be subject to special and adverse rules with respect to (i) any gain recognized by the U.S. Holder on the sale or other disposition of its Common Shares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39" w:lineRule="exact"/>
        <w:rPr>
          <w:sz w:val="20"/>
          <w:szCs w:val="20"/>
          <w:color w:val="auto"/>
        </w:rPr>
      </w:pPr>
    </w:p>
    <w:p>
      <w:pPr>
        <w:ind w:left="720" w:hanging="334"/>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Common Shares;</w:t>
      </w:r>
    </w:p>
    <w:p>
      <w:pPr>
        <w:spacing w:after="0" w:line="2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and to</w:t>
      </w:r>
    </w:p>
    <w:p>
      <w:pPr>
        <w:spacing w:after="0" w:line="22" w:lineRule="exact"/>
        <w:rPr>
          <w:rFonts w:ascii="Times New Roman" w:cs="Times New Roman" w:eastAsia="Times New Roman" w:hAnsi="Times New Roman"/>
          <w:sz w:val="18"/>
          <w:szCs w:val="18"/>
          <w:color w:val="auto"/>
        </w:rPr>
      </w:pPr>
    </w:p>
    <w:p>
      <w:pPr>
        <w:ind w:left="720" w:right="20" w:hanging="334"/>
        <w:spacing w:after="0" w:line="260"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period in the U.S. Holder’s holding period before the first day of the Company’s first taxable year in which the Company is a PFIC, will be taxed as ordinary income;</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1" w:name="page72"/>
    <w:bookmarkEnd w:id="71"/>
    <w:p>
      <w:pPr>
        <w:ind w:left="720" w:hanging="334"/>
        <w:spacing w:after="0" w:line="184" w:lineRule="auto"/>
        <w:tabs>
          <w:tab w:leader="none" w:pos="720" w:val="left"/>
        </w:tabs>
        <w:numPr>
          <w:ilvl w:val="0"/>
          <w:numId w:val="48"/>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amount allocated to other taxable years (or portions thereof) of the U.S. Holder and included in its holding period will be taxed at the highest tax rate in effect for that year and applicable to the U.S. Holder; and</w:t>
      </w:r>
    </w:p>
    <w:p>
      <w:pPr>
        <w:ind w:left="720" w:hanging="334"/>
        <w:spacing w:after="0" w:line="180" w:lineRule="auto"/>
        <w:tabs>
          <w:tab w:leader="none" w:pos="720" w:val="left"/>
        </w:tabs>
        <w:numPr>
          <w:ilvl w:val="0"/>
          <w:numId w:val="48"/>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an additional tax equal to the interest charge generally applicable to underpayments of tax will be imposed on the U.S. Holder with respect to the tax attributable to each such other taxable year of the U.S. Holder.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PFIC Elections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if the Company is determined to be a PFIC, a U.S. Holder may avoid the adverse PFIC tax consequences described above in respect of Common Shares by making and maintaining a timely and valid QEF election (if eligible to do so) to include in income its pro rata share of the Company’s net capital gains (as long-term capital gain) and other earnings and profits (as ordinary income), on a current basis, in each case whether or not distributed, in the first taxable year of the U.S. Holder in which or with which the Company’s taxable year ends and each subsequent taxable year. A U.S. Holder generally may make a separate election to defer the payment of taxes on undistributed income inclusions under the QEF rules, but if deferred, any such taxes will be subject to an interest charge.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to comply with the requirements of a QEF election, a U.S. Holder must receive a PFIC Annual Information Statement from us. If the Company determines that it is a PFIC, the Company intends to provide the information necessary for U.S. Holders to make or maintain a QEF election, including information necessary to determine the appropriate income inclusion amounts for purposes of the QEF election. However, there is also no assurance that the Company will have timely knowledge of its status as a PFIC in the future or of the required information to be provided.</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Alternatively, if the Company is a PFIC and Common Shares constitute “marketable stock,” a U.S. Holder may avoid the adverse PFIC tax consequences discussed above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may not be made with respect to public warrants.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 including the Nasdaq (on which Common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 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the Company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Common Shares (or has previously made a QEF election with respect to Common Shares), the QEF election will apply to the newly acquired Common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Common Shares (which generally will be deemed to have a holding period for purposes of the PFIC rules that includes the period the U.S. Holder held the public warrants), unless the U.S. Holder makes a purging election under the PFIC rules described in the following paragraph.</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spacing w:after="0" w:line="253" w:lineRule="auto"/>
        <w:rPr>
          <w:sz w:val="20"/>
          <w:szCs w:val="20"/>
          <w:color w:val="auto"/>
        </w:rPr>
      </w:pPr>
      <w:r>
        <w:rPr>
          <w:rFonts w:ascii="Times New Roman" w:cs="Times New Roman" w:eastAsia="Times New Roman" w:hAnsi="Times New Roman"/>
          <w:sz w:val="18"/>
          <w:szCs w:val="18"/>
          <w:color w:val="auto"/>
        </w:rPr>
        <w:t>If the Company is treated as a PFIC and a U.S. Holder failed or was unable to timely make a PFIC Election for prior periods, a U.S. Holder might seek make a purging election to rid the Common Shares of the PFIC taint. A purging election might be desirable if, for example, a U.S. Holder misses the deadline for filing a QEF election for a prior period, or if the Common Shares were acquired through the exercise of public warrants with a holding period that includes the period the warrants were held, either as a result of the application of the proposed Treasury Regulations, or because the Common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the Company will be deemed to have made a distribution to the U.S. Holder of such U.S. Holder’s pro rata share of the Company’s earnings and profits as determined for U.S. federal income tax purposes. In order for the U.S. Holder to make the second election, the Company must also be determined to be a “controlled foreign corporation” as defined by the Code (which is not currently expected to be the case). As a result of either purging election, the U.S. Holder will have a new basis and holding period in the Common Shares acquired upon the exercise of the public warrants solely for purposes of the PFIC rules.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PFIC Rules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Company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the Company receives a distribution from, or disposes of all or part of its interest in, the lower-tier PFIC, or the U.S. Holder otherwise was deemed to have disposed of an interest in the lower-tier PFIC. In certain circumstances, a U.S. Holder may make a QEF election with respect to any lower-tier PFIC.</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rules dealing with PFICs and with the QEF and mark-to-market elections are very complex and are affected by various factors in addition to those described above. Accordingly, U.S. Holders of Common Shares and public warrants are urged to consult their own tax advisors concerning the application of the PFIC rules to the Company’s securities under their particular circumstances.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Common Shares and public warrants including the tax consequences under state, local, estate, foreign and other tax laws and tax treaties and the possible effects of changes in U.S. or other tax laws.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MATERIAL CANADIAN FEDERAL INCOME TAX CONSIDERATIONS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following is, as of the date of this prospectus, a summary of the principal Canadian federal income tax considerations pursuant to the </w:t>
      </w:r>
      <w:r>
        <w:rPr>
          <w:rFonts w:ascii="Times New Roman" w:cs="Times New Roman" w:eastAsia="Times New Roman" w:hAnsi="Times New Roman"/>
          <w:sz w:val="18"/>
          <w:szCs w:val="18"/>
          <w:i w:val="1"/>
          <w:iCs w:val="1"/>
          <w:color w:val="auto"/>
        </w:rPr>
        <w:t>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(Canada) and the regulations thereunder, (the “Tax Act”) that generally apply to the acquisition, holding or disposition of Common Shares and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by a person who is neither resident nor deemed to be resident in Canada for purposes of the Tax Act and acquires a beneficial interest in Common Shares or public warrants, (a “Non-Resident Holder”).</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summary applies only to a Non-Resident Holder who, at all relevant times, for purposes of the Tax Act:</w:t>
      </w:r>
    </w:p>
    <w:p>
      <w:pPr>
        <w:spacing w:after="0" w:line="239" w:lineRule="exact"/>
        <w:rPr>
          <w:sz w:val="20"/>
          <w:szCs w:val="20"/>
          <w:color w:val="auto"/>
        </w:rPr>
      </w:pPr>
    </w:p>
    <w:p>
      <w:pPr>
        <w:ind w:left="720" w:hanging="334"/>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Common Shares or public warrants as capital property;</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and is not deemed to, use or hold Common Shares or public warrants in the course of carrying on a business in Canada; and</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deals at arm’s length and is not affiliated with us.</w:t>
      </w:r>
    </w:p>
    <w:p>
      <w:pPr>
        <w:spacing w:after="0" w:line="2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Special rules, which are not discussed in this summary, may apply to a Non-Resident Holder that is an insurer that carries on an insurance business in Canada and elsewhere.</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summary is based on the current provisions of the Tax Act, all specific proposals to amend the Tax Act publicly announced by or on behalf of the Minister of Finance (Canada) prior to the date hereof (the “Tax Proposals”) and an understanding of the current administrative policies and assessing practices of the Canada Revenue Agency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Generally, for the purposes of the Tax Act, all amounts relating to the acquisition, holding or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Cost base of Common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adjusted cost base to a Non-Resident Holder of a Common Share acquired pursuant to this offering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Public 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 averaging the cost of the Common Share with the adjusted cost base (determined immediately before the acquisition of the Common Share) of all other Common Shares held as capital property by such Non-Resident Holder immediately prior to such acquisition.</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Dividends on Common Shares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Generally, the Canada - United States Tax Convention (1980), as amended (the “Treaty”) reduces the statutory rate with respect to dividends paid to a Non-Resident Holder who is resident in the U.S. for purposes of the Treaty, the beneficial owner of such dividends, and entitled to benefits under the Treaty, to 15% of the gross amount of the dividend. The Company is required to withhold the applicable tax from dividends payable to the Non-Resident Holder, and to remit the tax to the Receiver General of Canada for the account of the Non-Resident 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 of Common Shares and Public 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are “taxable Canadian property” of the Non-Resident Holder for purposes of the Tax Act and the Non-Resident Holder is not entitled to relief under the Treaty.</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Generally, the Common Shares and public warrants will not constitute “taxable Canadian property” of a Non-Resident Holder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 the Non-Resident Holder, (b) persons with whom the Non-Resident Holder does not deal with at arm’s length, (c) partnerships in which the</w:t>
      </w:r>
    </w:p>
    <w:p>
      <w:pPr>
        <w:spacing w:after="0" w:line="27" w:lineRule="exact"/>
        <w:rPr>
          <w:sz w:val="20"/>
          <w:szCs w:val="20"/>
          <w:color w:val="auto"/>
        </w:rPr>
      </w:pPr>
    </w:p>
    <w:p>
      <w:pPr>
        <w:ind w:left="840" w:hanging="400"/>
        <w:spacing w:after="0" w:line="250" w:lineRule="auto"/>
        <w:tabs>
          <w:tab w:leader="none" w:pos="8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Non-Resident Holder or a person described in (b) holds an interest directly or indirectly through one or more partnerships, or (d) any combination of (a) to (c), owned 25% or more of the issued shares of any class or series of our capital stock; and</w:t>
      </w: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fair market value of the Common Shares was derived directly or indirectly from one or any combination of: (a) real or</w:t>
      </w:r>
    </w:p>
    <w:p>
      <w:pPr>
        <w:spacing w:after="0" w:line="9" w:lineRule="exact"/>
        <w:rPr>
          <w:rFonts w:ascii="Times New Roman" w:cs="Times New Roman" w:eastAsia="Times New Roman" w:hAnsi="Times New Roman"/>
          <w:sz w:val="18"/>
          <w:szCs w:val="18"/>
          <w:color w:val="auto"/>
        </w:rPr>
      </w:pPr>
    </w:p>
    <w:p>
      <w:pPr>
        <w:jc w:val="both"/>
        <w:ind w:left="840" w:right="20" w:hanging="400"/>
        <w:spacing w:after="0" w:line="187" w:lineRule="auto"/>
        <w:tabs>
          <w:tab w:leader="none" w:pos="840" w:val="left"/>
        </w:tabs>
        <w:numPr>
          <w:ilvl w:val="0"/>
          <w:numId w:val="50"/>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immovable properties situated in Canada, (b) “Canadian resource properties” (as defined in the Tax Act), (c) “timber resource properties” (as defined in the Tax Act), and (d) options in respect of, or interests in, or for civil law rights in, property in any of the foregoing whether or not the property exists.</w:t>
      </w:r>
    </w:p>
    <w:p>
      <w:pPr>
        <w:spacing w:after="0" w:line="1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NOTWITHSTANDING THE FOREGOING, IN CERTAIN CIRCUMSTANCES SET OUT IN THE TAX ACT, COMMON SHARES AND PUBLIC WARRANTS MAY BE DEEMED TO BE TAXABLE CANADIAN PROPERTY. NON-RESIDENT HOLDERS WHOSE COMMON SHARES OR PUBLIC WARRANTS MAY CONSTITUTE TAXABLE CANADIAN PROPERTY SHOULD CONSULT THEIR OWN TAX ADVISORS.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Fasken Martineau DuMoulin LLP, or Fasken, has passed upon the validity of the securities offered by this prospectus and certain other legal matters related to Canadian law. Mintz, Levin, Cohn, Ferris, Glovsky and Popeo, P.C., or Mintz, has passed upon the validity of certain other legal matters. Fasken and Mintz own 14,630 and 36,361 Common Shares, respectively.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TMC the metals company Inc. as of December 31, 2021 and 2020 and for the years then ended have been incorporated by reference herein and in the registration statement in reliance on the report of Ernst &amp; Young LLP, independent registered public accounting firm, incorporated by reference herein, and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S-3, including exhibits, under the Securities Act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proxy statements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We include our website address in this prospectus only as an inactive textual reference. Information contained in our website does not constitute a part of this prospectus or our other filings with the SEC.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88"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u w:val="single" w:color="auto"/>
          <w:color w:val="0000EE"/>
        </w:rPr>
      </w:pPr>
      <w:hyperlink r:id="rId109">
        <w:r>
          <w:rPr>
            <w:rFonts w:ascii="Times New Roman" w:cs="Times New Roman" w:eastAsia="Times New Roman" w:hAnsi="Times New Roman"/>
            <w:sz w:val="18"/>
            <w:szCs w:val="18"/>
            <w:u w:val="single" w:color="auto"/>
            <w:color w:val="0000EE"/>
          </w:rPr>
          <w:t>our Annual Report on Form 10-K for the fiscal year ended December 31, 2021 that we filed with the SEC on March 25, 2022;</w:t>
        </w:r>
      </w:hyperlink>
    </w:p>
    <w:p>
      <w:pPr>
        <w:spacing w:after="0" w:line="27" w:lineRule="exact"/>
        <w:rPr>
          <w:rFonts w:ascii="Times New Roman" w:cs="Times New Roman" w:eastAsia="Times New Roman" w:hAnsi="Times New Roman"/>
          <w:sz w:val="18"/>
          <w:szCs w:val="18"/>
          <w:u w:val="single" w:color="auto"/>
          <w:color w:val="0000EE"/>
        </w:rPr>
      </w:pPr>
    </w:p>
    <w:p>
      <w:pPr>
        <w:ind w:left="660" w:hanging="328"/>
        <w:spacing w:after="0" w:line="250" w:lineRule="auto"/>
        <w:tabs>
          <w:tab w:leader="none" w:pos="660" w:val="left"/>
        </w:tabs>
        <w:numPr>
          <w:ilvl w:val="0"/>
          <w:numId w:val="5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March 31, 2022 and June 30, 2022 that we filed with the SEC on </w:t>
      </w:r>
      <w:hyperlink r:id="rId110">
        <w:r>
          <w:rPr>
            <w:rFonts w:ascii="Times New Roman" w:cs="Times New Roman" w:eastAsia="Times New Roman" w:hAnsi="Times New Roman"/>
            <w:sz w:val="18"/>
            <w:szCs w:val="18"/>
            <w:u w:val="single" w:color="auto"/>
            <w:color w:val="0000EE"/>
          </w:rPr>
          <w:t>May 9,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6">
        <w:r>
          <w:rPr>
            <w:rFonts w:ascii="Times New Roman" w:cs="Times New Roman" w:eastAsia="Times New Roman" w:hAnsi="Times New Roman"/>
            <w:sz w:val="18"/>
            <w:szCs w:val="18"/>
            <w:u w:val="single" w:color="auto"/>
            <w:color w:val="0000EE"/>
          </w:rPr>
          <w:t>August 15, 2022</w:t>
        </w:r>
      </w:hyperlink>
      <w:r>
        <w:rPr>
          <w:rFonts w:ascii="Times New Roman" w:cs="Times New Roman" w:eastAsia="Times New Roman" w:hAnsi="Times New Roman"/>
          <w:sz w:val="18"/>
          <w:szCs w:val="18"/>
          <w:color w:val="000000"/>
        </w:rPr>
        <w:t>;</w:t>
      </w:r>
    </w:p>
    <w:p>
      <w:pPr>
        <w:jc w:val="both"/>
        <w:ind w:left="660" w:hanging="328"/>
        <w:spacing w:after="0" w:line="255" w:lineRule="auto"/>
        <w:tabs>
          <w:tab w:leader="none" w:pos="660" w:val="left"/>
        </w:tabs>
        <w:numPr>
          <w:ilvl w:val="0"/>
          <w:numId w:val="5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and amendments thereto that we filed with the SEC on </w:t>
      </w:r>
      <w:hyperlink r:id="rId111">
        <w:r>
          <w:rPr>
            <w:rFonts w:ascii="Times New Roman" w:cs="Times New Roman" w:eastAsia="Times New Roman" w:hAnsi="Times New Roman"/>
            <w:sz w:val="18"/>
            <w:szCs w:val="18"/>
            <w:u w:val="single" w:color="auto"/>
            <w:color w:val="0000EE"/>
          </w:rPr>
          <w:t>February 10, 2022</w:t>
        </w:r>
      </w:hyperlink>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0000EE"/>
          </w:rPr>
          <w:t>March 17, 2022</w:t>
        </w:r>
      </w:hyperlink>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EE"/>
          </w:rPr>
          <w:t>June 2, 2022</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August 15,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 xml:space="preserve">October 3,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14">
        <w:r>
          <w:rPr>
            <w:rFonts w:ascii="Times New Roman" w:cs="Times New Roman" w:eastAsia="Times New Roman" w:hAnsi="Times New Roman"/>
            <w:sz w:val="18"/>
            <w:szCs w:val="18"/>
            <w:u w:val="single" w:color="auto"/>
            <w:color w:val="0000EE"/>
          </w:rPr>
          <w:t xml:space="preserve">October 12, 2022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any portion of such filings that are furnished under applicable SEC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rules rather than filed);</w:t>
      </w:r>
    </w:p>
    <w:p>
      <w:pPr>
        <w:spacing w:after="0" w:line="186" w:lineRule="exact"/>
        <w:rPr>
          <w:rFonts w:ascii="Times New Roman" w:cs="Times New Roman" w:eastAsia="Times New Roman" w:hAnsi="Times New Roman"/>
          <w:sz w:val="18"/>
          <w:szCs w:val="18"/>
          <w:color w:val="0000EE"/>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ind w:left="660" w:hanging="328"/>
        <w:spacing w:after="0" w:line="261" w:lineRule="auto"/>
        <w:tabs>
          <w:tab w:leader="none" w:pos="660" w:val="left"/>
        </w:tabs>
        <w:numPr>
          <w:ilvl w:val="0"/>
          <w:numId w:val="52"/>
        </w:numPr>
        <w:rPr>
          <w:rFonts w:ascii="Times New Roman" w:cs="Times New Roman" w:eastAsia="Times New Roman" w:hAnsi="Times New Roman"/>
          <w:sz w:val="18"/>
          <w:szCs w:val="18"/>
          <w:u w:val="single" w:color="auto"/>
          <w:color w:val="0000EE"/>
        </w:rPr>
      </w:pPr>
      <w:hyperlink r:id="rId57">
        <w:r>
          <w:rPr>
            <w:rFonts w:ascii="Times New Roman" w:cs="Times New Roman" w:eastAsia="Times New Roman" w:hAnsi="Times New Roman"/>
            <w:sz w:val="18"/>
            <w:szCs w:val="18"/>
            <w:u w:val="single" w:color="auto"/>
            <w:color w:val="0000EE"/>
          </w:rPr>
          <w:t>the description of our Common Shares contained in our Registration Statement on Form 8-A filed with the SEC on September 10, 2021, including</w:t>
        </w:r>
      </w:hyperlink>
      <w:r>
        <w:rPr>
          <w:rFonts w:ascii="Times New Roman" w:cs="Times New Roman" w:eastAsia="Times New Roman" w:hAnsi="Times New Roman"/>
          <w:sz w:val="18"/>
          <w:szCs w:val="18"/>
          <w:u w:val="single" w:color="auto"/>
          <w:color w:val="0000EE"/>
        </w:rPr>
        <w:t xml:space="preserve"> </w:t>
      </w:r>
      <w:hyperlink r:id="rId57">
        <w:r>
          <w:rPr>
            <w:rFonts w:ascii="Times New Roman" w:cs="Times New Roman" w:eastAsia="Times New Roman" w:hAnsi="Times New Roman"/>
            <w:sz w:val="18"/>
            <w:szCs w:val="18"/>
            <w:u w:val="single" w:color="auto"/>
            <w:color w:val="0000EE"/>
          </w:rPr>
          <w:t>any amendment or report filed for the purpose of updating such description; and</w:t>
        </w:r>
      </w:hyperlink>
    </w:p>
    <w:p>
      <w:pPr>
        <w:jc w:val="both"/>
        <w:ind w:left="660" w:hanging="328"/>
        <w:spacing w:after="0" w:line="253"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with the SEC (other than any portion of such filings that are furnished under applicable SEC rules rather than filed)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8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001-39281.</w:t>
      </w:r>
    </w:p>
    <w:p>
      <w:pPr>
        <w:spacing w:after="0" w:line="225"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request, orally or in writing, a copy of any or all of the documents incorporated herein by reference. These documents will be provided to you at no cost, by contacting:</w:t>
      </w:r>
    </w:p>
    <w:p>
      <w:pPr>
        <w:spacing w:after="0" w:line="16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595 Howe Street, 10 Floor</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Vancouver, British Columbia</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V6C 2T5</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(574) 252-9333</w:t>
      </w:r>
    </w:p>
    <w:p>
      <w:pPr>
        <w:spacing w:after="0" w:line="205" w:lineRule="exact"/>
        <w:rPr>
          <w:rFonts w:ascii="Times New Roman" w:cs="Times New Roman" w:eastAsia="Times New Roman" w:hAnsi="Times New Roman"/>
          <w:sz w:val="18"/>
          <w:szCs w:val="18"/>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You may also access these documents on our website,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The information contained on, or that can be accessed through, our website is not a part of this prospectus. We have included our website address in this prospectus solely as an inactive textual reference.</w:t>
      </w:r>
    </w:p>
    <w:p>
      <w:pPr>
        <w:spacing w:after="0" w:line="160"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396"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2471420</wp:posOffset>
            </wp:positionH>
            <wp:positionV relativeFrom="page">
              <wp:posOffset>586105</wp:posOffset>
            </wp:positionV>
            <wp:extent cx="2614295" cy="925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261429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$30,000,000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25" w:lineRule="exact"/>
        <w:rPr>
          <w:sz w:val="20"/>
          <w:szCs w:val="20"/>
          <w:color w:val="auto"/>
        </w:rPr>
      </w:pPr>
    </w:p>
    <w:p>
      <w:pPr>
        <w:ind w:left="1500"/>
        <w:spacing w:after="0"/>
        <w:tabs>
          <w:tab w:leader="none" w:pos="6540" w:val="left"/>
        </w:tabs>
        <w:rPr>
          <w:sz w:val="20"/>
          <w:szCs w:val="20"/>
          <w:color w:val="auto"/>
        </w:rPr>
      </w:pPr>
      <w:r>
        <w:rPr>
          <w:rFonts w:ascii="Times New Roman" w:cs="Times New Roman" w:eastAsia="Times New Roman" w:hAnsi="Times New Roman"/>
          <w:sz w:val="17"/>
          <w:szCs w:val="17"/>
          <w:b w:val="1"/>
          <w:bCs w:val="1"/>
          <w:color w:val="auto"/>
        </w:rPr>
        <w:t>Stifel</w:t>
      </w:r>
      <w:r>
        <w:rPr>
          <w:sz w:val="20"/>
          <w:szCs w:val="20"/>
          <w:color w:val="auto"/>
        </w:rPr>
        <w:tab/>
      </w:r>
      <w:r>
        <w:rPr>
          <w:rFonts w:ascii="Times New Roman" w:cs="Times New Roman" w:eastAsia="Times New Roman" w:hAnsi="Times New Roman"/>
          <w:sz w:val="17"/>
          <w:szCs w:val="17"/>
          <w:b w:val="1"/>
          <w:bCs w:val="1"/>
          <w:color w:val="auto"/>
        </w:rPr>
        <w:t>Wedbush Securities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lowerRoman"/>
      <w:start w:val="3"/>
    </w:lvl>
  </w:abstractNum>
  <w:abstractNum w:abstractNumId="1">
    <w:nsid w:val="54E49EB4"/>
    <w:multiLevelType w:val="hybridMultilevel"/>
    <w:lvl w:ilvl="0">
      <w:lvlJc w:val="left"/>
      <w:lvlText w:val="(%1)"/>
      <w:numFmt w:val="decimal"/>
      <w:start w:val="574"/>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lowerRoman"/>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lowerLetter"/>
      <w:start w:val="1"/>
    </w:lvl>
  </w:abstractNum>
  <w:abstractNum w:abstractNumId="11">
    <w:nsid w:val="6CEAF087"/>
    <w:multiLevelType w:val="hybridMultilevel"/>
    <w:lvl w:ilvl="0">
      <w:lvlJc w:val="left"/>
      <w:lvlText w:val="%1."/>
      <w:numFmt w:val="lowerLetter"/>
      <w:start w:val="1"/>
    </w:lvl>
  </w:abstractNum>
  <w:abstractNum w:abstractNumId="12">
    <w:nsid w:val="22221A70"/>
    <w:multiLevelType w:val="hybridMultilevel"/>
    <w:lvl w:ilvl="0">
      <w:lvlJc w:val="left"/>
      <w:lvlText w:val="%1."/>
      <w:numFmt w:val="lowerLetter"/>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lowerRoman"/>
      <w:start w:val="3"/>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lvl w:ilvl="1">
      <w:lvlJc w:val="left"/>
      <w:lvlText w:val="(%2)"/>
      <w:numFmt w:val="decimal"/>
      <w:start w:val="1"/>
    </w:lvl>
  </w:abstractNum>
  <w:abstractNum w:abstractNumId="19">
    <w:nsid w:val="5072367"/>
    <w:multiLevelType w:val="hybridMultilevel"/>
    <w:lvl w:ilvl="0">
      <w:lvlJc w:val="left"/>
      <w:lvlText w:val="(%1)"/>
      <w:numFmt w:val="decimal"/>
      <w:start w:val="6"/>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lowerLetter"/>
      <w:start w:val="3"/>
    </w:lvl>
  </w:abstractNum>
  <w:abstractNum w:abstractNumId="24">
    <w:nsid w:val="2463B9EA"/>
    <w:multiLevelType w:val="hybridMultilevel"/>
    <w:lvl w:ilvl="0">
      <w:lvlJc w:val="left"/>
      <w:lvlText w:val="(%1)"/>
      <w:numFmt w:val="lowerLetter"/>
      <w:start w:val="7"/>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1)"/>
      <w:numFmt w:val="lowerRoman"/>
      <w:start w:val="2"/>
    </w:lvl>
  </w:abstractNum>
  <w:abstractNum w:abstractNumId="39">
    <w:nsid w:val="4B588F54"/>
    <w:multiLevelType w:val="hybridMultilevel"/>
    <w:lvl w:ilvl="0">
      <w:lvlJc w:val="left"/>
      <w:lvlText w:val="(%1)"/>
      <w:numFmt w:val="lowerRoman"/>
      <w:start w:val="2"/>
    </w:lvl>
  </w:abstractNum>
  <w:abstractNum w:abstractNumId="40">
    <w:nsid w:val="542289EC"/>
    <w:multiLevelType w:val="hybridMultilevel"/>
    <w:lvl w:ilvl="0">
      <w:lvlJc w:val="left"/>
      <w:lvlText w:val="(%1)"/>
      <w:numFmt w:val="lowerLetter"/>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lowerRoman"/>
      <w:start w:val="4"/>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jpe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jpeg"/><Relationship Id="rId118" Type="http://schemas.openxmlformats.org/officeDocument/2006/relationships/image" Target="media/image91.png"/><Relationship Id="rId44" Type="http://schemas.openxmlformats.org/officeDocument/2006/relationships/hyperlink" Target="https://www.sec.gov/ix?doc=/Archives/edgar/data/1798562/000110465922038029/tmc-20211231x10k.htm" TargetMode="External"/><Relationship Id="rId45" Type="http://schemas.openxmlformats.org/officeDocument/2006/relationships/hyperlink" Target="https://www.sec.gov/ix?doc=/Archives/edgar/data/1798562/000110465922057493/tmc-20220331x10q.htm" TargetMode="External"/><Relationship Id="rId46" Type="http://schemas.openxmlformats.org/officeDocument/2006/relationships/hyperlink" Target="https://www.sec.gov/Archives/edgar/data/1798562/000110465922091250/tmc-20220630x10q.htm" TargetMode="External"/><Relationship Id="rId47" Type="http://schemas.openxmlformats.org/officeDocument/2006/relationships/hyperlink" Target="https://www.sec.gov/ix?doc=/Archives/edgar/data/1798562/000110465922118680/tmc-20220930x10q.htm" TargetMode="External"/><Relationship Id="rId48" Type="http://schemas.openxmlformats.org/officeDocument/2006/relationships/hyperlink" Target="https://www.sec.gov/ix?doc=/Archives/edgar/data/1798562/000110465922118962/tmc-20220930x10qa.htm" TargetMode="External"/><Relationship Id="rId49" Type="http://schemas.openxmlformats.org/officeDocument/2006/relationships/hyperlink" Target="https://www.sec.gov/Archives/edgar/data/1798562/000110465922046017/tm227918-5_def14a.htm" TargetMode="External"/><Relationship Id="rId50" Type="http://schemas.openxmlformats.org/officeDocument/2006/relationships/hyperlink" Target="https://www.sec.gov/ix?doc=/Archives/edgar/data/1798562/000110465922067358/tm2217495d1_8k.htm" TargetMode="External"/><Relationship Id="rId51" Type="http://schemas.openxmlformats.org/officeDocument/2006/relationships/hyperlink" Target="https://www.sec.gov/ix?doc=/Archives/edgar/data/1798562/000110465922090666/tm2223376d3_8k.htm" TargetMode="External"/><Relationship Id="rId52" Type="http://schemas.openxmlformats.org/officeDocument/2006/relationships/hyperlink" Target="https://www.sec.gov/ix?doc=/Archives/edgar/data/1798562/000110465922104937/tm2227087d2_8k.htm" TargetMode="External"/><Relationship Id="rId53" Type="http://schemas.openxmlformats.org/officeDocument/2006/relationships/hyperlink" Target="https://www.sec.gov/ix?doc=/Archives/edgar/data/1798562/000110465922107962/tm2227087d4_8k.htm" TargetMode="External"/><Relationship Id="rId54" Type="http://schemas.openxmlformats.org/officeDocument/2006/relationships/hyperlink" Target="https://www.sec.gov/ix?doc=/Archives/edgar/data/1798562/000110465922110318/tm2227087d4_8k.htm" TargetMode="External"/><Relationship Id="rId55" Type="http://schemas.openxmlformats.org/officeDocument/2006/relationships/hyperlink" Target="https://www.sec.gov/ix?doc=/Archives/edgar/data/1798562/000110465922118743/tm2230338d2_8ka.htm" TargetMode="External"/><Relationship Id="rId56" Type="http://schemas.openxmlformats.org/officeDocument/2006/relationships/hyperlink" Target="https://www.sec.gov/ix?doc=/Archives/edgar/data/1798562/000110465922124759/tm2232041d2_8k.htm" TargetMode="External"/><Relationship Id="rId57" Type="http://schemas.openxmlformats.org/officeDocument/2006/relationships/hyperlink" Target="https://www.sec.gov/Archives/edgar/data/1798562/000121390021047279/ea146988-8a12b_tmcthemetals.htm" TargetMode="External"/><Relationship Id="rId109" Type="http://schemas.openxmlformats.org/officeDocument/2006/relationships/hyperlink" Target="https://www.sec.gov/Archives/edgar/data/1798562/000110465922038029/tmc-20211231x10k.htm" TargetMode="External"/><Relationship Id="rId110" Type="http://schemas.openxmlformats.org/officeDocument/2006/relationships/hyperlink" Target="https://www.sec.gov/Archives/edgar/data/1798562/000110465922057493/tmc-20220331x10q.htm" TargetMode="External"/><Relationship Id="rId111" Type="http://schemas.openxmlformats.org/officeDocument/2006/relationships/hyperlink" Target="https://www.sec.gov/Archives/edgar/data/1798562/000110465922018674/tm226092d1_8k.htm" TargetMode="External"/><Relationship Id="rId112" Type="http://schemas.openxmlformats.org/officeDocument/2006/relationships/hyperlink" Target="https://www.sec.gov/Archives/edgar/data/1798562/000110465922034803/tm229560d1_8k.htm" TargetMode="External"/><Relationship Id="rId113" Type="http://schemas.openxmlformats.org/officeDocument/2006/relationships/hyperlink" Target="https://www.sec.gov/Archives/edgar/data/1798562/000110465922067358/tm2217495d1_8k.htm" TargetMode="External"/><Relationship Id="rId114" Type="http://schemas.openxmlformats.org/officeDocument/2006/relationships/hyperlink" Target="https://www.sec.gov/ix?doc=/Archives/edgar/data/0001798562/000110465922107962/tm2227087d4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2022-12-22T16:30:02Z</dcterms:created>
  <dcterms:modified xsi:type="dcterms:W3CDTF">2022-12-22T16:30:02Z</dcterms:modified>
</cp:coreProperties>
</file>