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without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87261Y 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Gerard Barron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TMC the metals company Inc.</w:t>
      </w:r>
    </w:p>
    <w:p>
      <w:pPr>
        <w:jc w:val="center"/>
        <w:ind w:right="-19"/>
        <w:spacing w:after="0" w:line="192" w:lineRule="auto"/>
        <w:rPr>
          <w:sz w:val="20"/>
          <w:szCs w:val="20"/>
          <w:color w:val="auto"/>
        </w:rPr>
      </w:pPr>
      <w:r>
        <w:rPr>
          <w:rFonts w:ascii="Times New Roman" w:cs="Times New Roman" w:eastAsia="Times New Roman" w:hAnsi="Times New Roman"/>
          <w:sz w:val="18"/>
          <w:szCs w:val="18"/>
          <w:b w:val="1"/>
          <w:bCs w:val="1"/>
          <w:color w:val="auto"/>
        </w:rPr>
        <w:t>595 Howe Street, 10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 02111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30,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jc w:val="both"/>
        <w:ind w:left="100" w:hanging="93"/>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35" w:lineRule="exact"/>
        <w:rPr>
          <w:sz w:val="20"/>
          <w:szCs w:val="20"/>
          <w:color w:val="auto"/>
        </w:rPr>
      </w:pPr>
    </w:p>
    <w:p>
      <w:pPr>
        <w:ind w:left="20"/>
        <w:spacing w:after="0"/>
        <w:tabs>
          <w:tab w:leader="none" w:pos="55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CUSIP NO. 87261Y 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2 of 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8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568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568825"/>
                    </a:xfrm>
                    <a:prstGeom prst="rect">
                      <a:avLst/>
                    </a:prstGeom>
                    <a:noFill/>
                  </pic:spPr>
                </pic:pic>
              </a:graphicData>
            </a:graphic>
          </wp:anchor>
        </w:drawing>
      </w:r>
    </w:p>
    <w:p>
      <w:pPr>
        <w:spacing w:after="0" w:line="273" w:lineRule="exact"/>
        <w:rPr>
          <w:sz w:val="20"/>
          <w:szCs w:val="20"/>
          <w:color w:val="auto"/>
        </w:rPr>
      </w:pPr>
    </w:p>
    <w:p>
      <w:pPr>
        <w:ind w:left="720" w:right="7840" w:hanging="547"/>
        <w:spacing w:after="0" w:line="282"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Gerard Barron</w:t>
      </w:r>
    </w:p>
    <w:p>
      <w:pPr>
        <w:spacing w:after="0" w:line="27" w:lineRule="exact"/>
        <w:rPr>
          <w:sz w:val="20"/>
          <w:szCs w:val="20"/>
          <w:color w:val="auto"/>
        </w:rPr>
      </w:pPr>
    </w:p>
    <w:p>
      <w:pPr>
        <w:ind w:left="720" w:hanging="547"/>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7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2" w:lineRule="exact"/>
        <w:rPr>
          <w:sz w:val="20"/>
          <w:szCs w:val="20"/>
          <w:color w:val="auto"/>
        </w:rPr>
      </w:pPr>
    </w:p>
    <w:p>
      <w:pPr>
        <w:ind w:left="720" w:hanging="547"/>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sz w:val="20"/>
          <w:szCs w:val="20"/>
          <w:color w:val="auto"/>
        </w:rPr>
      </w:pPr>
    </w:p>
    <w:p>
      <w:pPr>
        <w:ind w:left="720" w:right="8900" w:hanging="547"/>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PF</w:t>
      </w:r>
      <w:r>
        <w:rPr>
          <w:rFonts w:ascii="Times New Roman" w:cs="Times New Roman" w:eastAsia="Times New Roman" w:hAnsi="Times New Roman"/>
          <w:sz w:val="29"/>
          <w:szCs w:val="29"/>
          <w:color w:val="auto"/>
          <w:vertAlign w:val="superscript"/>
        </w:rPr>
        <w:t>1</w:t>
      </w:r>
    </w:p>
    <w:p>
      <w:pPr>
        <w:spacing w:after="0" w:line="2" w:lineRule="exact"/>
        <w:rPr>
          <w:sz w:val="20"/>
          <w:szCs w:val="20"/>
          <w:color w:val="auto"/>
        </w:rPr>
      </w:pPr>
    </w:p>
    <w:p>
      <w:pPr>
        <w:ind w:left="720" w:hanging="54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 w:lineRule="exact"/>
        <w:rPr>
          <w:rFonts w:ascii="Times New Roman" w:cs="Times New Roman" w:eastAsia="Times New Roman" w:hAnsi="Times New Roman"/>
          <w:sz w:val="18"/>
          <w:szCs w:val="18"/>
          <w:color w:val="auto"/>
        </w:rPr>
      </w:pPr>
    </w:p>
    <w:p>
      <w:pPr>
        <w:ind w:left="7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sz w:val="20"/>
          <w:szCs w:val="20"/>
          <w:color w:val="auto"/>
        </w:rPr>
      </w:pPr>
    </w:p>
    <w:p>
      <w:pPr>
        <w:ind w:left="720" w:right="6860" w:hanging="547"/>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26"/>
        </w:trPr>
        <w:tc>
          <w:tcPr>
            <w:tcW w:w="2840" w:type="dxa"/>
            <w:vAlign w:val="bottom"/>
            <w:tcBorders>
              <w:top w:val="single" w:sz="8" w:color="auto"/>
              <w:right w:val="single" w:sz="8" w:color="auto"/>
            </w:tcBorders>
          </w:tcPr>
          <w:p>
            <w:pPr>
              <w:spacing w:after="0"/>
              <w:rPr>
                <w:sz w:val="19"/>
                <w:szCs w:val="19"/>
                <w:color w:val="auto"/>
              </w:rPr>
            </w:pPr>
          </w:p>
        </w:tc>
        <w:tc>
          <w:tcPr>
            <w:tcW w:w="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78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66"/>
        </w:trPr>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spacing w:after="0"/>
              <w:rPr>
                <w:sz w:val="23"/>
                <w:szCs w:val="23"/>
                <w:color w:val="auto"/>
              </w:rPr>
            </w:pPr>
          </w:p>
        </w:tc>
        <w:tc>
          <w:tcPr>
            <w:tcW w:w="7840" w:type="dxa"/>
            <w:vAlign w:val="bottom"/>
          </w:tcPr>
          <w:p>
            <w:pPr>
              <w:ind w:left="140"/>
              <w:spacing w:after="0" w:line="266" w:lineRule="exact"/>
              <w:rPr>
                <w:sz w:val="20"/>
                <w:szCs w:val="20"/>
                <w:color w:val="auto"/>
              </w:rPr>
            </w:pPr>
            <w:r>
              <w:rPr>
                <w:rFonts w:ascii="Times New Roman" w:cs="Times New Roman" w:eastAsia="Times New Roman" w:hAnsi="Times New Roman"/>
                <w:sz w:val="18"/>
                <w:szCs w:val="18"/>
                <w:color w:val="auto"/>
              </w:rPr>
              <w:t>19,109,093 shares of Common Shares</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52"/>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7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68"/>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vMerge w:val="continue"/>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86"/>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84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7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vMerge w:val="continue"/>
          </w:tcPr>
          <w:p>
            <w:pPr>
              <w:spacing w:after="0"/>
              <w:rPr>
                <w:sz w:val="13"/>
                <w:szCs w:val="13"/>
                <w:color w:val="auto"/>
              </w:rPr>
            </w:pPr>
          </w:p>
        </w:tc>
        <w:tc>
          <w:tcPr>
            <w:tcW w:w="7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840" w:type="dxa"/>
            <w:vAlign w:val="bottom"/>
            <w:vMerge w:val="restart"/>
          </w:tcPr>
          <w:p>
            <w:pPr>
              <w:ind w:left="140"/>
              <w:spacing w:after="0" w:line="280" w:lineRule="exact"/>
              <w:rPr>
                <w:sz w:val="20"/>
                <w:szCs w:val="20"/>
                <w:color w:val="auto"/>
              </w:rPr>
            </w:pPr>
            <w:r>
              <w:rPr>
                <w:rFonts w:ascii="Times New Roman" w:cs="Times New Roman" w:eastAsia="Times New Roman" w:hAnsi="Times New Roman"/>
                <w:sz w:val="18"/>
                <w:szCs w:val="18"/>
                <w:color w:val="auto"/>
              </w:rPr>
              <w:t>19,109,093 shares of Common Shares</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spacing w:after="0"/>
              <w:rPr>
                <w:sz w:val="18"/>
                <w:szCs w:val="18"/>
                <w:color w:val="auto"/>
              </w:rPr>
            </w:pPr>
          </w:p>
        </w:tc>
        <w:tc>
          <w:tcPr>
            <w:tcW w:w="7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84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7"/>
        </w:trPr>
        <w:tc>
          <w:tcPr>
            <w:tcW w:w="28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720" w:right="3980" w:hanging="547"/>
        <w:spacing w:after="0" w:line="27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19,109,093 shares of Common Shares</w:t>
      </w:r>
    </w:p>
    <w:p>
      <w:pPr>
        <w:spacing w:after="0" w:line="32" w:lineRule="exact"/>
        <w:rPr>
          <w:rFonts w:ascii="Times New Roman" w:cs="Times New Roman" w:eastAsia="Times New Roman" w:hAnsi="Times New Roman"/>
          <w:sz w:val="18"/>
          <w:szCs w:val="18"/>
          <w:color w:val="auto"/>
        </w:rPr>
      </w:pPr>
    </w:p>
    <w:p>
      <w:pPr>
        <w:ind w:left="720" w:hanging="54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7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720" w:right="5380" w:hanging="547"/>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7.2% of the Common Shares</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720" w:right="8020" w:hanging="547"/>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331" w:lineRule="exact"/>
        <w:rPr>
          <w:sz w:val="20"/>
          <w:szCs w:val="20"/>
          <w:color w:val="auto"/>
        </w:rPr>
      </w:pPr>
    </w:p>
    <w:p>
      <w:pPr>
        <w:jc w:val="both"/>
        <w:ind w:firstLine="8"/>
        <w:spacing w:after="0" w:line="228" w:lineRule="auto"/>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(i) 14,941,655 Common Shares, (ii) 4,078,044 Common Shares underlying options that are exercisable within 60 days of January 3, 2023, and (iii) 89,394 Common Shares underlying warrants. Does not include (i) up to 520,834 restricted stock units, each representing the right to receive one Common Share upon vesting, which will vest in two equal annual installments on November 22, 2023 and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42" w:lineRule="exact"/>
        <w:rPr>
          <w:sz w:val="20"/>
          <w:szCs w:val="20"/>
          <w:color w:val="auto"/>
        </w:rPr>
      </w:pPr>
    </w:p>
    <w:p>
      <w:pPr>
        <w:ind w:right="20" w:firstLine="8"/>
        <w:spacing w:after="0" w:line="195" w:lineRule="auto"/>
        <w:tabs>
          <w:tab w:leader="none" w:pos="133"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based on 265,532,666 Common Shares issued and outstanding as of November 14, 2022, as reported in the Issuer’s Quarterly Report on Form 10-Q/A filed on 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35" w:lineRule="exact"/>
        <w:rPr>
          <w:sz w:val="20"/>
          <w:szCs w:val="20"/>
          <w:color w:val="auto"/>
        </w:rPr>
      </w:pPr>
    </w:p>
    <w:p>
      <w:pPr>
        <w:ind w:left="20"/>
        <w:spacing w:after="0"/>
        <w:tabs>
          <w:tab w:leader="none" w:pos="55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CUSIP NO. 87261Y 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3 of 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8 TO SCHEDULE 13D</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Amendment No. 8 to Schedule 13D (this “Amendment”)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on November 30, 2021, on December 29, 2021, on February 9, 2022, on April 5, 2022, on July 6, 2022 and on August 18, 2022 (the “Schedule 13D”), by Gerard Barron (the “Reporting Person”).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3 is hereby supplemented by adding the following at the end thereof:</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30, 2022, the Reporting Person acquired 42,000 Common Shares in open-market transactions at a purchase price of $0.71 per share using cash on hand.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4 of the Schedule 13D is hereby amended and restated in its entirety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Item 3 is incorporated by reference into Item 4.</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180,869 Common Shares beneficially owned by the Reporting Person were subsequently acquired by the Reporting Person on February 9, 2022, 23,000 Common Shares beneficially owned by the Reporting Person were subsequently acquired by the Reporting Person on March 30, 2022, 25,000 Common Shares beneficially owned by the Reporting Person were subsequently acquired by the Reporting Person on June 29, 2022, 103,680 Common Shares beneficially owned by the Reporting Person were subsequently acquired by the Reporting Person on August 12, 2022, 260,416 Common Shares were subsequently acquired by the Reporting Person upon vesting of restricted stock units on November 22, 2022 and 42,000 Common Shares beneficially owned by the Reporting Person were subsequently acquired by the Reporting Person on December 30, 2022.</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color w:val="auto"/>
        </w:rPr>
        <w:t>SCHEDULE 13D</w:t>
      </w:r>
    </w:p>
    <w:p>
      <w:pPr>
        <w:spacing w:after="0" w:line="235" w:lineRule="exact"/>
        <w:rPr>
          <w:sz w:val="20"/>
          <w:szCs w:val="20"/>
          <w:color w:val="auto"/>
        </w:rPr>
      </w:pPr>
    </w:p>
    <w:p>
      <w:pPr>
        <w:ind w:left="20"/>
        <w:spacing w:after="0"/>
        <w:tabs>
          <w:tab w:leader="none" w:pos="55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CUSIP NO. 87261Y 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4 of 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8 TO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Reporting Person holds (i) 14,941,655 Common Shares, including the 103,680 Common Shares purchased in a private placement from the Issuer pursuant to a securities purchase agreement, dated August 12, 2022, with the Issuer, a copy of which was filed as Exhibit 10.2 to the Issuer’s Current Report on Form 8-K, which is incorporated herein by reference, (ii) 4,078,044 Common Shares underlying options that are exercisable within 60 days of January 3, 2023, and (iii)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holds 520,834 restricted stock units, each representing the right to receive one Common Share upon vesting, granted to the Reporting Person on November 22, 2021 under the Issuer's 2021 Equity Incentive Plan, which will vest in two equal annual installments on November 22, 2023 and November 22, 2024,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undersigned’s knowledge and belief, the undersigned hereby certifies that the information set forth in this statement is true, complete and correct.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Dated: January 3,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Gerard Barron</w:t>
            </w:r>
          </w:p>
        </w:tc>
      </w:tr>
      <w:tr>
        <w:trPr>
          <w:trHeight w:val="684"/>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6"/>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2023-01-03T07:22:47Z</dcterms:created>
  <dcterms:modified xsi:type="dcterms:W3CDTF">2023-01-03T07:22:47Z</dcterms:modified>
</cp:coreProperties>
</file>