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142875</wp:posOffset>
            </wp:positionV>
            <wp:extent cx="240030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30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22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5"/>
          <w:szCs w:val="25"/>
          <w:b w:val="1"/>
          <w:bCs w:val="1"/>
          <w:color w:val="auto"/>
        </w:rPr>
        <w:t>Up to 264,438,297 Common Shares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139700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no. 9 (this “Supplement”) supplements the prospectus dated July 12, 2022 (the “Prospectus”) relating to the issuance by us of up to an aggregate of 24,500,000 of our common shares, without par value (“Common Shares”), which consists of (i) up to 9,500,000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 (ii) up to 15,000,000 Common Shares that are issuable upon the exercise of 15,000,000 warrants issued in connection with the initial public offering of SOAC (the “Public Warrants,” and together with the Private Placement Warrants, the “Warrants”).</w:t>
      </w:r>
    </w:p>
    <w:p>
      <w:pPr>
        <w:spacing w:after="0" w:line="187" w:lineRule="exact"/>
        <w:rPr>
          <w:sz w:val="24"/>
          <w:szCs w:val="24"/>
          <w:color w:val="auto"/>
        </w:rPr>
      </w:pPr>
    </w:p>
    <w:p>
      <w:pPr>
        <w:ind w:right="300" w:firstLine="324"/>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ind w:right="180" w:firstLine="8"/>
        <w:spacing w:after="0" w:line="265" w:lineRule="auto"/>
        <w:tabs>
          <w:tab w:leader="none" w:pos="30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ind w:right="200" w:firstLine="8"/>
        <w:spacing w:after="0" w:line="253"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87" w:lineRule="exact"/>
        <w:rPr>
          <w:sz w:val="24"/>
          <w:szCs w:val="24"/>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3"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 which was filed with the Securities and Exchange Commission on February 16, 2023.</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February 15, 2023, the closing price of our Common Shares was $1.15 and the closing price for our Public Warrants was $0.158.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1" w:lineRule="exact"/>
        <w:rPr>
          <w:sz w:val="20"/>
          <w:szCs w:val="20"/>
          <w:color w:val="auto"/>
        </w:rPr>
      </w:pPr>
    </w:p>
    <w:p>
      <w:pPr>
        <w:ind w:right="8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supplement is 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372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7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720" w:type="dxa"/>
            <w:vAlign w:val="bottom"/>
          </w:tcPr>
          <w:p>
            <w:pPr>
              <w:spacing w:after="0"/>
              <w:rPr>
                <w:sz w:val="19"/>
                <w:szCs w:val="19"/>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34"/>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spacing w:after="0"/>
              <w:rPr>
                <w:sz w:val="20"/>
                <w:szCs w:val="20"/>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1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860" w:firstLine="8"/>
        <w:spacing w:after="0" w:line="404"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4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 Common Shares without par value</w:t>
            </w:r>
          </w:p>
        </w:tc>
        <w:tc>
          <w:tcPr>
            <w:tcW w:w="220" w:type="dxa"/>
            <w:vAlign w:val="bottom"/>
          </w:tcPr>
          <w:p>
            <w:pPr>
              <w:spacing w:after="0"/>
              <w:rPr>
                <w:sz w:val="16"/>
                <w:szCs w:val="16"/>
                <w:color w:val="auto"/>
              </w:rPr>
            </w:pPr>
          </w:p>
        </w:tc>
        <w:tc>
          <w:tcPr>
            <w:tcW w:w="3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22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w:t>
            </w: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for one TMC Common Share, each at an exercise price</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1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4" w:lineRule="exact"/>
        <w:rPr>
          <w:sz w:val="20"/>
          <w:szCs w:val="20"/>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previously reported, on December 5, 2022, TMC the metals company Inc. (the “Company”) received written notice from The Nasdaq Stock Market LLC (“Nasdaq”) notifying the Company that the closing bid price for the Company’s common shares (the “Common Shares”) had fallen below $1.00 per share for 30 consecutive business days, which is the minimum closing bid price required to maintain listing on the Nasdaq Stock Market under Nasdaq Listing Rule 5450(a)(1) (the “Minimum Bid Requirement”).</w:t>
      </w:r>
    </w:p>
    <w:p>
      <w:pPr>
        <w:spacing w:after="0" w:line="180"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On February 16, 2023, the Company received written notice from the Nasdaq notifying the Company that since the closing bid price for the Common Shares was $1.00 per share or greater for ten consecutive business days, the Company has regained compliance with the Minimum Bid Requirement and this matter is now closed.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2023</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4"/>
    </w:lvl>
  </w:abstractNum>
  <w:abstractNum w:abstractNumId="1">
    <w:nsid w:val="74B0DC51"/>
    <w:multiLevelType w:val="hybridMultilevel"/>
    <w:lvl w:ilvl="0">
      <w:lvlJc w:val="left"/>
      <w:lvlText w:val="(%1)"/>
      <w:numFmt w:val="lowerRoman"/>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2023-02-16T13:35:15Z</dcterms:created>
  <dcterms:modified xsi:type="dcterms:W3CDTF">2023-02-16T13:35:15Z</dcterms:modified>
</cp:coreProperties>
</file>