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988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supplement no. 10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300" w:firstLine="324"/>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80" w:firstLine="8"/>
        <w:spacing w:after="0" w:line="265" w:lineRule="auto"/>
        <w:tabs>
          <w:tab w:leader="none" w:pos="30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ind w:right="200" w:firstLine="8"/>
        <w:spacing w:after="0" w:line="253"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87"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162" w:lineRule="exact"/>
        <w:rPr>
          <w:sz w:val="24"/>
          <w:szCs w:val="24"/>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4"/>
          <w:szCs w:val="24"/>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February 17, 2023.</w:t>
      </w:r>
    </w:p>
    <w:p>
      <w:pPr>
        <w:spacing w:after="0" w:line="162"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4"/>
          <w:szCs w:val="24"/>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February 16, 2023, the closing price of our Common Shares was $1.10 and the closing price for our Public Warrants was $0.1698.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8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17, 2023.</w:t>
      </w:r>
    </w:p>
    <w:p>
      <w:pPr>
        <w:sectPr>
          <w:pgSz w:w="11900" w:h="16838" w:orient="portrait"/>
          <w:cols w:equalWidth="0" w:num="1">
            <w:col w:w="11240"/>
          </w:cols>
          <w:pgMar w:left="320" w:top="441" w:right="339" w:bottom="231"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13, 2023, TMC the metals company Inc. (the “Company”) entered into a Fifth Amendment to Pilot Mining Test Agreement and Third Amendment to Strategic Alliance Agreement (“Fifth Amendment”), which is effective as of February 8, 2023, with DeepGreen Engineering Pte Ltd, DeepGreen Metals Inc. and Allseas Group S.A (“Allseas”). The Fifth Amendment relates to the Company’s previously disclosed intent to settle the third and final payment of $10 million due to Allseas upon successful completion of the pilot trial of the pilot mining test system in its NORI contract area in the Clarion Clipperton Zone of the Pacific Ocean where the Company’s wholly-owned subsidiary, Nauru Ocean Resources Inc. (NORI), holds exclusive rights to explore for polymetallic nodules as well as certain other amounts owed to Allseas through the issuance of 10,850,000 common shares to Allseas, priced at $1.00 per share.</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Fifth Agreement does not purport to be complete and is qualified in its entirety by reference to the full text of the Fifth Agreement, filed as Exhibit 10.1, to this Current Report on Form 8-K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Fifth Amendment to Pilot Mining Test Agreement and Third Amendment to Strategic Alliance Agreement, effective as of February 8,</w:t>
            </w:r>
          </w:p>
        </w:tc>
      </w:tr>
      <w:tr>
        <w:trPr>
          <w:trHeight w:val="196"/>
        </w:trPr>
        <w:tc>
          <w:tcPr>
            <w:tcW w:w="32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9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2023, by and among DeepGreen Engineering Pte Ltd, DeepGreen Metals Inc., TMC the metals company Inc. and Allseas Group S.A.</w:t>
            </w:r>
          </w:p>
        </w:tc>
        <w:tc>
          <w:tcPr>
            <w:tcW w:w="28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0" w:type="dxa"/>
            <w:vAlign w:val="bottom"/>
            <w:gridSpan w:val="2"/>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PILOT MINING TEST AGREEMENT AND THIRD AMENDMENT TO STRATEGIC ALLIANCE AGREEMENT</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This Fifth Amendment to Pilot Mining Test Agreement and Third Amendment to Strategic Alliance Agreement and (“</w:t>
      </w:r>
      <w:r>
        <w:rPr>
          <w:rFonts w:ascii="Times New Roman" w:cs="Times New Roman" w:eastAsia="Times New Roman" w:hAnsi="Times New Roman"/>
          <w:sz w:val="18"/>
          <w:szCs w:val="18"/>
          <w:u w:val="single" w:color="auto"/>
          <w:color w:val="auto"/>
        </w:rPr>
        <w:t>Fifth Amendment</w:t>
      </w:r>
      <w:r>
        <w:rPr>
          <w:rFonts w:ascii="Times New Roman" w:cs="Times New Roman" w:eastAsia="Times New Roman" w:hAnsi="Times New Roman"/>
          <w:sz w:val="18"/>
          <w:szCs w:val="18"/>
          <w:color w:val="auto"/>
        </w:rPr>
        <w:t>”) is effective as of February 8, 2023, and is entered into by and among DeepGreen Engineering Pte Ltd (“</w:t>
      </w:r>
      <w:r>
        <w:rPr>
          <w:rFonts w:ascii="Times New Roman" w:cs="Times New Roman" w:eastAsia="Times New Roman" w:hAnsi="Times New Roman"/>
          <w:sz w:val="18"/>
          <w:szCs w:val="18"/>
          <w:u w:val="single" w:color="auto"/>
          <w:color w:val="auto"/>
        </w:rPr>
        <w:t>DeepGreen</w:t>
      </w:r>
      <w:r>
        <w:rPr>
          <w:rFonts w:ascii="Times New Roman" w:cs="Times New Roman" w:eastAsia="Times New Roman" w:hAnsi="Times New Roman"/>
          <w:sz w:val="18"/>
          <w:szCs w:val="18"/>
          <w:color w:val="auto"/>
        </w:rPr>
        <w:t>”), DeepGreen Metals Inc. (“</w:t>
      </w:r>
      <w:r>
        <w:rPr>
          <w:rFonts w:ascii="Times New Roman" w:cs="Times New Roman" w:eastAsia="Times New Roman" w:hAnsi="Times New Roman"/>
          <w:sz w:val="18"/>
          <w:szCs w:val="18"/>
          <w:u w:val="single" w:color="auto"/>
          <w:color w:val="auto"/>
        </w:rPr>
        <w:t>DGM</w:t>
      </w:r>
      <w:r>
        <w:rPr>
          <w:rFonts w:ascii="Times New Roman" w:cs="Times New Roman" w:eastAsia="Times New Roman" w:hAnsi="Times New Roman"/>
          <w:sz w:val="18"/>
          <w:szCs w:val="18"/>
          <w:color w:val="auto"/>
        </w:rPr>
        <w:t>”), TMC the metals company Inc., where TMC becomes a party for the sole purpose outlined below (“</w:t>
      </w:r>
      <w:r>
        <w:rPr>
          <w:rFonts w:ascii="Times New Roman" w:cs="Times New Roman" w:eastAsia="Times New Roman" w:hAnsi="Times New Roman"/>
          <w:sz w:val="18"/>
          <w:szCs w:val="18"/>
          <w:u w:val="single" w:color="auto"/>
          <w:color w:val="auto"/>
        </w:rPr>
        <w:t>TMC</w:t>
      </w:r>
      <w:r>
        <w:rPr>
          <w:rFonts w:ascii="Times New Roman" w:cs="Times New Roman" w:eastAsia="Times New Roman" w:hAnsi="Times New Roman"/>
          <w:sz w:val="18"/>
          <w:szCs w:val="18"/>
          <w:color w:val="auto"/>
        </w:rPr>
        <w:t>”) and Allseas Group S.A. (“</w:t>
      </w:r>
      <w:r>
        <w:rPr>
          <w:rFonts w:ascii="Times New Roman" w:cs="Times New Roman" w:eastAsia="Times New Roman" w:hAnsi="Times New Roman"/>
          <w:sz w:val="18"/>
          <w:szCs w:val="18"/>
          <w:u w:val="single" w:color="auto"/>
          <w:color w:val="auto"/>
        </w:rPr>
        <w:t>Allseas</w:t>
      </w:r>
      <w:r>
        <w:rPr>
          <w:rFonts w:ascii="Times New Roman" w:cs="Times New Roman" w:eastAsia="Times New Roman" w:hAnsi="Times New Roman"/>
          <w:sz w:val="18"/>
          <w:szCs w:val="18"/>
          <w:color w:val="auto"/>
        </w:rPr>
        <w:t>”) (each is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right="32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Allseas and DeepGreen entered into that certain Pilot Mining Test Agreement dated July 8, 2019 (as amended by Amendment Number 1 dated December 18, 2019, by Amendment Number 2 dated February 20, 2020, and again by that certain Third Amendment to Pilot Mining Test Agreement and First Amendment to Strategic Alliance Agreement, dated March 4, 2021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and again by that certain Fourth Amendment to Pilot Mining Test Agreement and Second Amendment to Strategic Alliance Agreement, dated June 30, 2021 and as otherwise amended) (collectively,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DeepGreen, DGM and Allseas agreed to include and join TMC as a party to the Agreement for the sole purpose of performing its obligations under this Fifth Amendment and TMC agrees to be included and join the Agreement as a party for the sole purpose of being bound by its obligations under this Fifth Amendment.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wish to further amend the Agreement and SAA as set forth in this Fifth Amendment.</w:t>
      </w:r>
    </w:p>
    <w:p>
      <w:pPr>
        <w:spacing w:after="0" w:line="22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and other good and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Parties hereto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Capitalized terms used and not defined in this Fifth Amendment have the respective meanings assigned to them in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The Agreement and SAA are hereby amended as follows: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Successful Completion</w:t>
      </w:r>
      <w:r>
        <w:rPr>
          <w:rFonts w:ascii="Times New Roman" w:cs="Times New Roman" w:eastAsia="Times New Roman" w:hAnsi="Times New Roman"/>
          <w:sz w:val="18"/>
          <w:szCs w:val="18"/>
          <w:color w:val="auto"/>
        </w:rPr>
        <w:t>. Notwithstanding anything to the contrary in the Agreement, this Fifth Amendment constitutes a Completion Certificate for the PMTS and that Successful Completion has been achieved for all purposes.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Payment in Shares in Lieu of Cash</w:t>
      </w:r>
      <w:r>
        <w:rPr>
          <w:rFonts w:ascii="Times New Roman" w:cs="Times New Roman" w:eastAsia="Times New Roman" w:hAnsi="Times New Roman"/>
          <w:sz w:val="18"/>
          <w:szCs w:val="18"/>
          <w:color w:val="auto"/>
        </w:rPr>
        <w:t>. Notwithstanding anything to the contrary in the Agreement, Allseas shall not be entitled to any cash payment in connection with the Successful Completion, and in lieu of, and final satisfaction of, any cash payment due or that may be due to Allseas pursuant to the Agreement, TMC shall issue to Allseas, within 10 days of the date hereof, 10,850,000 Common Shares of TMC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Allseas agrees and acknowledges that TMC shall issue the Shares in reliance on Allseas’ agreement and acknowledgement that such issuance is in lieu and full satisfaction of any cash payment that may have been or may be due to Allseas pursuant to the Agreement or any other understanding or agreement, written, oral, by email or otherwise, that any such payment obligations exists or may come into effect.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Fifth Amendment shall be read together with the Agreement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Fifth Amendment. This Fifth Amendment may be executed in multiple originals, each of which shall be considered an original for all purposes and, collectively, shall be considered to constitute this Fifth Amendment. Signatures transmitted by facsimile or in a Portable Document Format (pdf) may be considered an original for all purposes, including, without limitation, the execution of this Fifth Amendment and enforcement of this Fifth Amendment. Where applicable, this Fifth Amendment shall be deemed to amend the SAA. This Fifth Amendment and the attachments hereto shall prevail in case of any conflict with the SAA or the Agreement as amended to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3040"/>
        <w:spacing w:after="0"/>
        <w:rPr>
          <w:sz w:val="20"/>
          <w:szCs w:val="20"/>
          <w:color w:val="auto"/>
        </w:rPr>
      </w:pPr>
      <w:r>
        <w:rPr>
          <w:rFonts w:ascii="Times New Roman" w:cs="Times New Roman" w:eastAsia="Times New Roman" w:hAnsi="Times New Roman"/>
          <w:sz w:val="18"/>
          <w:szCs w:val="18"/>
          <w:b w:val="1"/>
          <w:bCs w:val="1"/>
          <w:color w:val="auto"/>
        </w:rPr>
        <w:t>[SIGNATURE PAGE TO FIFTH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Fifth Amendment to be effective as of the Closing.</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Allseas Group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E.P.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E.P. Heerema</w:t>
      </w:r>
    </w:p>
    <w:p>
      <w:pPr>
        <w:spacing w:after="0" w:line="23"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DeepGreen Metals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DeepGreen Engineering Pte Ltd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4"/>
    </w:lvl>
  </w:abstractNum>
  <w:abstractNum w:abstractNumId="1">
    <w:nsid w:val="19495CFF"/>
    <w:multiLevelType w:val="hybridMultilevel"/>
    <w:lvl w:ilvl="0">
      <w:lvlJc w:val="left"/>
      <w:lvlText w:val="(%1)"/>
      <w:numFmt w:val="lowerRoman"/>
      <w:start w:val="6"/>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2023-02-17T15:53:34Z</dcterms:created>
  <dcterms:modified xsi:type="dcterms:W3CDTF">2023-02-17T15:53:34Z</dcterms:modified>
</cp:coreProperties>
</file>