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(Rule 13d-101)</w:t>
      </w:r>
    </w:p>
    <w:p>
      <w:pPr>
        <w:spacing w:after="0" w:line="211"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INFORMATION TO BE INCLUDED IN STATEMENTS FILED PURSUANT</w:t>
      </w:r>
    </w:p>
    <w:p>
      <w:pPr>
        <w:spacing w:after="0" w:line="23"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TO § 240.13d-1(a) AND AMENDMENTS THERETO FILED PURSUANT TO</w:t>
      </w:r>
    </w:p>
    <w:p>
      <w:pPr>
        <w:spacing w:after="0" w:line="9" w:lineRule="exact"/>
        <w:rPr>
          <w:sz w:val="24"/>
          <w:szCs w:val="24"/>
          <w:color w:val="auto"/>
        </w:rPr>
      </w:pPr>
    </w:p>
    <w:p>
      <w:pPr>
        <w:ind w:left="4860" w:right="4800" w:firstLine="229"/>
        <w:spacing w:after="0" w:line="548" w:lineRule="auto"/>
        <w:tabs>
          <w:tab w:leader="none" w:pos="5232" w:val="left"/>
        </w:tabs>
        <w:numPr>
          <w:ilvl w:val="0"/>
          <w:numId w:val="1"/>
        </w:numPr>
        <w:rPr>
          <w:rFonts w:ascii="Arial" w:cs="Arial" w:eastAsia="Arial" w:hAnsi="Arial"/>
          <w:sz w:val="16"/>
          <w:szCs w:val="16"/>
          <w:color w:val="auto"/>
        </w:rPr>
      </w:pPr>
      <w:r>
        <w:rPr>
          <w:rFonts w:ascii="Arial" w:cs="Arial" w:eastAsia="Arial" w:hAnsi="Arial"/>
          <w:sz w:val="16"/>
          <w:szCs w:val="16"/>
          <w:color w:val="auto"/>
        </w:rPr>
        <w:t>240.13d-2(a) (Amendment No. 3)*</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TMC the metals company Inc.</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TMC Common Shares without par value</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87261Y 106</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Cornelis Kooger</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Route de Pra de Plan 18, Case Postale 411</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1618 Châtel-Saint-Denis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Switzerland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+41 21 948 3500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February 13, 2023</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ind w:right="2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2"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360" w:firstLine="648"/>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665480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837"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87261Y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614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614670"/>
                    </a:xfrm>
                    <a:prstGeom prst="rect">
                      <a:avLst/>
                    </a:prstGeom>
                    <a:noFill/>
                  </pic:spPr>
                </pic:pic>
              </a:graphicData>
            </a:graphic>
          </wp:anchor>
        </w:drawing>
      </w:r>
    </w:p>
    <w:p>
      <w:pPr>
        <w:spacing w:after="0" w:line="246" w:lineRule="exact"/>
        <w:rPr>
          <w:sz w:val="20"/>
          <w:szCs w:val="20"/>
          <w:color w:val="auto"/>
        </w:rPr>
      </w:pPr>
    </w:p>
    <w:p>
      <w:pPr>
        <w:ind w:left="1620" w:hanging="840"/>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1"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b w:val="1"/>
          <w:bCs w:val="1"/>
          <w:color w:val="auto"/>
        </w:rPr>
        <w:t>Allseas Group S.A.</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1560" w:type="dxa"/>
            <w:vAlign w:val="bottom"/>
            <w:tcBorders>
              <w:top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060" w:type="dxa"/>
            <w:vAlign w:val="bottom"/>
            <w:tcBorders>
              <w:top w:val="single" w:sz="8" w:color="auto"/>
            </w:tcBorders>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560" w:type="dxa"/>
            <w:vAlign w:val="bottom"/>
            <w:tcBorders>
              <w:top w:val="single" w:sz="8" w:color="auto"/>
            </w:tcBorders>
          </w:tcPr>
          <w:p>
            <w:pPr>
              <w:ind w:left="1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15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6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ind w:left="1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58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60" w:type="dxa"/>
            <w:vAlign w:val="bottom"/>
            <w:tcBorders>
              <w:bottom w:val="single" w:sz="8" w:color="auto"/>
            </w:tcBorders>
          </w:tcPr>
          <w:p>
            <w:pPr>
              <w:spacing w:after="0"/>
              <w:rPr>
                <w:sz w:val="17"/>
                <w:szCs w:val="17"/>
                <w:color w:val="auto"/>
              </w:rPr>
            </w:pPr>
          </w:p>
        </w:tc>
        <w:tc>
          <w:tcPr>
            <w:tcW w:w="8060" w:type="dxa"/>
            <w:vAlign w:val="bottom"/>
            <w:tcBorders>
              <w:bottom w:val="single" w:sz="8" w:color="auto"/>
            </w:tcBorders>
            <w:gridSpan w:val="2"/>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SOURCE OF FUNDS</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OO</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060" w:type="dxa"/>
            <w:vAlign w:val="bottom"/>
            <w:gridSpan w:val="2"/>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w:t>
            </w:r>
          </w:p>
        </w:tc>
        <w:tc>
          <w:tcPr>
            <w:tcW w:w="1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1580" w:type="dxa"/>
            <w:vAlign w:val="bottom"/>
          </w:tcPr>
          <w:p>
            <w:pPr>
              <w:ind w:left="120"/>
              <w:spacing w:after="0"/>
              <w:rPr>
                <w:sz w:val="20"/>
                <w:szCs w:val="20"/>
                <w:color w:val="auto"/>
              </w:rPr>
            </w:pPr>
            <w:r>
              <w:rPr>
                <w:rFonts w:ascii="Arial" w:cs="Arial" w:eastAsia="Arial" w:hAnsi="Arial"/>
                <w:sz w:val="18"/>
                <w:szCs w:val="18"/>
                <w:color w:val="auto"/>
              </w:rPr>
              <w:t>OR 2(e)</w:t>
            </w:r>
          </w:p>
        </w:tc>
        <w:tc>
          <w:tcPr>
            <w:tcW w:w="6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60" w:type="dxa"/>
            <w:vAlign w:val="bottom"/>
            <w:tcBorders>
              <w:bottom w:val="single" w:sz="8" w:color="auto"/>
            </w:tcBorders>
          </w:tcPr>
          <w:p>
            <w:pPr>
              <w:spacing w:after="0"/>
              <w:rPr>
                <w:sz w:val="18"/>
                <w:szCs w:val="18"/>
                <w:color w:val="auto"/>
              </w:rPr>
            </w:pPr>
          </w:p>
        </w:tc>
        <w:tc>
          <w:tcPr>
            <w:tcW w:w="8060" w:type="dxa"/>
            <w:vAlign w:val="bottom"/>
            <w:tcBorders>
              <w:bottom w:val="single" w:sz="8" w:color="auto"/>
            </w:tcBorders>
            <w:gridSpan w:val="2"/>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Switzerland</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5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64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580" w:type="dxa"/>
            <w:vAlign w:val="bottom"/>
            <w:tcBorders>
              <w:right w:val="single" w:sz="8" w:color="auto"/>
            </w:tcBorders>
          </w:tcPr>
          <w:p>
            <w:pPr>
              <w:spacing w:after="0"/>
              <w:rPr>
                <w:sz w:val="18"/>
                <w:szCs w:val="18"/>
                <w:color w:val="auto"/>
              </w:rPr>
            </w:pPr>
          </w:p>
        </w:tc>
        <w:tc>
          <w:tcPr>
            <w:tcW w:w="64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580" w:type="dxa"/>
            <w:vAlign w:val="bottom"/>
            <w:tcBorders>
              <w:bottom w:val="single" w:sz="8" w:color="auto"/>
              <w:right w:val="single" w:sz="8" w:color="auto"/>
            </w:tcBorders>
          </w:tcPr>
          <w:p>
            <w:pPr>
              <w:spacing w:after="0"/>
              <w:rPr>
                <w:sz w:val="20"/>
                <w:szCs w:val="20"/>
                <w:color w:val="auto"/>
              </w:rPr>
            </w:pPr>
          </w:p>
        </w:tc>
        <w:tc>
          <w:tcPr>
            <w:tcW w:w="6480" w:type="dxa"/>
            <w:vAlign w:val="bottom"/>
            <w:tcBorders>
              <w:bottom w:val="single" w:sz="8" w:color="auto"/>
            </w:tcBorders>
            <w:vMerge w:val="continue"/>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560" w:type="dxa"/>
            <w:vAlign w:val="bottom"/>
          </w:tcPr>
          <w:p>
            <w:pPr>
              <w:jc w:val="center"/>
              <w:spacing w:after="0" w:line="182" w:lineRule="exact"/>
              <w:rPr>
                <w:sz w:val="20"/>
                <w:szCs w:val="20"/>
                <w:color w:val="auto"/>
              </w:rPr>
            </w:pPr>
            <w:r>
              <w:rPr>
                <w:rFonts w:ascii="Arial" w:cs="Arial" w:eastAsia="Arial" w:hAnsi="Arial"/>
                <w:sz w:val="18"/>
                <w:szCs w:val="18"/>
                <w:color w:val="auto"/>
                <w:w w:val="97"/>
              </w:rPr>
              <w:t>OWNED BY</w:t>
            </w:r>
          </w:p>
        </w:tc>
        <w:tc>
          <w:tcPr>
            <w:tcW w:w="15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648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580" w:type="dxa"/>
            <w:vAlign w:val="bottom"/>
            <w:tcBorders>
              <w:right w:val="single" w:sz="8" w:color="auto"/>
            </w:tcBorders>
          </w:tcPr>
          <w:p>
            <w:pPr>
              <w:spacing w:after="0"/>
              <w:rPr>
                <w:sz w:val="18"/>
                <w:szCs w:val="18"/>
                <w:color w:val="auto"/>
              </w:rPr>
            </w:pPr>
          </w:p>
        </w:tc>
        <w:tc>
          <w:tcPr>
            <w:tcW w:w="6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580" w:type="dxa"/>
            <w:vAlign w:val="bottom"/>
            <w:tcBorders>
              <w:right w:val="single" w:sz="8" w:color="auto"/>
            </w:tcBorders>
          </w:tcPr>
          <w:p>
            <w:pPr>
              <w:spacing w:after="0"/>
              <w:rPr>
                <w:sz w:val="20"/>
                <w:szCs w:val="20"/>
                <w:color w:val="auto"/>
              </w:rPr>
            </w:pPr>
          </w:p>
        </w:tc>
        <w:tc>
          <w:tcPr>
            <w:tcW w:w="6480" w:type="dxa"/>
            <w:vAlign w:val="bottom"/>
          </w:tcPr>
          <w:p>
            <w:pPr>
              <w:ind w:left="280"/>
              <w:spacing w:after="0" w:line="230" w:lineRule="exact"/>
              <w:rPr>
                <w:sz w:val="20"/>
                <w:szCs w:val="20"/>
                <w:color w:val="auto"/>
              </w:rPr>
            </w:pPr>
            <w:r>
              <w:rPr>
                <w:rFonts w:ascii="Arial" w:cs="Arial" w:eastAsia="Arial" w:hAnsi="Arial"/>
                <w:sz w:val="16"/>
                <w:szCs w:val="16"/>
                <w:b w:val="1"/>
                <w:bCs w:val="1"/>
                <w:color w:val="auto"/>
              </w:rPr>
              <w:t>45,130,268</w:t>
            </w:r>
            <w:r>
              <w:rPr>
                <w:rFonts w:ascii="Arial" w:cs="Arial" w:eastAsia="Arial" w:hAnsi="Arial"/>
                <w:sz w:val="26"/>
                <w:szCs w:val="26"/>
                <w:b w:val="1"/>
                <w:bCs w:val="1"/>
                <w:color w:val="auto"/>
                <w:vertAlign w:val="superscript"/>
              </w:rPr>
              <w:t>(1)</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580" w:type="dxa"/>
            <w:vAlign w:val="bottom"/>
            <w:tcBorders>
              <w:bottom w:val="single" w:sz="8" w:color="auto"/>
              <w:right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560" w:type="dxa"/>
            <w:vAlign w:val="bottom"/>
            <w:vMerge w:val="continue"/>
          </w:tcPr>
          <w:p>
            <w:pPr>
              <w:spacing w:after="0"/>
              <w:rPr>
                <w:sz w:val="13"/>
                <w:szCs w:val="13"/>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9</w:t>
            </w:r>
          </w:p>
        </w:tc>
        <w:tc>
          <w:tcPr>
            <w:tcW w:w="64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560" w:type="dxa"/>
            <w:vAlign w:val="bottom"/>
          </w:tcPr>
          <w:p>
            <w:pPr>
              <w:spacing w:after="0"/>
              <w:rPr>
                <w:sz w:val="5"/>
                <w:szCs w:val="5"/>
                <w:color w:val="auto"/>
              </w:rPr>
            </w:pPr>
          </w:p>
        </w:tc>
        <w:tc>
          <w:tcPr>
            <w:tcW w:w="1580" w:type="dxa"/>
            <w:vAlign w:val="bottom"/>
            <w:tcBorders>
              <w:right w:val="single" w:sz="8" w:color="auto"/>
            </w:tcBorders>
            <w:vMerge w:val="continue"/>
          </w:tcPr>
          <w:p>
            <w:pPr>
              <w:spacing w:after="0"/>
              <w:rPr>
                <w:sz w:val="5"/>
                <w:szCs w:val="5"/>
                <w:color w:val="auto"/>
              </w:rPr>
            </w:pPr>
          </w:p>
        </w:tc>
        <w:tc>
          <w:tcPr>
            <w:tcW w:w="6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560" w:type="dxa"/>
            <w:vAlign w:val="bottom"/>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0</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60" w:type="dxa"/>
            <w:vAlign w:val="bottom"/>
          </w:tcPr>
          <w:p>
            <w:pPr>
              <w:spacing w:after="0"/>
              <w:rPr>
                <w:sz w:val="19"/>
                <w:szCs w:val="19"/>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4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45,130,268</w:t>
            </w:r>
            <w:r>
              <w:rPr>
                <w:rFonts w:ascii="Arial" w:cs="Arial" w:eastAsia="Arial" w:hAnsi="Arial"/>
                <w:sz w:val="29"/>
                <w:szCs w:val="29"/>
                <w:b w:val="1"/>
                <w:bCs w:val="1"/>
                <w:color w:val="auto"/>
                <w:vertAlign w:val="superscript"/>
              </w:rPr>
              <w:t>(1)</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45,130,268</w:t>
            </w:r>
            <w:r>
              <w:rPr>
                <w:rFonts w:ascii="Arial" w:cs="Arial" w:eastAsia="Arial" w:hAnsi="Arial"/>
                <w:sz w:val="29"/>
                <w:szCs w:val="29"/>
                <w:b w:val="1"/>
                <w:bCs w:val="1"/>
                <w:color w:val="auto"/>
                <w:vertAlign w:val="superscript"/>
              </w:rPr>
              <w:t>(1)</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15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64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1560" w:type="dxa"/>
            <w:vAlign w:val="bottom"/>
          </w:tcPr>
          <w:p>
            <w:pPr>
              <w:spacing w:after="0"/>
              <w:rPr>
                <w:sz w:val="24"/>
                <w:szCs w:val="24"/>
                <w:color w:val="auto"/>
              </w:rPr>
            </w:pPr>
          </w:p>
        </w:tc>
        <w:tc>
          <w:tcPr>
            <w:tcW w:w="1580" w:type="dxa"/>
            <w:vAlign w:val="bottom"/>
          </w:tcPr>
          <w:p>
            <w:pPr>
              <w:ind w:left="280"/>
              <w:spacing w:after="0"/>
              <w:rPr>
                <w:sz w:val="20"/>
                <w:szCs w:val="20"/>
                <w:color w:val="auto"/>
              </w:rPr>
            </w:pPr>
            <w:r>
              <w:rPr>
                <w:rFonts w:ascii="Arial" w:cs="Arial" w:eastAsia="Arial" w:hAnsi="Arial"/>
                <w:sz w:val="18"/>
                <w:szCs w:val="18"/>
                <w:b w:val="1"/>
                <w:bCs w:val="1"/>
                <w:color w:val="auto"/>
              </w:rPr>
              <w:t>17.0</w:t>
            </w:r>
            <w:r>
              <w:rPr>
                <w:rFonts w:ascii="Arial" w:cs="Arial" w:eastAsia="Arial" w:hAnsi="Arial"/>
                <w:sz w:val="18"/>
                <w:szCs w:val="18"/>
                <w:color w:val="auto"/>
              </w:rPr>
              <w:t>%</w:t>
            </w:r>
            <w:r>
              <w:rPr>
                <w:rFonts w:ascii="Arial" w:cs="Arial" w:eastAsia="Arial" w:hAnsi="Arial"/>
                <w:sz w:val="29"/>
                <w:szCs w:val="29"/>
                <w:color w:val="auto"/>
                <w:vertAlign w:val="superscript"/>
              </w:rPr>
              <w:t>(2)</w:t>
            </w:r>
          </w:p>
        </w:tc>
        <w:tc>
          <w:tcPr>
            <w:tcW w:w="6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720" w:hanging="985"/>
        <w:spacing w:after="0"/>
        <w:tabs>
          <w:tab w:leader="none" w:pos="1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5"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87261Y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614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614670"/>
                    </a:xfrm>
                    <a:prstGeom prst="rect">
                      <a:avLst/>
                    </a:prstGeom>
                    <a:noFill/>
                  </pic:spPr>
                </pic:pic>
              </a:graphicData>
            </a:graphic>
          </wp:anchor>
        </w:drawing>
      </w:r>
    </w:p>
    <w:p>
      <w:pPr>
        <w:spacing w:after="0" w:line="246" w:lineRule="exact"/>
        <w:rPr>
          <w:sz w:val="20"/>
          <w:szCs w:val="20"/>
          <w:color w:val="auto"/>
        </w:rPr>
      </w:pPr>
    </w:p>
    <w:p>
      <w:pPr>
        <w:ind w:left="1620" w:hanging="840"/>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1"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b w:val="1"/>
          <w:bCs w:val="1"/>
          <w:color w:val="auto"/>
        </w:rPr>
        <w:t>Allseas Investments S.A.</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1560" w:type="dxa"/>
            <w:vAlign w:val="bottom"/>
            <w:tcBorders>
              <w:top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060" w:type="dxa"/>
            <w:vAlign w:val="bottom"/>
            <w:tcBorders>
              <w:top w:val="single" w:sz="8" w:color="auto"/>
            </w:tcBorders>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560" w:type="dxa"/>
            <w:vAlign w:val="bottom"/>
            <w:tcBorders>
              <w:top w:val="single" w:sz="8" w:color="auto"/>
            </w:tcBorders>
          </w:tcPr>
          <w:p>
            <w:pPr>
              <w:ind w:left="1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15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6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ind w:left="1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58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60" w:type="dxa"/>
            <w:vAlign w:val="bottom"/>
            <w:tcBorders>
              <w:bottom w:val="single" w:sz="8" w:color="auto"/>
            </w:tcBorders>
          </w:tcPr>
          <w:p>
            <w:pPr>
              <w:spacing w:after="0"/>
              <w:rPr>
                <w:sz w:val="17"/>
                <w:szCs w:val="17"/>
                <w:color w:val="auto"/>
              </w:rPr>
            </w:pPr>
          </w:p>
        </w:tc>
        <w:tc>
          <w:tcPr>
            <w:tcW w:w="8060" w:type="dxa"/>
            <w:vAlign w:val="bottom"/>
            <w:tcBorders>
              <w:bottom w:val="single" w:sz="8" w:color="auto"/>
            </w:tcBorders>
            <w:gridSpan w:val="2"/>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SOURCE OF FUNDS</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OO</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060" w:type="dxa"/>
            <w:vAlign w:val="bottom"/>
            <w:gridSpan w:val="2"/>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w:t>
            </w:r>
          </w:p>
        </w:tc>
        <w:tc>
          <w:tcPr>
            <w:tcW w:w="1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1580" w:type="dxa"/>
            <w:vAlign w:val="bottom"/>
          </w:tcPr>
          <w:p>
            <w:pPr>
              <w:ind w:left="120"/>
              <w:spacing w:after="0"/>
              <w:rPr>
                <w:sz w:val="20"/>
                <w:szCs w:val="20"/>
                <w:color w:val="auto"/>
              </w:rPr>
            </w:pPr>
            <w:r>
              <w:rPr>
                <w:rFonts w:ascii="Arial" w:cs="Arial" w:eastAsia="Arial" w:hAnsi="Arial"/>
                <w:sz w:val="18"/>
                <w:szCs w:val="18"/>
                <w:color w:val="auto"/>
              </w:rPr>
              <w:t>OR 2(e)</w:t>
            </w:r>
          </w:p>
        </w:tc>
        <w:tc>
          <w:tcPr>
            <w:tcW w:w="6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60" w:type="dxa"/>
            <w:vAlign w:val="bottom"/>
            <w:tcBorders>
              <w:bottom w:val="single" w:sz="8" w:color="auto"/>
            </w:tcBorders>
          </w:tcPr>
          <w:p>
            <w:pPr>
              <w:spacing w:after="0"/>
              <w:rPr>
                <w:sz w:val="18"/>
                <w:szCs w:val="18"/>
                <w:color w:val="auto"/>
              </w:rPr>
            </w:pPr>
          </w:p>
        </w:tc>
        <w:tc>
          <w:tcPr>
            <w:tcW w:w="8060" w:type="dxa"/>
            <w:vAlign w:val="bottom"/>
            <w:tcBorders>
              <w:bottom w:val="single" w:sz="8" w:color="auto"/>
            </w:tcBorders>
            <w:gridSpan w:val="2"/>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Switzerland</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5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64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580" w:type="dxa"/>
            <w:vAlign w:val="bottom"/>
            <w:tcBorders>
              <w:right w:val="single" w:sz="8" w:color="auto"/>
            </w:tcBorders>
          </w:tcPr>
          <w:p>
            <w:pPr>
              <w:spacing w:after="0"/>
              <w:rPr>
                <w:sz w:val="18"/>
                <w:szCs w:val="18"/>
                <w:color w:val="auto"/>
              </w:rPr>
            </w:pPr>
          </w:p>
        </w:tc>
        <w:tc>
          <w:tcPr>
            <w:tcW w:w="64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580" w:type="dxa"/>
            <w:vAlign w:val="bottom"/>
            <w:tcBorders>
              <w:bottom w:val="single" w:sz="8" w:color="auto"/>
              <w:right w:val="single" w:sz="8" w:color="auto"/>
            </w:tcBorders>
          </w:tcPr>
          <w:p>
            <w:pPr>
              <w:spacing w:after="0"/>
              <w:rPr>
                <w:sz w:val="20"/>
                <w:szCs w:val="20"/>
                <w:color w:val="auto"/>
              </w:rPr>
            </w:pPr>
          </w:p>
        </w:tc>
        <w:tc>
          <w:tcPr>
            <w:tcW w:w="6480" w:type="dxa"/>
            <w:vAlign w:val="bottom"/>
            <w:tcBorders>
              <w:bottom w:val="single" w:sz="8" w:color="auto"/>
            </w:tcBorders>
            <w:vMerge w:val="continue"/>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560" w:type="dxa"/>
            <w:vAlign w:val="bottom"/>
          </w:tcPr>
          <w:p>
            <w:pPr>
              <w:jc w:val="center"/>
              <w:spacing w:after="0" w:line="182" w:lineRule="exact"/>
              <w:rPr>
                <w:sz w:val="20"/>
                <w:szCs w:val="20"/>
                <w:color w:val="auto"/>
              </w:rPr>
            </w:pPr>
            <w:r>
              <w:rPr>
                <w:rFonts w:ascii="Arial" w:cs="Arial" w:eastAsia="Arial" w:hAnsi="Arial"/>
                <w:sz w:val="18"/>
                <w:szCs w:val="18"/>
                <w:color w:val="auto"/>
                <w:w w:val="97"/>
              </w:rPr>
              <w:t>OWNED BY</w:t>
            </w:r>
          </w:p>
        </w:tc>
        <w:tc>
          <w:tcPr>
            <w:tcW w:w="15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648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580" w:type="dxa"/>
            <w:vAlign w:val="bottom"/>
            <w:tcBorders>
              <w:right w:val="single" w:sz="8" w:color="auto"/>
            </w:tcBorders>
          </w:tcPr>
          <w:p>
            <w:pPr>
              <w:spacing w:after="0"/>
              <w:rPr>
                <w:sz w:val="18"/>
                <w:szCs w:val="18"/>
                <w:color w:val="auto"/>
              </w:rPr>
            </w:pPr>
          </w:p>
        </w:tc>
        <w:tc>
          <w:tcPr>
            <w:tcW w:w="6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580" w:type="dxa"/>
            <w:vAlign w:val="bottom"/>
            <w:tcBorders>
              <w:right w:val="single" w:sz="8" w:color="auto"/>
            </w:tcBorders>
          </w:tcPr>
          <w:p>
            <w:pPr>
              <w:spacing w:after="0"/>
              <w:rPr>
                <w:sz w:val="20"/>
                <w:szCs w:val="20"/>
                <w:color w:val="auto"/>
              </w:rPr>
            </w:pPr>
          </w:p>
        </w:tc>
        <w:tc>
          <w:tcPr>
            <w:tcW w:w="6480" w:type="dxa"/>
            <w:vAlign w:val="bottom"/>
          </w:tcPr>
          <w:p>
            <w:pPr>
              <w:ind w:left="280"/>
              <w:spacing w:after="0" w:line="230" w:lineRule="exact"/>
              <w:rPr>
                <w:sz w:val="20"/>
                <w:szCs w:val="20"/>
                <w:color w:val="auto"/>
              </w:rPr>
            </w:pPr>
            <w:r>
              <w:rPr>
                <w:rFonts w:ascii="Arial" w:cs="Arial" w:eastAsia="Arial" w:hAnsi="Arial"/>
                <w:sz w:val="16"/>
                <w:szCs w:val="16"/>
                <w:b w:val="1"/>
                <w:bCs w:val="1"/>
                <w:color w:val="auto"/>
              </w:rPr>
              <w:t>45,130,268</w:t>
            </w:r>
            <w:r>
              <w:rPr>
                <w:rFonts w:ascii="Arial" w:cs="Arial" w:eastAsia="Arial" w:hAnsi="Arial"/>
                <w:sz w:val="26"/>
                <w:szCs w:val="26"/>
                <w:b w:val="1"/>
                <w:bCs w:val="1"/>
                <w:color w:val="auto"/>
                <w:vertAlign w:val="superscript"/>
              </w:rPr>
              <w:t>(1)</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580" w:type="dxa"/>
            <w:vAlign w:val="bottom"/>
            <w:tcBorders>
              <w:bottom w:val="single" w:sz="8" w:color="auto"/>
              <w:right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560" w:type="dxa"/>
            <w:vAlign w:val="bottom"/>
            <w:vMerge w:val="continue"/>
          </w:tcPr>
          <w:p>
            <w:pPr>
              <w:spacing w:after="0"/>
              <w:rPr>
                <w:sz w:val="13"/>
                <w:szCs w:val="13"/>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9</w:t>
            </w:r>
          </w:p>
        </w:tc>
        <w:tc>
          <w:tcPr>
            <w:tcW w:w="64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560" w:type="dxa"/>
            <w:vAlign w:val="bottom"/>
          </w:tcPr>
          <w:p>
            <w:pPr>
              <w:spacing w:after="0"/>
              <w:rPr>
                <w:sz w:val="5"/>
                <w:szCs w:val="5"/>
                <w:color w:val="auto"/>
              </w:rPr>
            </w:pPr>
          </w:p>
        </w:tc>
        <w:tc>
          <w:tcPr>
            <w:tcW w:w="1580" w:type="dxa"/>
            <w:vAlign w:val="bottom"/>
            <w:tcBorders>
              <w:right w:val="single" w:sz="8" w:color="auto"/>
            </w:tcBorders>
            <w:vMerge w:val="continue"/>
          </w:tcPr>
          <w:p>
            <w:pPr>
              <w:spacing w:after="0"/>
              <w:rPr>
                <w:sz w:val="5"/>
                <w:szCs w:val="5"/>
                <w:color w:val="auto"/>
              </w:rPr>
            </w:pPr>
          </w:p>
        </w:tc>
        <w:tc>
          <w:tcPr>
            <w:tcW w:w="6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560" w:type="dxa"/>
            <w:vAlign w:val="bottom"/>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0</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60" w:type="dxa"/>
            <w:vAlign w:val="bottom"/>
          </w:tcPr>
          <w:p>
            <w:pPr>
              <w:spacing w:after="0"/>
              <w:rPr>
                <w:sz w:val="19"/>
                <w:szCs w:val="19"/>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4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45,130,268</w:t>
            </w:r>
            <w:r>
              <w:rPr>
                <w:rFonts w:ascii="Arial" w:cs="Arial" w:eastAsia="Arial" w:hAnsi="Arial"/>
                <w:sz w:val="29"/>
                <w:szCs w:val="29"/>
                <w:b w:val="1"/>
                <w:bCs w:val="1"/>
                <w:color w:val="auto"/>
                <w:vertAlign w:val="superscript"/>
              </w:rPr>
              <w:t>(1)</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45,130,268</w:t>
            </w:r>
            <w:r>
              <w:rPr>
                <w:rFonts w:ascii="Arial" w:cs="Arial" w:eastAsia="Arial" w:hAnsi="Arial"/>
                <w:sz w:val="29"/>
                <w:szCs w:val="29"/>
                <w:b w:val="1"/>
                <w:bCs w:val="1"/>
                <w:color w:val="auto"/>
                <w:vertAlign w:val="superscript"/>
              </w:rPr>
              <w:t>(1)</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15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64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1560" w:type="dxa"/>
            <w:vAlign w:val="bottom"/>
          </w:tcPr>
          <w:p>
            <w:pPr>
              <w:spacing w:after="0"/>
              <w:rPr>
                <w:sz w:val="24"/>
                <w:szCs w:val="24"/>
                <w:color w:val="auto"/>
              </w:rPr>
            </w:pPr>
          </w:p>
        </w:tc>
        <w:tc>
          <w:tcPr>
            <w:tcW w:w="1580" w:type="dxa"/>
            <w:vAlign w:val="bottom"/>
          </w:tcPr>
          <w:p>
            <w:pPr>
              <w:ind w:left="280"/>
              <w:spacing w:after="0"/>
              <w:rPr>
                <w:sz w:val="20"/>
                <w:szCs w:val="20"/>
                <w:color w:val="auto"/>
              </w:rPr>
            </w:pPr>
            <w:r>
              <w:rPr>
                <w:rFonts w:ascii="Arial" w:cs="Arial" w:eastAsia="Arial" w:hAnsi="Arial"/>
                <w:sz w:val="18"/>
                <w:szCs w:val="18"/>
                <w:b w:val="1"/>
                <w:bCs w:val="1"/>
                <w:color w:val="auto"/>
              </w:rPr>
              <w:t>17.0</w:t>
            </w:r>
            <w:r>
              <w:rPr>
                <w:rFonts w:ascii="Arial" w:cs="Arial" w:eastAsia="Arial" w:hAnsi="Arial"/>
                <w:sz w:val="18"/>
                <w:szCs w:val="18"/>
                <w:color w:val="auto"/>
              </w:rPr>
              <w:t>%</w:t>
            </w:r>
            <w:r>
              <w:rPr>
                <w:rFonts w:ascii="Arial" w:cs="Arial" w:eastAsia="Arial" w:hAnsi="Arial"/>
                <w:sz w:val="29"/>
                <w:szCs w:val="29"/>
                <w:color w:val="auto"/>
                <w:vertAlign w:val="superscript"/>
              </w:rPr>
              <w:t>(2)</w:t>
            </w:r>
          </w:p>
        </w:tc>
        <w:tc>
          <w:tcPr>
            <w:tcW w:w="6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720" w:hanging="985"/>
        <w:spacing w:after="0"/>
        <w:tabs>
          <w:tab w:leader="none" w:pos="1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5"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b w:val="1"/>
          <w:bCs w:val="1"/>
          <w:color w:val="auto"/>
        </w:rPr>
        <w:t>CO;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87261Y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6146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614670"/>
                    </a:xfrm>
                    <a:prstGeom prst="rect">
                      <a:avLst/>
                    </a:prstGeom>
                    <a:noFill/>
                  </pic:spPr>
                </pic:pic>
              </a:graphicData>
            </a:graphic>
          </wp:anchor>
        </w:drawing>
      </w:r>
    </w:p>
    <w:p>
      <w:pPr>
        <w:spacing w:after="0" w:line="246" w:lineRule="exact"/>
        <w:rPr>
          <w:sz w:val="20"/>
          <w:szCs w:val="20"/>
          <w:color w:val="auto"/>
        </w:rPr>
      </w:pPr>
    </w:p>
    <w:p>
      <w:pPr>
        <w:ind w:left="1620" w:hanging="840"/>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1"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b w:val="1"/>
          <w:bCs w:val="1"/>
          <w:color w:val="auto"/>
        </w:rPr>
        <w:t>Argentum Cedit Virtuti GCV</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1560" w:type="dxa"/>
            <w:vAlign w:val="bottom"/>
            <w:tcBorders>
              <w:top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060" w:type="dxa"/>
            <w:vAlign w:val="bottom"/>
            <w:tcBorders>
              <w:top w:val="single" w:sz="8" w:color="auto"/>
            </w:tcBorders>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560" w:type="dxa"/>
            <w:vAlign w:val="bottom"/>
            <w:tcBorders>
              <w:top w:val="single" w:sz="8" w:color="auto"/>
            </w:tcBorders>
          </w:tcPr>
          <w:p>
            <w:pPr>
              <w:ind w:left="1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15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6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ind w:left="1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58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60" w:type="dxa"/>
            <w:vAlign w:val="bottom"/>
            <w:tcBorders>
              <w:bottom w:val="single" w:sz="8" w:color="auto"/>
            </w:tcBorders>
          </w:tcPr>
          <w:p>
            <w:pPr>
              <w:spacing w:after="0"/>
              <w:rPr>
                <w:sz w:val="17"/>
                <w:szCs w:val="17"/>
                <w:color w:val="auto"/>
              </w:rPr>
            </w:pPr>
          </w:p>
        </w:tc>
        <w:tc>
          <w:tcPr>
            <w:tcW w:w="8060" w:type="dxa"/>
            <w:vAlign w:val="bottom"/>
            <w:tcBorders>
              <w:bottom w:val="single" w:sz="8" w:color="auto"/>
            </w:tcBorders>
            <w:gridSpan w:val="2"/>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SOURCE OF FUNDS</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OO</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060" w:type="dxa"/>
            <w:vAlign w:val="bottom"/>
            <w:gridSpan w:val="2"/>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w:t>
            </w:r>
          </w:p>
        </w:tc>
        <w:tc>
          <w:tcPr>
            <w:tcW w:w="1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1580" w:type="dxa"/>
            <w:vAlign w:val="bottom"/>
          </w:tcPr>
          <w:p>
            <w:pPr>
              <w:ind w:left="120"/>
              <w:spacing w:after="0"/>
              <w:rPr>
                <w:sz w:val="20"/>
                <w:szCs w:val="20"/>
                <w:color w:val="auto"/>
              </w:rPr>
            </w:pPr>
            <w:r>
              <w:rPr>
                <w:rFonts w:ascii="Arial" w:cs="Arial" w:eastAsia="Arial" w:hAnsi="Arial"/>
                <w:sz w:val="18"/>
                <w:szCs w:val="18"/>
                <w:color w:val="auto"/>
              </w:rPr>
              <w:t>OR 2(e)</w:t>
            </w:r>
          </w:p>
        </w:tc>
        <w:tc>
          <w:tcPr>
            <w:tcW w:w="6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60" w:type="dxa"/>
            <w:vAlign w:val="bottom"/>
            <w:tcBorders>
              <w:bottom w:val="single" w:sz="8" w:color="auto"/>
            </w:tcBorders>
          </w:tcPr>
          <w:p>
            <w:pPr>
              <w:spacing w:after="0"/>
              <w:rPr>
                <w:sz w:val="18"/>
                <w:szCs w:val="18"/>
                <w:color w:val="auto"/>
              </w:rPr>
            </w:pPr>
          </w:p>
        </w:tc>
        <w:tc>
          <w:tcPr>
            <w:tcW w:w="8060" w:type="dxa"/>
            <w:vAlign w:val="bottom"/>
            <w:tcBorders>
              <w:bottom w:val="single" w:sz="8" w:color="auto"/>
            </w:tcBorders>
            <w:gridSpan w:val="2"/>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Belgium</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5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64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580" w:type="dxa"/>
            <w:vAlign w:val="bottom"/>
            <w:tcBorders>
              <w:right w:val="single" w:sz="8" w:color="auto"/>
            </w:tcBorders>
          </w:tcPr>
          <w:p>
            <w:pPr>
              <w:spacing w:after="0"/>
              <w:rPr>
                <w:sz w:val="18"/>
                <w:szCs w:val="18"/>
                <w:color w:val="auto"/>
              </w:rPr>
            </w:pPr>
          </w:p>
        </w:tc>
        <w:tc>
          <w:tcPr>
            <w:tcW w:w="64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580" w:type="dxa"/>
            <w:vAlign w:val="bottom"/>
            <w:tcBorders>
              <w:bottom w:val="single" w:sz="8" w:color="auto"/>
              <w:right w:val="single" w:sz="8" w:color="auto"/>
            </w:tcBorders>
          </w:tcPr>
          <w:p>
            <w:pPr>
              <w:spacing w:after="0"/>
              <w:rPr>
                <w:sz w:val="20"/>
                <w:szCs w:val="20"/>
                <w:color w:val="auto"/>
              </w:rPr>
            </w:pPr>
          </w:p>
        </w:tc>
        <w:tc>
          <w:tcPr>
            <w:tcW w:w="6480" w:type="dxa"/>
            <w:vAlign w:val="bottom"/>
            <w:tcBorders>
              <w:bottom w:val="single" w:sz="8" w:color="auto"/>
            </w:tcBorders>
            <w:vMerge w:val="continue"/>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560" w:type="dxa"/>
            <w:vAlign w:val="bottom"/>
          </w:tcPr>
          <w:p>
            <w:pPr>
              <w:jc w:val="center"/>
              <w:spacing w:after="0" w:line="182" w:lineRule="exact"/>
              <w:rPr>
                <w:sz w:val="20"/>
                <w:szCs w:val="20"/>
                <w:color w:val="auto"/>
              </w:rPr>
            </w:pPr>
            <w:r>
              <w:rPr>
                <w:rFonts w:ascii="Arial" w:cs="Arial" w:eastAsia="Arial" w:hAnsi="Arial"/>
                <w:sz w:val="18"/>
                <w:szCs w:val="18"/>
                <w:color w:val="auto"/>
                <w:w w:val="97"/>
              </w:rPr>
              <w:t>OWNED BY</w:t>
            </w:r>
          </w:p>
        </w:tc>
        <w:tc>
          <w:tcPr>
            <w:tcW w:w="15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648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580" w:type="dxa"/>
            <w:vAlign w:val="bottom"/>
            <w:tcBorders>
              <w:right w:val="single" w:sz="8" w:color="auto"/>
            </w:tcBorders>
          </w:tcPr>
          <w:p>
            <w:pPr>
              <w:spacing w:after="0"/>
              <w:rPr>
                <w:sz w:val="18"/>
                <w:szCs w:val="18"/>
                <w:color w:val="auto"/>
              </w:rPr>
            </w:pPr>
          </w:p>
        </w:tc>
        <w:tc>
          <w:tcPr>
            <w:tcW w:w="6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580" w:type="dxa"/>
            <w:vAlign w:val="bottom"/>
            <w:tcBorders>
              <w:right w:val="single" w:sz="8" w:color="auto"/>
            </w:tcBorders>
          </w:tcPr>
          <w:p>
            <w:pPr>
              <w:spacing w:after="0"/>
              <w:rPr>
                <w:sz w:val="20"/>
                <w:szCs w:val="20"/>
                <w:color w:val="auto"/>
              </w:rPr>
            </w:pPr>
          </w:p>
        </w:tc>
        <w:tc>
          <w:tcPr>
            <w:tcW w:w="6480" w:type="dxa"/>
            <w:vAlign w:val="bottom"/>
          </w:tcPr>
          <w:p>
            <w:pPr>
              <w:ind w:left="280"/>
              <w:spacing w:after="0" w:line="230" w:lineRule="exact"/>
              <w:rPr>
                <w:sz w:val="20"/>
                <w:szCs w:val="20"/>
                <w:color w:val="auto"/>
              </w:rPr>
            </w:pPr>
            <w:r>
              <w:rPr>
                <w:rFonts w:ascii="Arial" w:cs="Arial" w:eastAsia="Arial" w:hAnsi="Arial"/>
                <w:sz w:val="16"/>
                <w:szCs w:val="16"/>
                <w:b w:val="1"/>
                <w:bCs w:val="1"/>
                <w:color w:val="auto"/>
              </w:rPr>
              <w:t>46,130,268</w:t>
            </w:r>
            <w:r>
              <w:rPr>
                <w:rFonts w:ascii="Arial" w:cs="Arial" w:eastAsia="Arial" w:hAnsi="Arial"/>
                <w:sz w:val="26"/>
                <w:szCs w:val="26"/>
                <w:b w:val="1"/>
                <w:bCs w:val="1"/>
                <w:color w:val="auto"/>
                <w:vertAlign w:val="superscript"/>
              </w:rPr>
              <w:t>(3)</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580" w:type="dxa"/>
            <w:vAlign w:val="bottom"/>
            <w:tcBorders>
              <w:bottom w:val="single" w:sz="8" w:color="auto"/>
              <w:right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560" w:type="dxa"/>
            <w:vAlign w:val="bottom"/>
            <w:vMerge w:val="continue"/>
          </w:tcPr>
          <w:p>
            <w:pPr>
              <w:spacing w:after="0"/>
              <w:rPr>
                <w:sz w:val="13"/>
                <w:szCs w:val="13"/>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9</w:t>
            </w:r>
          </w:p>
        </w:tc>
        <w:tc>
          <w:tcPr>
            <w:tcW w:w="64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560" w:type="dxa"/>
            <w:vAlign w:val="bottom"/>
          </w:tcPr>
          <w:p>
            <w:pPr>
              <w:spacing w:after="0"/>
              <w:rPr>
                <w:sz w:val="5"/>
                <w:szCs w:val="5"/>
                <w:color w:val="auto"/>
              </w:rPr>
            </w:pPr>
          </w:p>
        </w:tc>
        <w:tc>
          <w:tcPr>
            <w:tcW w:w="1580" w:type="dxa"/>
            <w:vAlign w:val="bottom"/>
            <w:tcBorders>
              <w:right w:val="single" w:sz="8" w:color="auto"/>
            </w:tcBorders>
            <w:vMerge w:val="continue"/>
          </w:tcPr>
          <w:p>
            <w:pPr>
              <w:spacing w:after="0"/>
              <w:rPr>
                <w:sz w:val="5"/>
                <w:szCs w:val="5"/>
                <w:color w:val="auto"/>
              </w:rPr>
            </w:pPr>
          </w:p>
        </w:tc>
        <w:tc>
          <w:tcPr>
            <w:tcW w:w="6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560" w:type="dxa"/>
            <w:vAlign w:val="bottom"/>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0</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60" w:type="dxa"/>
            <w:vAlign w:val="bottom"/>
          </w:tcPr>
          <w:p>
            <w:pPr>
              <w:spacing w:after="0"/>
              <w:rPr>
                <w:sz w:val="19"/>
                <w:szCs w:val="19"/>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4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46,130,268</w:t>
            </w:r>
            <w:r>
              <w:rPr>
                <w:rFonts w:ascii="Arial" w:cs="Arial" w:eastAsia="Arial" w:hAnsi="Arial"/>
                <w:sz w:val="29"/>
                <w:szCs w:val="29"/>
                <w:b w:val="1"/>
                <w:bCs w:val="1"/>
                <w:color w:val="auto"/>
                <w:vertAlign w:val="superscript"/>
              </w:rPr>
              <w:t>(3)</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46,130,268</w:t>
            </w:r>
            <w:r>
              <w:rPr>
                <w:rFonts w:ascii="Arial" w:cs="Arial" w:eastAsia="Arial" w:hAnsi="Arial"/>
                <w:sz w:val="29"/>
                <w:szCs w:val="29"/>
                <w:b w:val="1"/>
                <w:bCs w:val="1"/>
                <w:color w:val="auto"/>
                <w:vertAlign w:val="superscript"/>
              </w:rPr>
              <w:t>(3)</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15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64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1560" w:type="dxa"/>
            <w:vAlign w:val="bottom"/>
          </w:tcPr>
          <w:p>
            <w:pPr>
              <w:spacing w:after="0"/>
              <w:rPr>
                <w:sz w:val="24"/>
                <w:szCs w:val="24"/>
                <w:color w:val="auto"/>
              </w:rPr>
            </w:pPr>
          </w:p>
        </w:tc>
        <w:tc>
          <w:tcPr>
            <w:tcW w:w="1580" w:type="dxa"/>
            <w:vAlign w:val="bottom"/>
          </w:tcPr>
          <w:p>
            <w:pPr>
              <w:ind w:left="280"/>
              <w:spacing w:after="0"/>
              <w:rPr>
                <w:sz w:val="20"/>
                <w:szCs w:val="20"/>
                <w:color w:val="auto"/>
              </w:rPr>
            </w:pPr>
            <w:r>
              <w:rPr>
                <w:rFonts w:ascii="Arial" w:cs="Arial" w:eastAsia="Arial" w:hAnsi="Arial"/>
                <w:sz w:val="18"/>
                <w:szCs w:val="18"/>
                <w:b w:val="1"/>
                <w:bCs w:val="1"/>
                <w:color w:val="auto"/>
              </w:rPr>
              <w:t>17.4</w:t>
            </w:r>
            <w:r>
              <w:rPr>
                <w:rFonts w:ascii="Arial" w:cs="Arial" w:eastAsia="Arial" w:hAnsi="Arial"/>
                <w:sz w:val="18"/>
                <w:szCs w:val="18"/>
                <w:color w:val="auto"/>
              </w:rPr>
              <w:t>%</w:t>
            </w:r>
            <w:r>
              <w:rPr>
                <w:rFonts w:ascii="Arial" w:cs="Arial" w:eastAsia="Arial" w:hAnsi="Arial"/>
                <w:sz w:val="29"/>
                <w:szCs w:val="29"/>
                <w:color w:val="auto"/>
                <w:vertAlign w:val="superscript"/>
              </w:rPr>
              <w:t>(2)</w:t>
            </w:r>
          </w:p>
        </w:tc>
        <w:tc>
          <w:tcPr>
            <w:tcW w:w="6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720" w:hanging="985"/>
        <w:spacing w:after="0"/>
        <w:tabs>
          <w:tab w:leader="none" w:pos="1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5"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87261Y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614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614670"/>
                    </a:xfrm>
                    <a:prstGeom prst="rect">
                      <a:avLst/>
                    </a:prstGeom>
                    <a:noFill/>
                  </pic:spPr>
                </pic:pic>
              </a:graphicData>
            </a:graphic>
          </wp:anchor>
        </w:drawing>
      </w:r>
    </w:p>
    <w:p>
      <w:pPr>
        <w:spacing w:after="0" w:line="246" w:lineRule="exact"/>
        <w:rPr>
          <w:sz w:val="20"/>
          <w:szCs w:val="20"/>
          <w:color w:val="auto"/>
        </w:rPr>
      </w:pPr>
    </w:p>
    <w:p>
      <w:pPr>
        <w:ind w:left="1620" w:hanging="84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56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Stichting Administratiekantoor Aequa Lance Foundation</w:t>
            </w: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156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806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560" w:type="dxa"/>
            <w:vAlign w:val="bottom"/>
          </w:tcPr>
          <w:p>
            <w:pPr>
              <w:ind w:left="1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15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6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ind w:left="1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58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60" w:type="dxa"/>
            <w:vAlign w:val="bottom"/>
            <w:tcBorders>
              <w:bottom w:val="single" w:sz="8" w:color="auto"/>
            </w:tcBorders>
          </w:tcPr>
          <w:p>
            <w:pPr>
              <w:spacing w:after="0"/>
              <w:rPr>
                <w:sz w:val="17"/>
                <w:szCs w:val="17"/>
                <w:color w:val="auto"/>
              </w:rPr>
            </w:pPr>
          </w:p>
        </w:tc>
        <w:tc>
          <w:tcPr>
            <w:tcW w:w="8060" w:type="dxa"/>
            <w:vAlign w:val="bottom"/>
            <w:tcBorders>
              <w:bottom w:val="single" w:sz="8" w:color="auto"/>
            </w:tcBorders>
            <w:gridSpan w:val="2"/>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SOURCE OF FUNDS</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OO</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060" w:type="dxa"/>
            <w:vAlign w:val="bottom"/>
            <w:gridSpan w:val="2"/>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w:t>
            </w:r>
          </w:p>
        </w:tc>
        <w:tc>
          <w:tcPr>
            <w:tcW w:w="1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1580" w:type="dxa"/>
            <w:vAlign w:val="bottom"/>
          </w:tcPr>
          <w:p>
            <w:pPr>
              <w:ind w:left="120"/>
              <w:spacing w:after="0"/>
              <w:rPr>
                <w:sz w:val="20"/>
                <w:szCs w:val="20"/>
                <w:color w:val="auto"/>
              </w:rPr>
            </w:pPr>
            <w:r>
              <w:rPr>
                <w:rFonts w:ascii="Arial" w:cs="Arial" w:eastAsia="Arial" w:hAnsi="Arial"/>
                <w:sz w:val="18"/>
                <w:szCs w:val="18"/>
                <w:color w:val="auto"/>
              </w:rPr>
              <w:t>OR 2(e)</w:t>
            </w:r>
          </w:p>
        </w:tc>
        <w:tc>
          <w:tcPr>
            <w:tcW w:w="6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60" w:type="dxa"/>
            <w:vAlign w:val="bottom"/>
            <w:tcBorders>
              <w:bottom w:val="single" w:sz="8" w:color="auto"/>
            </w:tcBorders>
          </w:tcPr>
          <w:p>
            <w:pPr>
              <w:spacing w:after="0"/>
              <w:rPr>
                <w:sz w:val="18"/>
                <w:szCs w:val="18"/>
                <w:color w:val="auto"/>
              </w:rPr>
            </w:pPr>
          </w:p>
        </w:tc>
        <w:tc>
          <w:tcPr>
            <w:tcW w:w="8060" w:type="dxa"/>
            <w:vAlign w:val="bottom"/>
            <w:tcBorders>
              <w:bottom w:val="single" w:sz="8" w:color="auto"/>
            </w:tcBorders>
            <w:gridSpan w:val="2"/>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89"/>
              </w:rPr>
              <w:t>The Netherlands</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5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64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580" w:type="dxa"/>
            <w:vAlign w:val="bottom"/>
            <w:tcBorders>
              <w:right w:val="single" w:sz="8" w:color="auto"/>
            </w:tcBorders>
          </w:tcPr>
          <w:p>
            <w:pPr>
              <w:spacing w:after="0"/>
              <w:rPr>
                <w:sz w:val="18"/>
                <w:szCs w:val="18"/>
                <w:color w:val="auto"/>
              </w:rPr>
            </w:pPr>
          </w:p>
        </w:tc>
        <w:tc>
          <w:tcPr>
            <w:tcW w:w="64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580" w:type="dxa"/>
            <w:vAlign w:val="bottom"/>
            <w:tcBorders>
              <w:bottom w:val="single" w:sz="8" w:color="auto"/>
              <w:right w:val="single" w:sz="8" w:color="auto"/>
            </w:tcBorders>
          </w:tcPr>
          <w:p>
            <w:pPr>
              <w:spacing w:after="0"/>
              <w:rPr>
                <w:sz w:val="20"/>
                <w:szCs w:val="20"/>
                <w:color w:val="auto"/>
              </w:rPr>
            </w:pPr>
          </w:p>
        </w:tc>
        <w:tc>
          <w:tcPr>
            <w:tcW w:w="6480" w:type="dxa"/>
            <w:vAlign w:val="bottom"/>
            <w:tcBorders>
              <w:bottom w:val="single" w:sz="8" w:color="auto"/>
            </w:tcBorders>
            <w:vMerge w:val="continue"/>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560" w:type="dxa"/>
            <w:vAlign w:val="bottom"/>
          </w:tcPr>
          <w:p>
            <w:pPr>
              <w:jc w:val="center"/>
              <w:spacing w:after="0" w:line="182" w:lineRule="exact"/>
              <w:rPr>
                <w:sz w:val="20"/>
                <w:szCs w:val="20"/>
                <w:color w:val="auto"/>
              </w:rPr>
            </w:pPr>
            <w:r>
              <w:rPr>
                <w:rFonts w:ascii="Arial" w:cs="Arial" w:eastAsia="Arial" w:hAnsi="Arial"/>
                <w:sz w:val="18"/>
                <w:szCs w:val="18"/>
                <w:color w:val="auto"/>
                <w:w w:val="97"/>
              </w:rPr>
              <w:t>OWNED BY</w:t>
            </w:r>
          </w:p>
        </w:tc>
        <w:tc>
          <w:tcPr>
            <w:tcW w:w="15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648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580" w:type="dxa"/>
            <w:vAlign w:val="bottom"/>
            <w:tcBorders>
              <w:right w:val="single" w:sz="8" w:color="auto"/>
            </w:tcBorders>
          </w:tcPr>
          <w:p>
            <w:pPr>
              <w:spacing w:after="0"/>
              <w:rPr>
                <w:sz w:val="18"/>
                <w:szCs w:val="18"/>
                <w:color w:val="auto"/>
              </w:rPr>
            </w:pPr>
          </w:p>
        </w:tc>
        <w:tc>
          <w:tcPr>
            <w:tcW w:w="6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580" w:type="dxa"/>
            <w:vAlign w:val="bottom"/>
            <w:tcBorders>
              <w:right w:val="single" w:sz="8" w:color="auto"/>
            </w:tcBorders>
          </w:tcPr>
          <w:p>
            <w:pPr>
              <w:spacing w:after="0"/>
              <w:rPr>
                <w:sz w:val="20"/>
                <w:szCs w:val="20"/>
                <w:color w:val="auto"/>
              </w:rPr>
            </w:pPr>
          </w:p>
        </w:tc>
        <w:tc>
          <w:tcPr>
            <w:tcW w:w="6480" w:type="dxa"/>
            <w:vAlign w:val="bottom"/>
          </w:tcPr>
          <w:p>
            <w:pPr>
              <w:ind w:left="280"/>
              <w:spacing w:after="0" w:line="230" w:lineRule="exact"/>
              <w:rPr>
                <w:sz w:val="20"/>
                <w:szCs w:val="20"/>
                <w:color w:val="auto"/>
              </w:rPr>
            </w:pPr>
            <w:r>
              <w:rPr>
                <w:rFonts w:ascii="Arial" w:cs="Arial" w:eastAsia="Arial" w:hAnsi="Arial"/>
                <w:sz w:val="16"/>
                <w:szCs w:val="16"/>
                <w:b w:val="1"/>
                <w:bCs w:val="1"/>
                <w:color w:val="auto"/>
              </w:rPr>
              <w:t>46,130,268</w:t>
            </w:r>
            <w:r>
              <w:rPr>
                <w:rFonts w:ascii="Arial" w:cs="Arial" w:eastAsia="Arial" w:hAnsi="Arial"/>
                <w:sz w:val="26"/>
                <w:szCs w:val="26"/>
                <w:b w:val="1"/>
                <w:bCs w:val="1"/>
                <w:color w:val="auto"/>
                <w:vertAlign w:val="superscript"/>
              </w:rPr>
              <w:t>(3)</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580" w:type="dxa"/>
            <w:vAlign w:val="bottom"/>
            <w:tcBorders>
              <w:bottom w:val="single" w:sz="8" w:color="auto"/>
              <w:right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560" w:type="dxa"/>
            <w:vAlign w:val="bottom"/>
            <w:vMerge w:val="continue"/>
          </w:tcPr>
          <w:p>
            <w:pPr>
              <w:spacing w:after="0"/>
              <w:rPr>
                <w:sz w:val="13"/>
                <w:szCs w:val="13"/>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9</w:t>
            </w:r>
          </w:p>
        </w:tc>
        <w:tc>
          <w:tcPr>
            <w:tcW w:w="64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560" w:type="dxa"/>
            <w:vAlign w:val="bottom"/>
          </w:tcPr>
          <w:p>
            <w:pPr>
              <w:spacing w:after="0"/>
              <w:rPr>
                <w:sz w:val="5"/>
                <w:szCs w:val="5"/>
                <w:color w:val="auto"/>
              </w:rPr>
            </w:pPr>
          </w:p>
        </w:tc>
        <w:tc>
          <w:tcPr>
            <w:tcW w:w="1580" w:type="dxa"/>
            <w:vAlign w:val="bottom"/>
            <w:tcBorders>
              <w:right w:val="single" w:sz="8" w:color="auto"/>
            </w:tcBorders>
            <w:vMerge w:val="continue"/>
          </w:tcPr>
          <w:p>
            <w:pPr>
              <w:spacing w:after="0"/>
              <w:rPr>
                <w:sz w:val="5"/>
                <w:szCs w:val="5"/>
                <w:color w:val="auto"/>
              </w:rPr>
            </w:pPr>
          </w:p>
        </w:tc>
        <w:tc>
          <w:tcPr>
            <w:tcW w:w="6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560" w:type="dxa"/>
            <w:vAlign w:val="bottom"/>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0</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60" w:type="dxa"/>
            <w:vAlign w:val="bottom"/>
          </w:tcPr>
          <w:p>
            <w:pPr>
              <w:spacing w:after="0"/>
              <w:rPr>
                <w:sz w:val="19"/>
                <w:szCs w:val="19"/>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4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46,130,268</w:t>
            </w:r>
            <w:r>
              <w:rPr>
                <w:rFonts w:ascii="Arial" w:cs="Arial" w:eastAsia="Arial" w:hAnsi="Arial"/>
                <w:sz w:val="29"/>
                <w:szCs w:val="29"/>
                <w:b w:val="1"/>
                <w:bCs w:val="1"/>
                <w:color w:val="auto"/>
                <w:vertAlign w:val="superscript"/>
              </w:rPr>
              <w:t>(3)</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46,130,268</w:t>
            </w:r>
            <w:r>
              <w:rPr>
                <w:rFonts w:ascii="Arial" w:cs="Arial" w:eastAsia="Arial" w:hAnsi="Arial"/>
                <w:sz w:val="29"/>
                <w:szCs w:val="29"/>
                <w:b w:val="1"/>
                <w:bCs w:val="1"/>
                <w:color w:val="auto"/>
                <w:vertAlign w:val="superscript"/>
              </w:rPr>
              <w:t>(3)</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15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64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1560" w:type="dxa"/>
            <w:vAlign w:val="bottom"/>
          </w:tcPr>
          <w:p>
            <w:pPr>
              <w:spacing w:after="0"/>
              <w:rPr>
                <w:sz w:val="24"/>
                <w:szCs w:val="24"/>
                <w:color w:val="auto"/>
              </w:rPr>
            </w:pPr>
          </w:p>
        </w:tc>
        <w:tc>
          <w:tcPr>
            <w:tcW w:w="1580" w:type="dxa"/>
            <w:vAlign w:val="bottom"/>
          </w:tcPr>
          <w:p>
            <w:pPr>
              <w:ind w:left="280"/>
              <w:spacing w:after="0"/>
              <w:rPr>
                <w:sz w:val="20"/>
                <w:szCs w:val="20"/>
                <w:color w:val="auto"/>
              </w:rPr>
            </w:pPr>
            <w:r>
              <w:rPr>
                <w:rFonts w:ascii="Arial" w:cs="Arial" w:eastAsia="Arial" w:hAnsi="Arial"/>
                <w:sz w:val="18"/>
                <w:szCs w:val="18"/>
                <w:b w:val="1"/>
                <w:bCs w:val="1"/>
                <w:color w:val="auto"/>
              </w:rPr>
              <w:t>17.4</w:t>
            </w:r>
            <w:r>
              <w:rPr>
                <w:rFonts w:ascii="Arial" w:cs="Arial" w:eastAsia="Arial" w:hAnsi="Arial"/>
                <w:sz w:val="18"/>
                <w:szCs w:val="18"/>
                <w:color w:val="auto"/>
              </w:rPr>
              <w:t>%</w:t>
            </w:r>
            <w:r>
              <w:rPr>
                <w:rFonts w:ascii="Arial" w:cs="Arial" w:eastAsia="Arial" w:hAnsi="Arial"/>
                <w:sz w:val="29"/>
                <w:szCs w:val="29"/>
                <w:color w:val="auto"/>
                <w:vertAlign w:val="superscript"/>
              </w:rPr>
              <w:t>(2)</w:t>
            </w:r>
          </w:p>
        </w:tc>
        <w:tc>
          <w:tcPr>
            <w:tcW w:w="6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720" w:hanging="985"/>
        <w:spacing w:after="0"/>
        <w:tabs>
          <w:tab w:leader="none" w:pos="1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5"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b w:val="1"/>
          <w:bCs w:val="1"/>
          <w:color w:val="auto"/>
        </w:rPr>
        <w:t>CO;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87261Y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614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614670"/>
                    </a:xfrm>
                    <a:prstGeom prst="rect">
                      <a:avLst/>
                    </a:prstGeom>
                    <a:noFill/>
                  </pic:spPr>
                </pic:pic>
              </a:graphicData>
            </a:graphic>
          </wp:anchor>
        </w:drawing>
      </w:r>
    </w:p>
    <w:p>
      <w:pPr>
        <w:spacing w:after="0" w:line="246" w:lineRule="exact"/>
        <w:rPr>
          <w:sz w:val="20"/>
          <w:szCs w:val="20"/>
          <w:color w:val="auto"/>
        </w:rPr>
      </w:pPr>
    </w:p>
    <w:p>
      <w:pPr>
        <w:ind w:left="1620" w:hanging="840"/>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1"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b w:val="1"/>
          <w:bCs w:val="1"/>
          <w:color w:val="auto"/>
        </w:rPr>
        <w:t>Edward Heerema</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1560" w:type="dxa"/>
            <w:vAlign w:val="bottom"/>
            <w:tcBorders>
              <w:top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060" w:type="dxa"/>
            <w:vAlign w:val="bottom"/>
            <w:tcBorders>
              <w:top w:val="single" w:sz="8" w:color="auto"/>
            </w:tcBorders>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560" w:type="dxa"/>
            <w:vAlign w:val="bottom"/>
            <w:tcBorders>
              <w:top w:val="single" w:sz="8" w:color="auto"/>
            </w:tcBorders>
          </w:tcPr>
          <w:p>
            <w:pPr>
              <w:ind w:left="1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15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6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ind w:left="1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58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60" w:type="dxa"/>
            <w:vAlign w:val="bottom"/>
            <w:tcBorders>
              <w:bottom w:val="single" w:sz="8" w:color="auto"/>
            </w:tcBorders>
          </w:tcPr>
          <w:p>
            <w:pPr>
              <w:spacing w:after="0"/>
              <w:rPr>
                <w:sz w:val="17"/>
                <w:szCs w:val="17"/>
                <w:color w:val="auto"/>
              </w:rPr>
            </w:pPr>
          </w:p>
        </w:tc>
        <w:tc>
          <w:tcPr>
            <w:tcW w:w="8060" w:type="dxa"/>
            <w:vAlign w:val="bottom"/>
            <w:tcBorders>
              <w:bottom w:val="single" w:sz="8" w:color="auto"/>
            </w:tcBorders>
            <w:gridSpan w:val="2"/>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SOURCE OF FUNDS</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OO</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060" w:type="dxa"/>
            <w:vAlign w:val="bottom"/>
            <w:gridSpan w:val="2"/>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w:t>
            </w:r>
          </w:p>
        </w:tc>
        <w:tc>
          <w:tcPr>
            <w:tcW w:w="1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1580" w:type="dxa"/>
            <w:vAlign w:val="bottom"/>
          </w:tcPr>
          <w:p>
            <w:pPr>
              <w:ind w:left="120"/>
              <w:spacing w:after="0"/>
              <w:rPr>
                <w:sz w:val="20"/>
                <w:szCs w:val="20"/>
                <w:color w:val="auto"/>
              </w:rPr>
            </w:pPr>
            <w:r>
              <w:rPr>
                <w:rFonts w:ascii="Arial" w:cs="Arial" w:eastAsia="Arial" w:hAnsi="Arial"/>
                <w:sz w:val="18"/>
                <w:szCs w:val="18"/>
                <w:color w:val="auto"/>
              </w:rPr>
              <w:t>OR 2(e)</w:t>
            </w:r>
          </w:p>
        </w:tc>
        <w:tc>
          <w:tcPr>
            <w:tcW w:w="6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60" w:type="dxa"/>
            <w:vAlign w:val="bottom"/>
            <w:tcBorders>
              <w:bottom w:val="single" w:sz="8" w:color="auto"/>
            </w:tcBorders>
          </w:tcPr>
          <w:p>
            <w:pPr>
              <w:spacing w:after="0"/>
              <w:rPr>
                <w:sz w:val="18"/>
                <w:szCs w:val="18"/>
                <w:color w:val="auto"/>
              </w:rPr>
            </w:pPr>
          </w:p>
        </w:tc>
        <w:tc>
          <w:tcPr>
            <w:tcW w:w="8060" w:type="dxa"/>
            <w:vAlign w:val="bottom"/>
            <w:tcBorders>
              <w:bottom w:val="single" w:sz="8" w:color="auto"/>
            </w:tcBorders>
            <w:gridSpan w:val="2"/>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Switzerland</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5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64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580" w:type="dxa"/>
            <w:vAlign w:val="bottom"/>
            <w:tcBorders>
              <w:right w:val="single" w:sz="8" w:color="auto"/>
            </w:tcBorders>
          </w:tcPr>
          <w:p>
            <w:pPr>
              <w:spacing w:after="0"/>
              <w:rPr>
                <w:sz w:val="18"/>
                <w:szCs w:val="18"/>
                <w:color w:val="auto"/>
              </w:rPr>
            </w:pPr>
          </w:p>
        </w:tc>
        <w:tc>
          <w:tcPr>
            <w:tcW w:w="64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580" w:type="dxa"/>
            <w:vAlign w:val="bottom"/>
            <w:tcBorders>
              <w:bottom w:val="single" w:sz="8" w:color="auto"/>
              <w:right w:val="single" w:sz="8" w:color="auto"/>
            </w:tcBorders>
          </w:tcPr>
          <w:p>
            <w:pPr>
              <w:spacing w:after="0"/>
              <w:rPr>
                <w:sz w:val="20"/>
                <w:szCs w:val="20"/>
                <w:color w:val="auto"/>
              </w:rPr>
            </w:pPr>
          </w:p>
        </w:tc>
        <w:tc>
          <w:tcPr>
            <w:tcW w:w="6480" w:type="dxa"/>
            <w:vAlign w:val="bottom"/>
            <w:tcBorders>
              <w:bottom w:val="single" w:sz="8" w:color="auto"/>
            </w:tcBorders>
            <w:vMerge w:val="continue"/>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560" w:type="dxa"/>
            <w:vAlign w:val="bottom"/>
          </w:tcPr>
          <w:p>
            <w:pPr>
              <w:jc w:val="center"/>
              <w:spacing w:after="0" w:line="182" w:lineRule="exact"/>
              <w:rPr>
                <w:sz w:val="20"/>
                <w:szCs w:val="20"/>
                <w:color w:val="auto"/>
              </w:rPr>
            </w:pPr>
            <w:r>
              <w:rPr>
                <w:rFonts w:ascii="Arial" w:cs="Arial" w:eastAsia="Arial" w:hAnsi="Arial"/>
                <w:sz w:val="18"/>
                <w:szCs w:val="18"/>
                <w:color w:val="auto"/>
                <w:w w:val="97"/>
              </w:rPr>
              <w:t>OWNED BY</w:t>
            </w:r>
          </w:p>
        </w:tc>
        <w:tc>
          <w:tcPr>
            <w:tcW w:w="15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648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580" w:type="dxa"/>
            <w:vAlign w:val="bottom"/>
            <w:tcBorders>
              <w:right w:val="single" w:sz="8" w:color="auto"/>
            </w:tcBorders>
          </w:tcPr>
          <w:p>
            <w:pPr>
              <w:spacing w:after="0"/>
              <w:rPr>
                <w:sz w:val="18"/>
                <w:szCs w:val="18"/>
                <w:color w:val="auto"/>
              </w:rPr>
            </w:pPr>
          </w:p>
        </w:tc>
        <w:tc>
          <w:tcPr>
            <w:tcW w:w="6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580" w:type="dxa"/>
            <w:vAlign w:val="bottom"/>
            <w:tcBorders>
              <w:right w:val="single" w:sz="8" w:color="auto"/>
            </w:tcBorders>
          </w:tcPr>
          <w:p>
            <w:pPr>
              <w:spacing w:after="0"/>
              <w:rPr>
                <w:sz w:val="20"/>
                <w:szCs w:val="20"/>
                <w:color w:val="auto"/>
              </w:rPr>
            </w:pPr>
          </w:p>
        </w:tc>
        <w:tc>
          <w:tcPr>
            <w:tcW w:w="6480" w:type="dxa"/>
            <w:vAlign w:val="bottom"/>
          </w:tcPr>
          <w:p>
            <w:pPr>
              <w:ind w:left="280"/>
              <w:spacing w:after="0" w:line="230" w:lineRule="exact"/>
              <w:rPr>
                <w:sz w:val="20"/>
                <w:szCs w:val="20"/>
                <w:color w:val="auto"/>
              </w:rPr>
            </w:pPr>
            <w:r>
              <w:rPr>
                <w:rFonts w:ascii="Arial" w:cs="Arial" w:eastAsia="Arial" w:hAnsi="Arial"/>
                <w:sz w:val="16"/>
                <w:szCs w:val="16"/>
                <w:b w:val="1"/>
                <w:bCs w:val="1"/>
                <w:color w:val="auto"/>
              </w:rPr>
              <w:t>46,130,268</w:t>
            </w:r>
            <w:r>
              <w:rPr>
                <w:rFonts w:ascii="Arial" w:cs="Arial" w:eastAsia="Arial" w:hAnsi="Arial"/>
                <w:sz w:val="26"/>
                <w:szCs w:val="26"/>
                <w:b w:val="1"/>
                <w:bCs w:val="1"/>
                <w:color w:val="auto"/>
                <w:vertAlign w:val="superscript"/>
              </w:rPr>
              <w:t>(3)</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580" w:type="dxa"/>
            <w:vAlign w:val="bottom"/>
            <w:tcBorders>
              <w:bottom w:val="single" w:sz="8" w:color="auto"/>
              <w:right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560" w:type="dxa"/>
            <w:vAlign w:val="bottom"/>
            <w:vMerge w:val="continue"/>
          </w:tcPr>
          <w:p>
            <w:pPr>
              <w:spacing w:after="0"/>
              <w:rPr>
                <w:sz w:val="13"/>
                <w:szCs w:val="13"/>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9</w:t>
            </w:r>
          </w:p>
        </w:tc>
        <w:tc>
          <w:tcPr>
            <w:tcW w:w="64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560" w:type="dxa"/>
            <w:vAlign w:val="bottom"/>
          </w:tcPr>
          <w:p>
            <w:pPr>
              <w:spacing w:after="0"/>
              <w:rPr>
                <w:sz w:val="5"/>
                <w:szCs w:val="5"/>
                <w:color w:val="auto"/>
              </w:rPr>
            </w:pPr>
          </w:p>
        </w:tc>
        <w:tc>
          <w:tcPr>
            <w:tcW w:w="1580" w:type="dxa"/>
            <w:vAlign w:val="bottom"/>
            <w:tcBorders>
              <w:right w:val="single" w:sz="8" w:color="auto"/>
            </w:tcBorders>
            <w:vMerge w:val="continue"/>
          </w:tcPr>
          <w:p>
            <w:pPr>
              <w:spacing w:after="0"/>
              <w:rPr>
                <w:sz w:val="5"/>
                <w:szCs w:val="5"/>
                <w:color w:val="auto"/>
              </w:rPr>
            </w:pPr>
          </w:p>
        </w:tc>
        <w:tc>
          <w:tcPr>
            <w:tcW w:w="6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1560" w:type="dxa"/>
            <w:vAlign w:val="bottom"/>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0</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60" w:type="dxa"/>
            <w:vAlign w:val="bottom"/>
          </w:tcPr>
          <w:p>
            <w:pPr>
              <w:spacing w:after="0"/>
              <w:rPr>
                <w:sz w:val="19"/>
                <w:szCs w:val="19"/>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4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46,130,268</w:t>
            </w:r>
            <w:r>
              <w:rPr>
                <w:rFonts w:ascii="Arial" w:cs="Arial" w:eastAsia="Arial" w:hAnsi="Arial"/>
                <w:sz w:val="29"/>
                <w:szCs w:val="29"/>
                <w:b w:val="1"/>
                <w:bCs w:val="1"/>
                <w:color w:val="auto"/>
                <w:vertAlign w:val="superscript"/>
              </w:rPr>
              <w:t>(3)</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46,130,268</w:t>
            </w:r>
            <w:r>
              <w:rPr>
                <w:rFonts w:ascii="Arial" w:cs="Arial" w:eastAsia="Arial" w:hAnsi="Arial"/>
                <w:sz w:val="29"/>
                <w:szCs w:val="29"/>
                <w:b w:val="1"/>
                <w:bCs w:val="1"/>
                <w:color w:val="auto"/>
                <w:vertAlign w:val="superscript"/>
              </w:rPr>
              <w:t>(3)</w:t>
            </w:r>
          </w:p>
        </w:tc>
        <w:tc>
          <w:tcPr>
            <w:tcW w:w="6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5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15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64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5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1560" w:type="dxa"/>
            <w:vAlign w:val="bottom"/>
          </w:tcPr>
          <w:p>
            <w:pPr>
              <w:spacing w:after="0"/>
              <w:rPr>
                <w:sz w:val="24"/>
                <w:szCs w:val="24"/>
                <w:color w:val="auto"/>
              </w:rPr>
            </w:pPr>
          </w:p>
        </w:tc>
        <w:tc>
          <w:tcPr>
            <w:tcW w:w="1580" w:type="dxa"/>
            <w:vAlign w:val="bottom"/>
          </w:tcPr>
          <w:p>
            <w:pPr>
              <w:ind w:left="280"/>
              <w:spacing w:after="0"/>
              <w:rPr>
                <w:sz w:val="20"/>
                <w:szCs w:val="20"/>
                <w:color w:val="auto"/>
              </w:rPr>
            </w:pPr>
            <w:r>
              <w:rPr>
                <w:rFonts w:ascii="Arial" w:cs="Arial" w:eastAsia="Arial" w:hAnsi="Arial"/>
                <w:sz w:val="18"/>
                <w:szCs w:val="18"/>
                <w:b w:val="1"/>
                <w:bCs w:val="1"/>
                <w:color w:val="auto"/>
              </w:rPr>
              <w:t>17.4</w:t>
            </w:r>
            <w:r>
              <w:rPr>
                <w:rFonts w:ascii="Arial" w:cs="Arial" w:eastAsia="Arial" w:hAnsi="Arial"/>
                <w:sz w:val="18"/>
                <w:szCs w:val="18"/>
                <w:color w:val="auto"/>
              </w:rPr>
              <w:t>%</w:t>
            </w:r>
            <w:r>
              <w:rPr>
                <w:rFonts w:ascii="Arial" w:cs="Arial" w:eastAsia="Arial" w:hAnsi="Arial"/>
                <w:sz w:val="29"/>
                <w:szCs w:val="29"/>
                <w:color w:val="auto"/>
                <w:vertAlign w:val="superscript"/>
              </w:rPr>
              <w:t>(2)</w:t>
            </w:r>
          </w:p>
        </w:tc>
        <w:tc>
          <w:tcPr>
            <w:tcW w:w="6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720" w:hanging="985"/>
        <w:spacing w:after="0"/>
        <w:tabs>
          <w:tab w:leader="none" w:pos="1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5"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b w:val="1"/>
          <w:bCs w:val="1"/>
          <w:color w:val="auto"/>
        </w:rPr>
        <w:t>IN; HC</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0"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Includes (1) 33,551,648 common shares ("TMC Common Shares") of TMC the metals company Inc. (the “Issuer”) held by Allseas Group S.A. and</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11,578,620 shares of TMC Common Shares issuable upon the exercise of a warrant issued to Allseas Group S.A. (the "Allseas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1783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2" w:lineRule="exact"/>
        <w:rPr>
          <w:sz w:val="20"/>
          <w:szCs w:val="20"/>
          <w:color w:val="auto"/>
        </w:rPr>
      </w:pPr>
    </w:p>
    <w:p>
      <w:pPr>
        <w:ind w:right="380" w:firstLine="8"/>
        <w:spacing w:after="0" w:line="277"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The percentage is based upon 265,532,666 shares of TMC Common Shares issued and outstanding as of November 14, 2022, as disclosed in the Issur's Quarterly Report on Form 10-Q/A filed with the Securities and Exchange Commission on November 15, 2022.</w:t>
      </w:r>
    </w:p>
    <w:p>
      <w:pPr>
        <w:spacing w:after="0" w:line="170"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(3)       Includes (i) 33,551,648 shares of TMC Common Shares held by Allseas Group S.A., (ii) 1,000,000 shares of TMC Common Shares held by Argentum Cedit Virtuti GCV and (iii) 11,578,620 shares of TMC Common Shares issuable upon the exercise of the Allseas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Amendment No. 3 to Schedule 13D (this "Amendment No. 3") is being filed jointly by (i) Allseas Group S.A. ("AGSA"), by virtue of its direct ownership of 33,551,648 shares of TMC Common Shares and 11,578,620 shares of TMC Common Shares issuable upon the exercise of the Allseas Warrant, (ii) Allseas Investments S.A. ("AISA"), by virtue of its ownership of AGSA, (iii) Argentum Cedit Virtuti GCV ("ACV"), by virtue of its direct ownership of 1,000,000 shares of TMC Common Shares and its ownership of AGSA and AISA, (iv) Stichting Administratiekantoor Aequa Lance Foundation ("Aequa Lance Foundation"), by virtue of its ownership of AGC, and (v) Edward Heerema, by virtue of his ownership of Aequa Lance Foundation (the foregoing collectively, the “Reporting Persons”), and amends and supplements the statement on Schedule 13D filed with the Securities and Exchange Commission on September 21, 2021 (the "Original Filing"), as amended by Amendment No. 1 filed on December 2, 2021 and by Amendment No. 2 filed on August 25, 2022 (as amended, the "Schedule 13D"). Information reported in the Schedule 13D remains in effect except to the extent that it is amended, restated or superseded by information contained in this Amendment No. 3. Capitalized terms used herein and not otherwise defined in this Amendment No. 3 have the meanings set forth in the Original Filing.</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3 of the Schedule 13D is hereby supplemented by adding the following additional information:</w:t>
      </w:r>
    </w:p>
    <w:p>
      <w:pPr>
        <w:spacing w:after="0" w:line="225" w:lineRule="exact"/>
        <w:rPr>
          <w:sz w:val="20"/>
          <w:szCs w:val="20"/>
          <w:color w:val="auto"/>
        </w:rPr>
      </w:pPr>
    </w:p>
    <w:p>
      <w:pPr>
        <w:ind w:right="200" w:firstLine="1296"/>
        <w:spacing w:after="0" w:line="296" w:lineRule="auto"/>
        <w:rPr>
          <w:sz w:val="20"/>
          <w:szCs w:val="20"/>
          <w:color w:val="auto"/>
        </w:rPr>
      </w:pPr>
      <w:r>
        <w:rPr>
          <w:rFonts w:ascii="Arial" w:cs="Arial" w:eastAsia="Arial" w:hAnsi="Arial"/>
          <w:sz w:val="16"/>
          <w:szCs w:val="16"/>
          <w:color w:val="auto"/>
        </w:rPr>
        <w:t>With the successful completion of the pilot trial of the Pilot Mining Test System ("PMTS"), as approved by the Issuer's Board of Directors on November 11, 2022 and pursuant to the Fifth Amendment to Pilot Mining Test Agreement and Third Amendment to Strategic Alliance Agreement, dated February 13, 2023, by and among DeepGreen Engineering Pte Ltd, DeepGreen Metals Inc., the Issuer and AGSA, the Allseas Warrant has vested and is exercisable for 11,578,620 shares of TMC Common Shares (as may be adjusted based on the formula described therein) and the Issuer issued 10,850,000 shares of TMC Common Shares to AGSA in lieu of any cash payment in connection with the successful completion of the PMTS.</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5 of the Schedule 13D is hereby amended and restated in its entirety as follows:</w:t>
      </w:r>
    </w:p>
    <w:p>
      <w:pPr>
        <w:spacing w:after="0" w:line="225" w:lineRule="exact"/>
        <w:rPr>
          <w:sz w:val="20"/>
          <w:szCs w:val="20"/>
          <w:color w:val="auto"/>
        </w:rPr>
      </w:pPr>
    </w:p>
    <w:p>
      <w:pPr>
        <w:ind w:left="1580" w:right="60" w:hanging="776"/>
        <w:spacing w:after="0" w:line="342" w:lineRule="auto"/>
        <w:tabs>
          <w:tab w:leader="none" w:pos="1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responses to Item 2 of the Schedule 13D are incorporated by reference herein. The following information is as of the date hereof and assumes there are 265,532,666 shares of TMC Common Shares outstanding, based on the information furnished by the Issuer.</w:t>
      </w:r>
    </w:p>
    <w:p>
      <w:pPr>
        <w:spacing w:after="0" w:line="123" w:lineRule="exact"/>
        <w:rPr>
          <w:rFonts w:ascii="Arial" w:cs="Arial" w:eastAsia="Arial" w:hAnsi="Arial"/>
          <w:sz w:val="16"/>
          <w:szCs w:val="16"/>
          <w:color w:val="auto"/>
        </w:rPr>
      </w:pPr>
    </w:p>
    <w:p>
      <w:pPr>
        <w:ind w:left="1580"/>
        <w:spacing w:after="0" w:line="286" w:lineRule="auto"/>
        <w:rPr>
          <w:rFonts w:ascii="Arial" w:cs="Arial" w:eastAsia="Arial" w:hAnsi="Arial"/>
          <w:sz w:val="16"/>
          <w:szCs w:val="16"/>
          <w:color w:val="auto"/>
        </w:rPr>
      </w:pPr>
      <w:r>
        <w:rPr>
          <w:rFonts w:ascii="Arial" w:cs="Arial" w:eastAsia="Arial" w:hAnsi="Arial"/>
          <w:sz w:val="17"/>
          <w:szCs w:val="17"/>
          <w:color w:val="auto"/>
        </w:rPr>
        <w:t>AGSA and AISA may be deemed to beneficially own 45,130,268 shares of TMC Common Shares, or approximately 17.0% of the outstanding TMC Common Shares. ACV, Aequa Lance Foundation and Mr. Heerema may be deemed to beneficially own 46,130,268 shares of TMC Common Shares, or approximately 17.4% of the outstanding TMC Common Shares.</w:t>
      </w:r>
    </w:p>
    <w:p>
      <w:pPr>
        <w:spacing w:after="0" w:line="165" w:lineRule="exact"/>
        <w:rPr>
          <w:rFonts w:ascii="Arial" w:cs="Arial" w:eastAsia="Arial" w:hAnsi="Arial"/>
          <w:sz w:val="16"/>
          <w:szCs w:val="16"/>
          <w:color w:val="auto"/>
        </w:rPr>
      </w:pPr>
    </w:p>
    <w:p>
      <w:pPr>
        <w:ind w:left="1580" w:right="280"/>
        <w:spacing w:after="0" w:line="263" w:lineRule="auto"/>
        <w:rPr>
          <w:rFonts w:ascii="Arial" w:cs="Arial" w:eastAsia="Arial" w:hAnsi="Arial"/>
          <w:sz w:val="16"/>
          <w:szCs w:val="16"/>
          <w:color w:val="auto"/>
        </w:rPr>
      </w:pPr>
      <w:r>
        <w:rPr>
          <w:rFonts w:ascii="Arial" w:cs="Arial" w:eastAsia="Arial" w:hAnsi="Arial"/>
          <w:sz w:val="18"/>
          <w:szCs w:val="18"/>
          <w:color w:val="auto"/>
        </w:rPr>
        <w:t>Except as disclosed in this Schedule 13D, none of the Reporting Persons beneficially owns any TMC Common Shares or has the right to acquire any TMC Common Shares. Each Reporting Person disclaims beneficial ownership of the reported TMC Common Shares except to the extent of its or his respective pecuniary interest therein.</w:t>
      </w:r>
    </w:p>
    <w:p>
      <w:pPr>
        <w:spacing w:after="0" w:line="183" w:lineRule="exact"/>
        <w:rPr>
          <w:rFonts w:ascii="Arial" w:cs="Arial" w:eastAsia="Arial" w:hAnsi="Arial"/>
          <w:sz w:val="16"/>
          <w:szCs w:val="16"/>
          <w:color w:val="auto"/>
        </w:rPr>
      </w:pPr>
    </w:p>
    <w:p>
      <w:pPr>
        <w:ind w:left="1580" w:right="220" w:hanging="776"/>
        <w:spacing w:after="0" w:line="263" w:lineRule="auto"/>
        <w:tabs>
          <w:tab w:leader="none" w:pos="1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Regarding the number of TMC Common Shares that the Reporting Persons have the sole power to vote or direct the vote, shared power to vote or direct the vote, sole power to dispose or direct the disposition or shared power to dispose or direct the disposition, see the cover pages to this Schedule 13D.</w:t>
      </w:r>
    </w:p>
    <w:p>
      <w:pPr>
        <w:spacing w:after="0" w:line="183" w:lineRule="exact"/>
        <w:rPr>
          <w:rFonts w:ascii="Arial" w:cs="Arial" w:eastAsia="Arial" w:hAnsi="Arial"/>
          <w:sz w:val="18"/>
          <w:szCs w:val="18"/>
          <w:color w:val="auto"/>
        </w:rPr>
      </w:pPr>
    </w:p>
    <w:p>
      <w:pPr>
        <w:ind w:left="1580" w:right="140" w:hanging="776"/>
        <w:spacing w:after="0" w:line="269" w:lineRule="auto"/>
        <w:tabs>
          <w:tab w:leader="none" w:pos="1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connection with the Business Combination, AGSA received 14,151,648 shares of TMC Common Shares. In connection with the PIPE Financing, AGSA received 2,000,000 shares of TMC Common Shares and ACV received 1,000,000 shares of TMC Common Shares. On December 24, 2021, AGSA acquired 300,000 shares of TMC Common Shares in a privately negotiated transaction. On August 18, 2022, AGSA acquired 6,250,000 shares of TMC Common Shares in a privately negotiated transaction. With the successful completion of the pilot trial of the PMTS, as approved by the Issuer's Board of Directors on November 11, 2022 and pursuant to the Fifth Amendment to Pilot Mining Test Agreement and Third Amendment to Strategic Alliance Agreement, dated February 13, 2023, by and among DeepGreen Engineering Pte Ltd, DeepGreen Metals Inc., the Issuer and AGSA, the Allseas Warrant has vested and is exercisable for 11,578,620 shares of TMC Common Shares (as may be adjusted based on the formula described therein) and the Issuer issued 10,850,000 shares of TMC Common Shares to AGSA in lieu of any cash payment in connection with the successful completion of the PMTS.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 w:name="page8"/>
    <w:bookmarkEnd w:id="7"/>
    <w:p>
      <w:pPr>
        <w:ind w:left="776" w:hanging="776"/>
        <w:spacing w:after="0" w:line="263" w:lineRule="auto"/>
        <w:tabs>
          <w:tab w:leader="none" w:pos="7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as set forth in this Item 5, to the best knowledge of the Reporting Persons, no other person is known to have the right to receive, or the power to direct the receipt of dividends from, or proceeds from the sale of, the TMC Common Shares beneficially owned by them.</w:t>
      </w:r>
    </w:p>
    <w:p>
      <w:pPr>
        <w:spacing w:after="0" w:line="183" w:lineRule="exact"/>
        <w:rPr>
          <w:rFonts w:ascii="Arial" w:cs="Arial" w:eastAsia="Arial" w:hAnsi="Arial"/>
          <w:sz w:val="18"/>
          <w:szCs w:val="18"/>
          <w:color w:val="auto"/>
        </w:rPr>
      </w:pPr>
    </w:p>
    <w:p>
      <w:pPr>
        <w:ind w:left="776" w:hanging="776"/>
        <w:spacing w:after="0"/>
        <w:tabs>
          <w:tab w:leader="none" w:pos="7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443230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56"/>
          </w:cols>
          <w:pgMar w:left="1124" w:top="908" w:right="71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each of the undersigned’s knowledge and belief, each of the undersigned certify that the information set forth in this statement is true, complete and correct.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March 6, 2023</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Allseas Group S.A.</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Edward Heerema</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Allseas Investments S.A.</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Edward Heerema</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Argentum Cedit Virtuti GCV</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Edward Heerema</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Zaakvoerder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Stichting Administratiekantoor Aequa Lance Foundation</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Edward Heerema</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Chairman</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Schedule A of the Schedule 13D is hereby amended and restated in its entirety as follows:</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sets forth the names, business addresses and present principal occupation of each director and executive officer of the Reporting Persons.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Allseas Group S.A.</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Unless otherwise noted, the business address for each officer or director listed below is c/o Allseas Group S.A., Route de Pra de Plan 18, 1618 Châtel-St-Denis, Switzerland.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Name, Citizenship</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Present Principal Occupation</w:t>
            </w:r>
          </w:p>
        </w:tc>
      </w:tr>
      <w:tr>
        <w:trPr>
          <w:trHeight w:val="209"/>
        </w:trPr>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Edward Heerema, Switzerland</w:t>
            </w:r>
          </w:p>
        </w:tc>
        <w:tc>
          <w:tcPr>
            <w:tcW w:w="10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Administrator President</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Cornelis Kooger, Netherlands</w:t>
            </w: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Gaston Baudet, Switzerland</w:t>
            </w:r>
          </w:p>
        </w:tc>
        <w:tc>
          <w:tcPr>
            <w:tcW w:w="5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Administrator/Director</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Christopher Vanhoren, Switzerland</w:t>
            </w: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Luke Gillon, Switzerland</w:t>
            </w:r>
          </w:p>
        </w:tc>
        <w:tc>
          <w:tcPr>
            <w:tcW w:w="5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Administrator Secretary/Director</w:t>
            </w: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Allseas Investments S.A.</w:t>
            </w:r>
          </w:p>
        </w:tc>
        <w:tc>
          <w:tcPr>
            <w:tcW w:w="55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noted, the business address for each officer or director listed below is c/o Allseas Investments S.A., Route de Pra de Plan 18, 1618 Châtel-St-Denis, Switzerland.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Name, Citizenship</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Present Principal Occupation</w:t>
            </w:r>
          </w:p>
        </w:tc>
      </w:tr>
      <w:tr>
        <w:trPr>
          <w:trHeight w:val="210"/>
        </w:trPr>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Edward Heerema, Switzerland</w:t>
            </w:r>
          </w:p>
        </w:tc>
        <w:tc>
          <w:tcPr>
            <w:tcW w:w="10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Administrator President</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Cornelis Kooger, Netherlands</w:t>
            </w: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Gaston Baudet, Switzerland</w:t>
            </w:r>
          </w:p>
        </w:tc>
        <w:tc>
          <w:tcPr>
            <w:tcW w:w="5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Administrator/Director</w:t>
            </w: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Luke Gillon, Switzerland</w:t>
            </w: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Administrator Secretary/Director</w:t>
            </w:r>
          </w:p>
        </w:tc>
      </w:tr>
      <w:tr>
        <w:trPr>
          <w:trHeight w:val="418"/>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Argentum Cedit Virtuti GCV</w:t>
            </w:r>
          </w:p>
        </w:tc>
        <w:tc>
          <w:tcPr>
            <w:tcW w:w="5500" w:type="dxa"/>
            <w:vAlign w:val="bottom"/>
          </w:tcPr>
          <w:p>
            <w:pPr>
              <w:spacing w:after="0"/>
              <w:rPr>
                <w:sz w:val="24"/>
                <w:szCs w:val="24"/>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Unless otherwise noted, the business address for each officer or director listed below is c/o Argentum Credit Virtuti GCV, Wiegstraat 21, 2000 Antwerpen, Belgium.</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Name, Citizenship</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Present Principal Occupation</w:t>
            </w:r>
          </w:p>
        </w:tc>
      </w:tr>
      <w:tr>
        <w:trPr>
          <w:trHeight w:val="210"/>
        </w:trPr>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Edward Heerema, Switzerland</w:t>
            </w:r>
          </w:p>
        </w:tc>
        <w:tc>
          <w:tcPr>
            <w:tcW w:w="10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Zaakvoerder</w:t>
            </w: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Stichting Administratiekantoor Aequa Lance Foundation</w:t>
            </w:r>
          </w:p>
        </w:tc>
        <w:tc>
          <w:tcPr>
            <w:tcW w:w="5500" w:type="dxa"/>
            <w:vAlign w:val="bottom"/>
          </w:tcPr>
          <w:p>
            <w:pPr>
              <w:spacing w:after="0"/>
              <w:rPr>
                <w:sz w:val="24"/>
                <w:szCs w:val="24"/>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Unless otherwise noted, the business address for each officer or director listed below is c/o Stichting Administratiekantoor Aequa Lance Foundation, Route de Pra de Plan 18, 1618 Châtel-St-Denis, Switzerland.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Name, Citizenship</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Present Principal Occupation</w:t>
            </w:r>
          </w:p>
        </w:tc>
      </w:tr>
      <w:tr>
        <w:trPr>
          <w:trHeight w:val="210"/>
        </w:trPr>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Edward Heerema, Switzerland</w:t>
            </w:r>
          </w:p>
        </w:tc>
        <w:tc>
          <w:tcPr>
            <w:tcW w:w="10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Chairman</w:t>
            </w:r>
          </w:p>
        </w:tc>
      </w:tr>
      <w:tr>
        <w:trPr>
          <w:trHeight w:val="675"/>
        </w:trPr>
        <w:tc>
          <w:tcPr>
            <w:tcW w:w="5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bullet"/>
      <w:start w:val="1"/>
    </w:lvl>
  </w:abstractNum>
  <w:abstractNum w:abstractNumId="2">
    <w:nsid w:val="5BD062C2"/>
    <w:multiLevelType w:val="hybridMultilevel"/>
    <w:lvl w:ilvl="0">
      <w:lvlJc w:val="left"/>
      <w:lvlText w:val="%1"/>
      <w:numFmt w:val="decimal"/>
      <w:start w:val="14"/>
    </w:lvl>
  </w:abstractNum>
  <w:abstractNum w:abstractNumId="3">
    <w:nsid w:val="12200854"/>
    <w:multiLevelType w:val="hybridMultilevel"/>
    <w:lvl w:ilvl="0">
      <w:lvlJc w:val="left"/>
      <w:lvlText w:val="1"/>
      <w:numFmt w:val="bullet"/>
      <w:start w:val="1"/>
    </w:lvl>
  </w:abstractNum>
  <w:abstractNum w:abstractNumId="4">
    <w:nsid w:val="4DB127F8"/>
    <w:multiLevelType w:val="hybridMultilevel"/>
    <w:lvl w:ilvl="0">
      <w:lvlJc w:val="left"/>
      <w:lvlText w:val="%1"/>
      <w:numFmt w:val="decimal"/>
      <w:start w:val="14"/>
    </w:lvl>
  </w:abstractNum>
  <w:abstractNum w:abstractNumId="5">
    <w:nsid w:val="216231B"/>
    <w:multiLevelType w:val="hybridMultilevel"/>
    <w:lvl w:ilvl="0">
      <w:lvlJc w:val="left"/>
      <w:lvlText w:val="1"/>
      <w:numFmt w:val="bullet"/>
      <w:start w:val="1"/>
    </w:lvl>
  </w:abstractNum>
  <w:abstractNum w:abstractNumId="6">
    <w:nsid w:val="1F16E9E8"/>
    <w:multiLevelType w:val="hybridMultilevel"/>
    <w:lvl w:ilvl="0">
      <w:lvlJc w:val="left"/>
      <w:lvlText w:val="%1"/>
      <w:numFmt w:val="decimal"/>
      <w:start w:val="14"/>
    </w:lvl>
  </w:abstractNum>
  <w:abstractNum w:abstractNumId="7">
    <w:nsid w:val="1190CDE7"/>
    <w:multiLevelType w:val="hybridMultilevel"/>
    <w:lvl w:ilvl="0">
      <w:lvlJc w:val="left"/>
      <w:lvlText w:val="1"/>
      <w:numFmt w:val="bullet"/>
      <w:start w:val="1"/>
    </w:lvl>
  </w:abstractNum>
  <w:abstractNum w:abstractNumId="8">
    <w:nsid w:val="66EF438D"/>
    <w:multiLevelType w:val="hybridMultilevel"/>
    <w:lvl w:ilvl="0">
      <w:lvlJc w:val="left"/>
      <w:lvlText w:val="%1"/>
      <w:numFmt w:val="decimal"/>
      <w:start w:val="14"/>
    </w:lvl>
  </w:abstractNum>
  <w:abstractNum w:abstractNumId="9">
    <w:nsid w:val="140E0F76"/>
    <w:multiLevelType w:val="hybridMultilevel"/>
    <w:lvl w:ilvl="0">
      <w:lvlJc w:val="left"/>
      <w:lvlText w:val="1"/>
      <w:numFmt w:val="bullet"/>
      <w:start w:val="1"/>
    </w:lvl>
  </w:abstractNum>
  <w:abstractNum w:abstractNumId="10">
    <w:nsid w:val="3352255A"/>
    <w:multiLevelType w:val="hybridMultilevel"/>
    <w:lvl w:ilvl="0">
      <w:lvlJc w:val="left"/>
      <w:lvlText w:val="%1"/>
      <w:numFmt w:val="decimal"/>
      <w:start w:val="1"/>
    </w:lvl>
    <w:lvl w:ilvl="1">
      <w:lvlJc w:val="left"/>
      <w:lvlText w:val="%2"/>
      <w:numFmt w:val="decimal"/>
      <w:start w:val="14"/>
    </w:lvl>
  </w:abstractNum>
  <w:abstractNum w:abstractNumId="11">
    <w:nsid w:val="109CF92E"/>
    <w:multiLevelType w:val="hybridMultilevel"/>
    <w:lvl w:ilvl="0">
      <w:lvlJc w:val="left"/>
      <w:lvlText w:val="(%1)"/>
      <w:numFmt w:val="decimal"/>
      <w:start w:val="1"/>
    </w:lvl>
    <w:lvl w:ilvl="1">
      <w:lvlJc w:val="left"/>
      <w:lvlText w:val="%2"/>
      <w:numFmt w:val="decimal"/>
      <w:start w:val="1"/>
    </w:lvl>
  </w:abstractNum>
  <w:abstractNum w:abstractNumId="12">
    <w:nsid w:val="DED7263"/>
    <w:multiLevelType w:val="hybridMultilevel"/>
    <w:lvl w:ilvl="0">
      <w:lvlJc w:val="left"/>
      <w:lvlText w:val="(%1)"/>
      <w:numFmt w:val="decimal"/>
      <w:start w:val="2"/>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2023-03-07T15:40:23Z</dcterms:created>
  <dcterms:modified xsi:type="dcterms:W3CDTF">2023-03-07T15:40:23Z</dcterms:modified>
</cp:coreProperties>
</file>