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U.S. Securities and Exchange Commission on March 27, 2023</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333-260126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2 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 ON FORM S-3</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TMC the metals company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British Columbia, Canada</w:t>
            </w:r>
          </w:p>
        </w:tc>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89"/>
              </w:rPr>
              <w:t>1000</w:t>
            </w:r>
          </w:p>
        </w:tc>
        <w:tc>
          <w:tcPr>
            <w:tcW w:w="100" w:type="dxa"/>
            <w:vAlign w:val="bottom"/>
          </w:tcPr>
          <w:p>
            <w:pPr>
              <w:spacing w:after="0"/>
              <w:rPr>
                <w:sz w:val="20"/>
                <w:szCs w:val="20"/>
                <w:color w:val="auto"/>
              </w:rPr>
            </w:pPr>
          </w:p>
        </w:tc>
        <w:tc>
          <w:tcPr>
            <w:tcW w:w="312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r>
      <w:tr>
        <w:trPr>
          <w:trHeight w:val="195"/>
        </w:trPr>
        <w:tc>
          <w:tcPr>
            <w:tcW w:w="4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(State or other jurisdiction of</w:t>
            </w:r>
          </w:p>
        </w:tc>
        <w:tc>
          <w:tcPr>
            <w:tcW w:w="100" w:type="dxa"/>
            <w:vAlign w:val="bottom"/>
          </w:tcPr>
          <w:p>
            <w:pPr>
              <w:spacing w:after="0"/>
              <w:rPr>
                <w:sz w:val="16"/>
                <w:szCs w:val="16"/>
                <w:color w:val="auto"/>
              </w:rPr>
            </w:pPr>
          </w:p>
        </w:tc>
        <w:tc>
          <w:tcPr>
            <w:tcW w:w="3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(Primary Standard Industrial</w:t>
            </w:r>
          </w:p>
        </w:tc>
        <w:tc>
          <w:tcPr>
            <w:tcW w:w="100" w:type="dxa"/>
            <w:vAlign w:val="bottom"/>
          </w:tcPr>
          <w:p>
            <w:pPr>
              <w:spacing w:after="0"/>
              <w:rPr>
                <w:sz w:val="16"/>
                <w:szCs w:val="16"/>
                <w:color w:val="auto"/>
              </w:rPr>
            </w:pPr>
          </w:p>
        </w:tc>
        <w:tc>
          <w:tcPr>
            <w:tcW w:w="3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41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incorporation or organization)</w:t>
            </w:r>
          </w:p>
        </w:tc>
        <w:tc>
          <w:tcPr>
            <w:tcW w:w="40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Classification Code Number)</w:t>
            </w:r>
          </w:p>
        </w:tc>
        <w:tc>
          <w:tcPr>
            <w:tcW w:w="3120" w:type="dxa"/>
            <w:vAlign w:val="bottom"/>
          </w:tcPr>
          <w:p>
            <w:pPr>
              <w:jc w:val="center"/>
              <w:spacing w:after="0"/>
              <w:rPr>
                <w:sz w:val="20"/>
                <w:szCs w:val="20"/>
                <w:color w:val="auto"/>
              </w:rPr>
            </w:pPr>
            <w:r>
              <w:rPr>
                <w:rFonts w:ascii="Arial" w:cs="Arial" w:eastAsia="Arial" w:hAnsi="Arial"/>
                <w:sz w:val="18"/>
                <w:szCs w:val="18"/>
                <w:color w:val="auto"/>
                <w:w w:val="95"/>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595 Howe Street, 10th Floor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Vancouver, British Columbia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V6C 2T5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(574) 252-9333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Cogency Global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122 East 42nd Street, 18th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10168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(800) 221-0102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Copies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Michael L. Fantozzi,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Daniel T. Kajunski,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Mintz, Levin, Cohn, Ferris,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Glovsky and Popeo, P.C.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Financial Center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Boston, Massachusetts 02111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(617) 542-6000</w:t>
      </w: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Approximate date of commencement of proposed sale to the public: From time to time after the effective date of this registration statement.</w:t>
      </w:r>
    </w:p>
    <w:p>
      <w:pPr>
        <w:spacing w:after="0" w:line="21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81" w:lineRule="exact"/>
        <w:rPr>
          <w:sz w:val="24"/>
          <w:szCs w:val="24"/>
          <w:color w:val="auto"/>
        </w:rPr>
      </w:pPr>
    </w:p>
    <w:p>
      <w:pPr>
        <w:ind w:right="32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5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44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45" w:right="339" w:bottom="0" w:gutter="0" w:footer="0" w:header="0"/>
        </w:sectPr>
      </w:pPr>
    </w:p>
    <w:p>
      <w:pPr>
        <w:spacing w:after="0" w:line="18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3780" w:space="720"/>
            <w:col w:w="1300" w:space="720"/>
            <w:col w:w="3340" w:space="720"/>
            <w:col w:w="660"/>
          </w:cols>
          <w:pgMar w:left="320" w:top="445" w:right="339" w:bottom="0" w:gutter="0" w:footer="0" w:header="0"/>
          <w:type w:val="continuous"/>
        </w:sectPr>
      </w:pPr>
    </w:p>
    <w:bookmarkStart w:id="1" w:name="page2"/>
    <w:bookmarkEnd w:id="1"/>
    <w:p>
      <w:pPr>
        <w:ind w:left="6520"/>
        <w:spacing w:after="0" w:line="207" w:lineRule="exact"/>
        <w:tabs>
          <w:tab w:leader="none" w:pos="105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9" w:lineRule="exact"/>
        <w:rPr>
          <w:sz w:val="20"/>
          <w:szCs w:val="20"/>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1" w:right="37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On October 7, 2021, TMC the metals company Inc., or the Company, filed a registration statement with the Securities and Exchange Commission, or the SEC, on Form S-1 (File No. 333-260126), or the Registration Statement. The Registration Statement, as amended, was initially declared effective by the SEC on October 22, 2022 and initially registered:</w:t>
      </w:r>
    </w:p>
    <w:p>
      <w:pPr>
        <w:spacing w:after="0" w:line="184" w:lineRule="exact"/>
        <w:rPr>
          <w:sz w:val="20"/>
          <w:szCs w:val="20"/>
          <w:color w:val="auto"/>
        </w:rPr>
      </w:pPr>
    </w:p>
    <w:p>
      <w:pPr>
        <w:ind w:left="980" w:right="40" w:hanging="324"/>
        <w:spacing w:after="0" w:line="296" w:lineRule="auto"/>
        <w:tabs>
          <w:tab w:leader="none" w:pos="9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issuance by the Company of up to an aggregate of 24,500,000 of its common shares, without par value, or Common Shares, which consists of (i) up to 9,500,000 of Common Shares that are issuable upon the exercise of private placement warrants, or the Private Placement Warrants, originally issued in a private placement in connection with the initial public offering of our predecessor company, Sustainable Opportunities Acquisition Corp., or SOAC, at an exercise price of $11.50 per Common Share, and (ii) up to 15,000,000 Common Shares that are issuable upon the exercise of 15,000,000 warrants issued in connection with the initial public offering of SOAC; and</w:t>
      </w:r>
    </w:p>
    <w:p>
      <w:pPr>
        <w:spacing w:after="0" w:line="161" w:lineRule="exact"/>
        <w:rPr>
          <w:rFonts w:ascii="Arial" w:cs="Arial" w:eastAsia="Arial" w:hAnsi="Arial"/>
          <w:sz w:val="16"/>
          <w:szCs w:val="16"/>
          <w:color w:val="auto"/>
        </w:rPr>
      </w:pPr>
    </w:p>
    <w:p>
      <w:pPr>
        <w:ind w:left="980" w:right="60" w:hanging="324"/>
        <w:spacing w:after="0" w:line="269"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resale from time to time of (i) 9,500,000 Private Placement Warrants, (ii) up to 9,500,000 of Common Shares that are issuable upon the exercise of the Private Placement Warrants, (iii) 11,578,620 Common Shares that may be issued upon exercise of a warrant held by Allseas Group S.A., (iv) 6,759,000 Common Shares held by SOAC’s former directors, transferees of SOAC’s sponsor, Sustainable Opportunities Holdings LLC, or the Sponsor, and certain of their transferees, (v) 11,030,000 Common Shares issued pursuant to certain subscription agreements to certain PIPE investors immediately prior to the closing on September 9, 2021 of the Company’s business combination with SOAC, at a purchase price of $10.00 per share, (vi) 131,178,480 Common Shares issued to certain shareholders of DeepGreen Metals Inc., a company existing prior to the Company’s business combination with SOAC on September 9, 2021, or DeepGreen, as part of the business combination, (vii) 77,277,244 Common Shares issuable to certain shareholders of DeepGreen upon the conversion of certain earnout shares issued as part of the business combination, (viii) 1,241,000 Common Shares issuable to the transferees of the Sponsor and their transferees upon the conversion of certain earnout shares issued as part of the business combination and (ix) 873,953 Common Shares issued to certain service providers to DeepGreen.</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Amendment No. 1 to Post-Effective Amendment No. 2 to Form S-1 on Form S-3, or Amendment No. 1 to Post-Effective Amendment No. 2, is being filed by the Company (i) to convert the registration statement on Form S-1 into a registration statement on Form S-3, (ii) to include updated information regarding the selling securityholders named in the prospectus, or the Selling Securityholders, including a reduction in the number of shares of Common Shares being offered by the Selling Securityholders to 248,779,861 Common Shares to reflect sales, transfers or other dispositions of such securities by the Selling Securityholders since the filing of the initial Registration Statement and (iii) file new opinions of counsel to the Company with respect to such securities and new consents of various parties.</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additional securities are being registered under this Amendment No. 1 to Post-Effective Amendment No. 2. All applicable registration fees were paid at the time of the original filing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3" w:name="page4"/>
    <w:bookmarkEnd w:id="3"/>
    <w:p>
      <w:pPr>
        <w:ind w:right="20"/>
        <w:spacing w:after="0" w:line="261" w:lineRule="auto"/>
        <w:rPr>
          <w:sz w:val="20"/>
          <w:szCs w:val="20"/>
          <w:color w:val="auto"/>
        </w:rPr>
      </w:pPr>
      <w:r>
        <w:rPr>
          <w:rFonts w:ascii="Arial" w:cs="Arial" w:eastAsia="Arial" w:hAnsi="Arial"/>
          <w:sz w:val="18"/>
          <w:szCs w:val="18"/>
          <w:b w:val="1"/>
          <w:bCs w:val="1"/>
          <w:color w:val="FF0000"/>
        </w:rPr>
        <w:t>The information in this preliminary prospectus is not complete and may be changed. Neither we nor the selling securityholders may sell these securities until the registration statement filed with the Securities and Exchange Commission becomes effective. This preliminary prospectus is not an offer to sell these securities and it is not soliciting an offer to buy these securities in any state or other jurisdiction where the offer or sale is not permitted.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MARCH 27,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154305</wp:posOffset>
            </wp:positionV>
            <wp:extent cx="1911350" cy="643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1135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248,779,861 Common Shares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9,500,000 Warrants</w:t>
      </w:r>
    </w:p>
    <w:p>
      <w:pPr>
        <w:spacing w:after="0" w:line="21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This prospectus relates to the issuance by us of up to an aggregate of 24,500,000 of our common shares, without par value, or the Common Shares, which consists of (i) up to 9,500,000 of Common Shares that are issuable upon the exercise of private placement warrants, or the Private Placement Warrants, originally issued in a private placement in connection with the initial public offering of our predecessor company, Sustainable Opportunities Acquisition Corp., or SOAC, at an exercise price of $11.50 per Common Share, and (ii) up to 15,000,000 Common Shares that are issuable upon the exercise of 15,000,000 warrants issued in connection with the initial public offering of SOAC, or the Public Warrants, and together with the Private Placement Warrants, the Warrants.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This prospectus also relates to the resale from time to time by the Selling Securityholders named in this prospectus, or the Selling Securityholders, of up to</w:t>
      </w:r>
    </w:p>
    <w:p>
      <w:pPr>
        <w:spacing w:after="0" w:line="46" w:lineRule="exact"/>
        <w:rPr>
          <w:sz w:val="20"/>
          <w:szCs w:val="20"/>
          <w:color w:val="auto"/>
        </w:rPr>
      </w:pPr>
    </w:p>
    <w:p>
      <w:pPr>
        <w:ind w:right="40" w:firstLine="8"/>
        <w:spacing w:after="0" w:line="286" w:lineRule="auto"/>
        <w:tabs>
          <w:tab w:leader="none" w:pos="215" w:val="left"/>
        </w:tabs>
        <w:numPr>
          <w:ilvl w:val="0"/>
          <w:numId w:val="2"/>
        </w:numPr>
        <w:rPr>
          <w:rFonts w:ascii="Arial" w:cs="Arial" w:eastAsia="Arial" w:hAnsi="Arial"/>
          <w:sz w:val="16"/>
          <w:szCs w:val="16"/>
          <w:color w:val="auto"/>
        </w:rPr>
      </w:pPr>
      <w:r>
        <w:rPr>
          <w:rFonts w:ascii="Arial" w:cs="Arial" w:eastAsia="Arial" w:hAnsi="Arial"/>
          <w:sz w:val="16"/>
          <w:szCs w:val="16"/>
          <w:color w:val="auto"/>
        </w:rPr>
        <w:t>9,500,000 Private Placement Warrants, (ii) 9,500,000 Common Shares that may be issued upon exercise of the Private Placement Warrants, (iii) 11,578,620 Common Shares that may be issued upon exercise of the Allseas Warrant (as defined below), (iv) an aggregate of 134,182,997 Common Shares held by SOAC’s former directors, transferees of SOAC’s sponsor, Sustainable Opportunities Holdings LLC, or the Sponsor, and certain of their transferees, collectively, the Founder Shares, Common Shares issued pursuant to certain subscription agreements to certain investors, or the PIPE Investors, immediately prior to the Closing (as defined below) of the Business Combination (as defined below) on September 9, 2021, or the PIPE Financing, Common Shares issued to certain shareholders of DeepGreen (as defined below) pursuant to the Business Combination Agreement (as defined below) and Common Shares issued to certain service providers to DeepGreen, (v) 77,277,244 Common Shares issuable to certain shareholders of DeepGreen upon the conversion of DeepGreen Earnout Shares (as defined below) pursuant to the Business Combination Agreement and (vi) 1,241,000 Common Shares issuable to the transferees of the Sponsor and their transferees upon the conversion of Sponsor Earnout Shares (as defined below).</w:t>
      </w:r>
    </w:p>
    <w:p>
      <w:pPr>
        <w:spacing w:after="0" w:line="17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will not receive any proceeds from the sale of Common Shares or Private Placement Warrants by the Selling Securityholders or of Common Shares by us pursuant to this prospectus, except with respect to amounts received by us upon exercise of the Warrants.</w:t>
      </w:r>
    </w:p>
    <w:p>
      <w:pPr>
        <w:spacing w:after="0" w:line="17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However, we will pay the expenses, other than any underwriting discounts and commissions, associated with the sale of securities pursuant to this prospectus.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are registering certain of the securities for resale pursuant to the Selling Securityholders’ registration rights under certain agreements between us and the Selling Securityholders. Our registration of the securities covered by this prospectus does not mean that either we or the Selling Securityholders will issue, offer or sell, as applicable, any of the securities. The Selling Securityholders may offer and sell the securities covered by this prospectus in a number of different ways and at varying prices. We provide more information about how the Selling Securityholders may sell the shares or Warrants in the section entitled “Plan of Distribution.”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You should read this prospectus and any prospectus supplement or amendment carefully before you invest in our securities.</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Our Common Shares and Public Warrants are listed on the Nasdaq Global Select Market under the symbols “TMC” and “TMCWW,” respectively. On March 24, 2023, the closing price of our Common Shares was $0.81 and the closing price for our Public Warrants was $0.11.</w:t>
      </w:r>
    </w:p>
    <w:p>
      <w:pPr>
        <w:spacing w:after="0" w:line="14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Investing in our securities involves a high degree of risk. See “Risk Factors” beginning on page 6 of this prospectus and in the other documents that are incorporated by reference in this prospectus.</w:t>
      </w:r>
    </w:p>
    <w:p>
      <w:pPr>
        <w:spacing w:after="0" w:line="162" w:lineRule="exact"/>
        <w:rPr>
          <w:sz w:val="20"/>
          <w:szCs w:val="20"/>
          <w:color w:val="auto"/>
        </w:rPr>
      </w:pPr>
    </w:p>
    <w:p>
      <w:pPr>
        <w:ind w:right="80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ind w:left="3820"/>
              <w:spacing w:after="0"/>
              <w:rPr>
                <w:sz w:val="20"/>
                <w:szCs w:val="20"/>
                <w:color w:val="auto"/>
              </w:rPr>
            </w:pPr>
            <w:r>
              <w:rPr>
                <w:rFonts w:ascii="Arial" w:cs="Arial" w:eastAsia="Arial" w:hAnsi="Arial"/>
                <w:sz w:val="18"/>
                <w:szCs w:val="18"/>
                <w:b w:val="1"/>
                <w:bCs w:val="1"/>
                <w:color w:val="auto"/>
              </w:rPr>
              <w:t>The date of this prospectus is</w:t>
            </w:r>
          </w:p>
        </w:tc>
        <w:tc>
          <w:tcPr>
            <w:tcW w:w="4580" w:type="dxa"/>
            <w:vAlign w:val="bottom"/>
          </w:tcPr>
          <w:p>
            <w:pPr>
              <w:jc w:val="right"/>
              <w:ind w:right="3390"/>
              <w:spacing w:after="0"/>
              <w:rPr>
                <w:sz w:val="20"/>
                <w:szCs w:val="20"/>
                <w:color w:val="auto"/>
              </w:rPr>
            </w:pPr>
            <w:r>
              <w:rPr>
                <w:rFonts w:ascii="Arial" w:cs="Arial" w:eastAsia="Arial" w:hAnsi="Arial"/>
                <w:sz w:val="18"/>
                <w:szCs w:val="18"/>
                <w:b w:val="1"/>
                <w:bCs w:val="1"/>
                <w:color w:val="auto"/>
              </w:rPr>
              <w:t>, 2023.</w:t>
            </w:r>
          </w:p>
        </w:tc>
      </w:tr>
      <w:tr>
        <w:trPr>
          <w:trHeight w:val="432"/>
        </w:trPr>
        <w:tc>
          <w:tcPr>
            <w:tcW w:w="666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501"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320" w:type="dxa"/>
            <w:vAlign w:val="bottom"/>
            <w:gridSpan w:val="5"/>
          </w:tcPr>
          <w:p>
            <w:pPr>
              <w:ind w:left="400"/>
              <w:spacing w:after="0"/>
              <w:rPr>
                <w:sz w:val="20"/>
                <w:szCs w:val="20"/>
                <w:color w:val="auto"/>
              </w:rPr>
            </w:pPr>
            <w:r>
              <w:rPr>
                <w:rFonts w:ascii="Arial" w:cs="Arial" w:eastAsia="Arial" w:hAnsi="Arial"/>
                <w:sz w:val="18"/>
                <w:szCs w:val="18"/>
                <w:b w:val="1"/>
                <w:bCs w:val="1"/>
                <w:color w:val="auto"/>
              </w:rPr>
              <w:t>TABLE OF CONTENTS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80" w:type="dxa"/>
            <w:vAlign w:val="bottom"/>
            <w:gridSpan w:val="4"/>
          </w:tcPr>
          <w:p>
            <w:pPr>
              <w:ind w:left="130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10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0000EE"/>
                <w:w w:val="94"/>
              </w:rPr>
              <w:t>PROSPECTUS SUMMARY</w:t>
            </w:r>
          </w:p>
        </w:tc>
        <w:tc>
          <w:tcPr>
            <w:tcW w:w="7480" w:type="dxa"/>
            <w:vAlign w:val="bottom"/>
            <w:gridSpan w:val="9"/>
            <w:shd w:val="clear" w:color="auto" w:fill="CCEEFF"/>
          </w:tcPr>
          <w:p>
            <w:pPr>
              <w:spacing w:after="0"/>
              <w:rPr>
                <w:sz w:val="15"/>
                <w:szCs w:val="15"/>
                <w:color w:val="auto"/>
              </w:rPr>
            </w:pPr>
          </w:p>
        </w:tc>
        <w:tc>
          <w:tcPr>
            <w:tcW w:w="16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0000EE"/>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100" w:type="dxa"/>
            <w:vAlign w:val="bottom"/>
            <w:gridSpan w:val="7"/>
          </w:tcPr>
          <w:p>
            <w:pPr>
              <w:spacing w:after="0" w:line="176" w:lineRule="exact"/>
              <w:rPr>
                <w:sz w:val="20"/>
                <w:szCs w:val="20"/>
                <w:color w:val="auto"/>
              </w:rPr>
            </w:pPr>
            <w:r>
              <w:rPr>
                <w:rFonts w:ascii="Arial" w:cs="Arial" w:eastAsia="Arial" w:hAnsi="Arial"/>
                <w:sz w:val="18"/>
                <w:szCs w:val="18"/>
                <w:color w:val="0000EE"/>
              </w:rPr>
              <w:t>THE OFFERING</w:t>
            </w:r>
          </w:p>
        </w:tc>
        <w:tc>
          <w:tcPr>
            <w:tcW w:w="7480" w:type="dxa"/>
            <w:vAlign w:val="bottom"/>
            <w:gridSpan w:val="9"/>
          </w:tcPr>
          <w:p>
            <w:pPr>
              <w:spacing w:after="0"/>
              <w:rPr>
                <w:sz w:val="15"/>
                <w:szCs w:val="15"/>
                <w:color w:val="auto"/>
              </w:rPr>
            </w:pPr>
          </w:p>
        </w:tc>
        <w:tc>
          <w:tcPr>
            <w:tcW w:w="1660" w:type="dxa"/>
            <w:vAlign w:val="bottom"/>
            <w:gridSpan w:val="3"/>
          </w:tcPr>
          <w:p>
            <w:pPr>
              <w:jc w:val="right"/>
              <w:spacing w:after="0" w:line="176" w:lineRule="exact"/>
              <w:rPr>
                <w:sz w:val="20"/>
                <w:szCs w:val="20"/>
                <w:color w:val="auto"/>
              </w:rPr>
            </w:pPr>
            <w:r>
              <w:rPr>
                <w:rFonts w:ascii="Arial" w:cs="Arial" w:eastAsia="Arial" w:hAnsi="Arial"/>
                <w:sz w:val="18"/>
                <w:szCs w:val="18"/>
                <w:color w:val="0000EE"/>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w w:val="93"/>
              </w:rPr>
              <w:t>RISK FACTORS</w:t>
            </w:r>
          </w:p>
        </w:tc>
        <w:tc>
          <w:tcPr>
            <w:tcW w:w="8320" w:type="dxa"/>
            <w:vAlign w:val="bottom"/>
            <w:gridSpan w:val="14"/>
            <w:shd w:val="clear" w:color="auto" w:fill="CCEEFF"/>
          </w:tcPr>
          <w:p>
            <w:pPr>
              <w:spacing w:after="0"/>
              <w:rPr>
                <w:sz w:val="15"/>
                <w:szCs w:val="15"/>
                <w:color w:val="auto"/>
              </w:rPr>
            </w:pPr>
          </w:p>
        </w:tc>
        <w:tc>
          <w:tcPr>
            <w:tcW w:w="16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0000EE"/>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580" w:type="dxa"/>
            <w:vAlign w:val="bottom"/>
            <w:gridSpan w:val="16"/>
          </w:tcPr>
          <w:p>
            <w:pPr>
              <w:spacing w:after="0" w:line="176" w:lineRule="exact"/>
              <w:rPr>
                <w:sz w:val="20"/>
                <w:szCs w:val="20"/>
                <w:color w:val="auto"/>
              </w:rPr>
            </w:pPr>
            <w:r>
              <w:rPr>
                <w:rFonts w:ascii="Arial" w:cs="Arial" w:eastAsia="Arial" w:hAnsi="Arial"/>
                <w:sz w:val="18"/>
                <w:szCs w:val="18"/>
                <w:color w:val="0000EE"/>
              </w:rPr>
              <w:t>SPECIAL NOTE REGARDING FORWARD-LOOKING STATEMENTS</w:t>
            </w:r>
          </w:p>
        </w:tc>
        <w:tc>
          <w:tcPr>
            <w:tcW w:w="1660" w:type="dxa"/>
            <w:vAlign w:val="bottom"/>
            <w:gridSpan w:val="3"/>
          </w:tcPr>
          <w:p>
            <w:pPr>
              <w:jc w:val="right"/>
              <w:spacing w:after="0" w:line="176" w:lineRule="exact"/>
              <w:rPr>
                <w:sz w:val="20"/>
                <w:szCs w:val="20"/>
                <w:color w:val="auto"/>
              </w:rPr>
            </w:pPr>
            <w:r>
              <w:rPr>
                <w:rFonts w:ascii="Arial" w:cs="Arial" w:eastAsia="Arial" w:hAnsi="Arial"/>
                <w:sz w:val="18"/>
                <w:szCs w:val="18"/>
                <w:color w:val="0000EE"/>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58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USE OF PROCEEDS</w:t>
            </w:r>
          </w:p>
        </w:tc>
        <w:tc>
          <w:tcPr>
            <w:tcW w:w="16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0000EE"/>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580" w:type="dxa"/>
            <w:vAlign w:val="bottom"/>
            <w:gridSpan w:val="16"/>
          </w:tcPr>
          <w:p>
            <w:pPr>
              <w:spacing w:after="0" w:line="176" w:lineRule="exact"/>
              <w:rPr>
                <w:sz w:val="20"/>
                <w:szCs w:val="20"/>
                <w:color w:val="auto"/>
              </w:rPr>
            </w:pPr>
            <w:r>
              <w:rPr>
                <w:rFonts w:ascii="Arial" w:cs="Arial" w:eastAsia="Arial" w:hAnsi="Arial"/>
                <w:sz w:val="18"/>
                <w:szCs w:val="18"/>
                <w:color w:val="0000EE"/>
              </w:rPr>
              <w:t>SELLING SECURITYHOLDERS</w:t>
            </w:r>
          </w:p>
        </w:tc>
        <w:tc>
          <w:tcPr>
            <w:tcW w:w="1660" w:type="dxa"/>
            <w:vAlign w:val="bottom"/>
            <w:gridSpan w:val="3"/>
          </w:tcPr>
          <w:p>
            <w:pPr>
              <w:jc w:val="right"/>
              <w:spacing w:after="0" w:line="176" w:lineRule="exact"/>
              <w:rPr>
                <w:sz w:val="20"/>
                <w:szCs w:val="20"/>
                <w:color w:val="auto"/>
              </w:rPr>
            </w:pPr>
            <w:r>
              <w:rPr>
                <w:rFonts w:ascii="Arial" w:cs="Arial" w:eastAsia="Arial" w:hAnsi="Arial"/>
                <w:sz w:val="18"/>
                <w:szCs w:val="18"/>
                <w:color w:val="0000EE"/>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6"/>
            <w:shd w:val="clear" w:color="auto" w:fill="CCEEFF"/>
          </w:tcPr>
          <w:p>
            <w:pPr>
              <w:spacing w:after="0" w:line="176" w:lineRule="exact"/>
              <w:rPr>
                <w:sz w:val="20"/>
                <w:szCs w:val="20"/>
                <w:color w:val="auto"/>
              </w:rPr>
            </w:pPr>
            <w:r>
              <w:rPr>
                <w:rFonts w:ascii="Arial" w:cs="Arial" w:eastAsia="Arial" w:hAnsi="Arial"/>
                <w:sz w:val="18"/>
                <w:szCs w:val="18"/>
                <w:color w:val="0000EE"/>
                <w:w w:val="97"/>
              </w:rPr>
              <w:t>PLAN OF DISTRIBUTION</w:t>
            </w:r>
          </w:p>
        </w:tc>
        <w:tc>
          <w:tcPr>
            <w:tcW w:w="7520" w:type="dxa"/>
            <w:vAlign w:val="bottom"/>
            <w:tcBorders>
              <w:bottom w:val="single" w:sz="8" w:color="CCEEFF"/>
            </w:tcBorders>
            <w:gridSpan w:val="10"/>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0000EE"/>
                <w:w w:val="79"/>
              </w:rPr>
              <w:t>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580" w:type="dxa"/>
            <w:vAlign w:val="bottom"/>
            <w:gridSpan w:val="16"/>
          </w:tcPr>
          <w:p>
            <w:pPr>
              <w:spacing w:after="0" w:line="176" w:lineRule="exact"/>
              <w:rPr>
                <w:sz w:val="20"/>
                <w:szCs w:val="20"/>
                <w:color w:val="auto"/>
              </w:rPr>
            </w:pPr>
            <w:r>
              <w:rPr>
                <w:rFonts w:ascii="Arial" w:cs="Arial" w:eastAsia="Arial" w:hAnsi="Arial"/>
                <w:sz w:val="18"/>
                <w:szCs w:val="18"/>
                <w:color w:val="0000EE"/>
              </w:rPr>
              <w:t>DESCRIPTION OF SECURITIES</w:t>
            </w:r>
          </w:p>
        </w:tc>
        <w:tc>
          <w:tcPr>
            <w:tcW w:w="1660" w:type="dxa"/>
            <w:vAlign w:val="bottom"/>
            <w:gridSpan w:val="3"/>
          </w:tcPr>
          <w:p>
            <w:pPr>
              <w:jc w:val="right"/>
              <w:spacing w:after="0" w:line="176" w:lineRule="exact"/>
              <w:rPr>
                <w:sz w:val="20"/>
                <w:szCs w:val="20"/>
                <w:color w:val="auto"/>
              </w:rPr>
            </w:pPr>
            <w:r>
              <w:rPr>
                <w:rFonts w:ascii="Arial" w:cs="Arial" w:eastAsia="Arial" w:hAnsi="Arial"/>
                <w:sz w:val="18"/>
                <w:szCs w:val="18"/>
                <w:color w:val="0000EE"/>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00" w:type="dxa"/>
            <w:vAlign w:val="bottom"/>
            <w:tcBorders>
              <w:bottom w:val="single" w:sz="8" w:color="0000EE"/>
            </w:tcBorders>
            <w:gridSpan w:val="15"/>
            <w:shd w:val="clear" w:color="auto" w:fill="CCEEFF"/>
          </w:tcPr>
          <w:p>
            <w:pPr>
              <w:spacing w:after="0" w:line="176" w:lineRule="exact"/>
              <w:rPr>
                <w:sz w:val="20"/>
                <w:szCs w:val="20"/>
                <w:color w:val="auto"/>
              </w:rPr>
            </w:pPr>
            <w:r>
              <w:rPr>
                <w:rFonts w:ascii="Arial" w:cs="Arial" w:eastAsia="Arial" w:hAnsi="Arial"/>
                <w:sz w:val="18"/>
                <w:szCs w:val="18"/>
                <w:color w:val="0000EE"/>
                <w:w w:val="96"/>
              </w:rPr>
              <w:t>CERTAIN IMPORTANT PROVISIONS OF THE NOTICE OF ARTICLES AND ARTICLES AND THE BCBCA</w:t>
            </w:r>
          </w:p>
        </w:tc>
        <w:tc>
          <w:tcPr>
            <w:tcW w:w="12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0000EE"/>
                <w:w w:val="79"/>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580" w:type="dxa"/>
            <w:vAlign w:val="bottom"/>
            <w:gridSpan w:val="16"/>
          </w:tcPr>
          <w:p>
            <w:pPr>
              <w:spacing w:after="0" w:line="176" w:lineRule="exact"/>
              <w:rPr>
                <w:sz w:val="20"/>
                <w:szCs w:val="20"/>
                <w:color w:val="auto"/>
              </w:rPr>
            </w:pPr>
            <w:r>
              <w:rPr>
                <w:rFonts w:ascii="Arial" w:cs="Arial" w:eastAsia="Arial" w:hAnsi="Arial"/>
                <w:sz w:val="18"/>
                <w:szCs w:val="18"/>
                <w:color w:val="0000EE"/>
              </w:rPr>
              <w:t>OWNERSHIP AND EXCHANGE CONTROLS</w:t>
            </w:r>
          </w:p>
        </w:tc>
        <w:tc>
          <w:tcPr>
            <w:tcW w:w="1660" w:type="dxa"/>
            <w:vAlign w:val="bottom"/>
            <w:gridSpan w:val="3"/>
          </w:tcPr>
          <w:p>
            <w:pPr>
              <w:jc w:val="right"/>
              <w:spacing w:after="0" w:line="176" w:lineRule="exact"/>
              <w:rPr>
                <w:sz w:val="20"/>
                <w:szCs w:val="20"/>
                <w:color w:val="auto"/>
              </w:rPr>
            </w:pPr>
            <w:r>
              <w:rPr>
                <w:rFonts w:ascii="Arial" w:cs="Arial" w:eastAsia="Arial" w:hAnsi="Arial"/>
                <w:sz w:val="18"/>
                <w:szCs w:val="18"/>
                <w:color w:val="0000EE"/>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12"/>
            <w:shd w:val="clear" w:color="auto" w:fill="CCEEFF"/>
          </w:tcPr>
          <w:p>
            <w:pPr>
              <w:spacing w:after="0" w:line="176" w:lineRule="exact"/>
              <w:rPr>
                <w:sz w:val="20"/>
                <w:szCs w:val="20"/>
                <w:color w:val="auto"/>
              </w:rPr>
            </w:pPr>
            <w:r>
              <w:rPr>
                <w:rFonts w:ascii="Arial" w:cs="Arial" w:eastAsia="Arial" w:hAnsi="Arial"/>
                <w:sz w:val="18"/>
                <w:szCs w:val="18"/>
                <w:color w:val="0000EE"/>
                <w:w w:val="96"/>
              </w:rPr>
              <w:t>MATERIAL U.S. FEDERAL INCOME TAX CONSIDERATIONS</w:t>
            </w:r>
          </w:p>
        </w:tc>
        <w:tc>
          <w:tcPr>
            <w:tcW w:w="4700" w:type="dxa"/>
            <w:vAlign w:val="bottom"/>
            <w:tcBorders>
              <w:bottom w:val="single" w:sz="8" w:color="CCEEFF"/>
            </w:tcBorders>
            <w:gridSpan w:val="4"/>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0000EE"/>
                <w:w w:val="79"/>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580" w:type="dxa"/>
            <w:vAlign w:val="bottom"/>
            <w:gridSpan w:val="16"/>
          </w:tcPr>
          <w:p>
            <w:pPr>
              <w:spacing w:after="0" w:line="176" w:lineRule="exact"/>
              <w:rPr>
                <w:sz w:val="20"/>
                <w:szCs w:val="20"/>
                <w:color w:val="auto"/>
              </w:rPr>
            </w:pPr>
            <w:r>
              <w:rPr>
                <w:rFonts w:ascii="Arial" w:cs="Arial" w:eastAsia="Arial" w:hAnsi="Arial"/>
                <w:sz w:val="18"/>
                <w:szCs w:val="18"/>
                <w:color w:val="0000EE"/>
              </w:rPr>
              <w:t>MATERIAL CANADIAN FEDERAL INCOME TAX CONSIDERATIONS</w:t>
            </w:r>
          </w:p>
        </w:tc>
        <w:tc>
          <w:tcPr>
            <w:tcW w:w="1660" w:type="dxa"/>
            <w:vAlign w:val="bottom"/>
            <w:gridSpan w:val="3"/>
          </w:tcPr>
          <w:p>
            <w:pPr>
              <w:jc w:val="right"/>
              <w:spacing w:after="0" w:line="176" w:lineRule="exact"/>
              <w:rPr>
                <w:sz w:val="20"/>
                <w:szCs w:val="20"/>
                <w:color w:val="auto"/>
              </w:rPr>
            </w:pPr>
            <w:r>
              <w:rPr>
                <w:rFonts w:ascii="Arial" w:cs="Arial" w:eastAsia="Arial" w:hAnsi="Arial"/>
                <w:sz w:val="18"/>
                <w:szCs w:val="18"/>
                <w:color w:val="0000EE"/>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58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LEGAL MATTERS</w:t>
            </w:r>
          </w:p>
        </w:tc>
        <w:tc>
          <w:tcPr>
            <w:tcW w:w="16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0000EE"/>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460" w:type="dxa"/>
            <w:vAlign w:val="bottom"/>
            <w:tcBorders>
              <w:top w:val="single" w:sz="8" w:color="0000EE"/>
            </w:tcBorders>
            <w:gridSpan w:val="4"/>
          </w:tcPr>
          <w:p>
            <w:pPr>
              <w:spacing w:after="0" w:line="176" w:lineRule="exact"/>
              <w:rPr>
                <w:sz w:val="20"/>
                <w:szCs w:val="20"/>
                <w:color w:val="auto"/>
              </w:rPr>
            </w:pPr>
            <w:r>
              <w:rPr>
                <w:rFonts w:ascii="Arial" w:cs="Arial" w:eastAsia="Arial" w:hAnsi="Arial"/>
                <w:sz w:val="18"/>
                <w:szCs w:val="18"/>
                <w:color w:val="0000EE"/>
              </w:rPr>
              <w:t>EXPERTS</w:t>
            </w:r>
          </w:p>
        </w:tc>
        <w:tc>
          <w:tcPr>
            <w:tcW w:w="8120" w:type="dxa"/>
            <w:vAlign w:val="bottom"/>
            <w:tcBorders>
              <w:top w:val="single" w:sz="8" w:color="CCEEFF"/>
            </w:tcBorders>
            <w:gridSpan w:val="12"/>
          </w:tcPr>
          <w:p>
            <w:pPr>
              <w:spacing w:after="0"/>
              <w:rPr>
                <w:sz w:val="15"/>
                <w:szCs w:val="15"/>
                <w:color w:val="auto"/>
              </w:rPr>
            </w:pPr>
          </w:p>
        </w:tc>
        <w:tc>
          <w:tcPr>
            <w:tcW w:w="148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sz w:val="20"/>
                <w:szCs w:val="20"/>
                <w:color w:val="auto"/>
              </w:rPr>
            </w:pPr>
            <w:r>
              <w:rPr>
                <w:rFonts w:ascii="Arial" w:cs="Arial" w:eastAsia="Arial" w:hAnsi="Arial"/>
                <w:sz w:val="18"/>
                <w:szCs w:val="18"/>
                <w:color w:val="0000EE"/>
                <w:w w:val="79"/>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58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WHERE YOU CAN FIND MORE INFORMATION</w:t>
            </w:r>
          </w:p>
        </w:tc>
        <w:tc>
          <w:tcPr>
            <w:tcW w:w="16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0000EE"/>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580" w:type="dxa"/>
            <w:vAlign w:val="bottom"/>
            <w:gridSpan w:val="16"/>
          </w:tcPr>
          <w:p>
            <w:pPr>
              <w:spacing w:after="0" w:line="176" w:lineRule="exact"/>
              <w:rPr>
                <w:sz w:val="20"/>
                <w:szCs w:val="20"/>
                <w:color w:val="auto"/>
              </w:rPr>
            </w:pPr>
            <w:r>
              <w:rPr>
                <w:rFonts w:ascii="Arial" w:cs="Arial" w:eastAsia="Arial" w:hAnsi="Arial"/>
                <w:sz w:val="18"/>
                <w:szCs w:val="18"/>
                <w:color w:val="0000EE"/>
              </w:rPr>
              <w:t>INCORPORATION OF DOCUMENTS BY REFERENCE</w:t>
            </w:r>
          </w:p>
        </w:tc>
        <w:tc>
          <w:tcPr>
            <w:tcW w:w="1660" w:type="dxa"/>
            <w:vAlign w:val="bottom"/>
            <w:gridSpan w:val="3"/>
          </w:tcPr>
          <w:p>
            <w:pPr>
              <w:jc w:val="right"/>
              <w:spacing w:after="0" w:line="176" w:lineRule="exact"/>
              <w:rPr>
                <w:sz w:val="20"/>
                <w:szCs w:val="20"/>
                <w:color w:val="auto"/>
              </w:rPr>
            </w:pPr>
            <w:r>
              <w:rPr>
                <w:rFonts w:ascii="Arial" w:cs="Arial" w:eastAsia="Arial" w:hAnsi="Arial"/>
                <w:sz w:val="18"/>
                <w:szCs w:val="18"/>
                <w:color w:val="0000EE"/>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b w:val="1"/>
          <w:bCs w:val="1"/>
          <w:color w:val="auto"/>
        </w:rPr>
        <w:t>You should rely only on the information contained in this prospectus or incorporated by reference in this prospectus. No one has been authorized to provide you with information that is different from that contained in this prospectus or incorporated by reference in this prospectus. This prospectus is dated as of the date set forth on the cover hereof. You should not assume that the information contained in this prospectus is accurate as of any date other than that date.</w:t>
      </w:r>
    </w:p>
    <w:p>
      <w:pPr>
        <w:spacing w:after="0" w:line="180"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For investors outside the United States: </w:t>
      </w:r>
      <w:r>
        <w:rPr>
          <w:rFonts w:ascii="Arial" w:cs="Arial" w:eastAsia="Arial" w:hAnsi="Arial"/>
          <w:sz w:val="18"/>
          <w:szCs w:val="18"/>
          <w:color w:val="auto"/>
        </w:rPr>
        <w:t>We have not done anything that would permit this offering or possession or distribution of this prospectus in any</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where action for that purpose is required, other than in the United States. You are required to inform yourselves about and to observe any restrictions relating to this offering and the distribution of this prospectus.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ind w:right="-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86963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8696325"/>
                    </a:xfrm>
                    <a:prstGeom prst="rect">
                      <a:avLst/>
                    </a:prstGeom>
                    <a:noFill/>
                  </pic:spPr>
                </pic:pic>
              </a:graphicData>
            </a:graphic>
          </wp:anchor>
        </w:drawing>
        <w:t>PROSPECTUS SUMMARY</w:t>
      </w:r>
    </w:p>
    <w:p>
      <w:pPr>
        <w:spacing w:after="0" w:line="229" w:lineRule="exact"/>
        <w:rPr>
          <w:sz w:val="20"/>
          <w:szCs w:val="20"/>
          <w:color w:val="auto"/>
        </w:rPr>
      </w:pPr>
    </w:p>
    <w:p>
      <w:pPr>
        <w:ind w:left="10" w:right="40"/>
        <w:spacing w:after="0" w:line="271" w:lineRule="auto"/>
        <w:rPr>
          <w:sz w:val="20"/>
          <w:szCs w:val="20"/>
          <w:color w:val="auto"/>
        </w:rPr>
      </w:pPr>
      <w:r>
        <w:rPr>
          <w:rFonts w:ascii="Arial" w:cs="Arial" w:eastAsia="Arial" w:hAnsi="Arial"/>
          <w:sz w:val="17"/>
          <w:szCs w:val="17"/>
          <w:i w:val="1"/>
          <w:iCs w:val="1"/>
          <w:color w:val="auto"/>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Securities and Exchange Commission, or SEC, or included in any applicable prospectus supplement. Investing in our securities involves risks. Therefore, carefully consider the risk factors set forth in any prospectus supplements and in our most recent annual, quarterly and other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74"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About TMC the metals company Inc.</w:t>
      </w:r>
    </w:p>
    <w:p>
      <w:pPr>
        <w:spacing w:after="0" w:line="229" w:lineRule="exact"/>
        <w:rPr>
          <w:sz w:val="20"/>
          <w:szCs w:val="20"/>
          <w:color w:val="auto"/>
        </w:rPr>
      </w:pPr>
    </w:p>
    <w:p>
      <w:pPr>
        <w:ind w:left="10" w:right="520"/>
        <w:spacing w:after="0" w:line="308" w:lineRule="auto"/>
        <w:rPr>
          <w:sz w:val="20"/>
          <w:szCs w:val="20"/>
          <w:color w:val="auto"/>
        </w:rPr>
      </w:pPr>
      <w:r>
        <w:rPr>
          <w:rFonts w:ascii="Arial" w:cs="Arial" w:eastAsia="Arial" w:hAnsi="Arial"/>
          <w:sz w:val="17"/>
          <w:szCs w:val="17"/>
          <w:color w:val="auto"/>
        </w:rPr>
        <w:t>We are a deep-sea minerals exploration company focused on the collection and processing of polymetallic nodules found on the seafloor in international waters of the Clarion Clipperton Zone, or the CCZ, about 1,500 miles south-west of San Diego, California.</w:t>
      </w:r>
    </w:p>
    <w:p>
      <w:pPr>
        <w:spacing w:after="0" w:line="146" w:lineRule="exact"/>
        <w:rPr>
          <w:sz w:val="20"/>
          <w:szCs w:val="20"/>
          <w:color w:val="auto"/>
        </w:rPr>
      </w:pPr>
    </w:p>
    <w:p>
      <w:pPr>
        <w:ind w:left="10"/>
        <w:spacing w:after="0" w:line="284" w:lineRule="auto"/>
        <w:rPr>
          <w:sz w:val="20"/>
          <w:szCs w:val="20"/>
          <w:color w:val="auto"/>
        </w:rPr>
      </w:pPr>
      <w:r>
        <w:rPr>
          <w:rFonts w:ascii="Arial" w:cs="Arial" w:eastAsia="Arial" w:hAnsi="Arial"/>
          <w:sz w:val="16"/>
          <w:szCs w:val="16"/>
          <w:color w:val="auto"/>
        </w:rPr>
        <w:t>The CCZ is a geological submarine fracture zone of abyssal plains and other formations in the Eastern Pacific Ocean, with a length of around 7,240 km (4,500 miles) that spans approximately 4,500,000 square kilometers (1,700,000 square miles). Polymetallic nodules are discrete rocks that sit unattached to the seafloor, occur in significant quantities in the CCZ and have high concentrations of nickel, manganese, cobalt and copper in a single rock. These four metals contained in the polymetallic nodules are critical for the transition to low carbon energy.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 and cobalt sulfates, or intermediate nickel-copper-cobalt matte) for electric vehicles, or EVs, and renewable energy storage markets, (ii) copper cathode for EV wiring, clean energy transmission and other applications and</w:t>
      </w:r>
    </w:p>
    <w:p>
      <w:pPr>
        <w:spacing w:after="0" w:line="1" w:lineRule="exact"/>
        <w:rPr>
          <w:sz w:val="20"/>
          <w:szCs w:val="20"/>
          <w:color w:val="auto"/>
        </w:rPr>
      </w:pPr>
    </w:p>
    <w:p>
      <w:pPr>
        <w:ind w:left="10" w:right="60" w:hanging="10"/>
        <w:spacing w:after="0" w:line="277" w:lineRule="auto"/>
        <w:tabs>
          <w:tab w:leader="none" w:pos="325" w:val="left"/>
        </w:tabs>
        <w:numPr>
          <w:ilvl w:val="0"/>
          <w:numId w:val="3"/>
        </w:numPr>
        <w:rPr>
          <w:rFonts w:ascii="Arial" w:cs="Arial" w:eastAsia="Arial" w:hAnsi="Arial"/>
          <w:sz w:val="17"/>
          <w:szCs w:val="17"/>
          <w:color w:val="auto"/>
        </w:rPr>
      </w:pPr>
      <w:r>
        <w:rPr>
          <w:rFonts w:ascii="Arial" w:cs="Arial" w:eastAsia="Arial" w:hAnsi="Arial"/>
          <w:sz w:val="17"/>
          <w:szCs w:val="17"/>
          <w:color w:val="auto"/>
        </w:rPr>
        <w:t>manganese silicate for manganese alloy production required for steel production. Our mission is to build a carefully managed shared stock of metal, which we refer to as a metal commons, that can be used, recovered and reused for generations to come. Significant quantities of newly mined metal are required because existing metal stocks are insufficient to meet rapidly rising demand.</w:t>
      </w:r>
    </w:p>
    <w:p>
      <w:pPr>
        <w:spacing w:after="0" w:line="173" w:lineRule="exact"/>
        <w:rPr>
          <w:sz w:val="20"/>
          <w:szCs w:val="20"/>
          <w:color w:val="auto"/>
        </w:rPr>
      </w:pPr>
    </w:p>
    <w:p>
      <w:pPr>
        <w:ind w:left="10" w:right="60"/>
        <w:spacing w:after="0" w:line="285" w:lineRule="auto"/>
        <w:rPr>
          <w:sz w:val="20"/>
          <w:szCs w:val="20"/>
          <w:color w:val="auto"/>
        </w:rPr>
      </w:pPr>
      <w:r>
        <w:rPr>
          <w:rFonts w:ascii="Arial" w:cs="Arial" w:eastAsia="Arial" w:hAnsi="Arial"/>
          <w:sz w:val="16"/>
          <w:szCs w:val="16"/>
          <w:color w:val="auto"/>
        </w:rPr>
        <w:t>Exploration and exploitation of seabed minerals in international waters is regulated by the International Seabed Authority, or the ISA, an intergovernmental organization established pursuant to the 1994 Agreement Relating to the Implementation of the United Nations Convention on the Law of the Sea, or UNCLOS. The ISA grants contracts to sovereign states or to private contractors who are sponsored by a sovereign state. The ISA requires that a contractor must obtain and maintain sponsorship by a host nation that is a member of the ISA and signatory to UNCLOS, and such nation must maintain effective supervision and regulatory control over such sponsored contractor. The ISA has issued a total of 19</w:t>
      </w:r>
    </w:p>
    <w:p>
      <w:pPr>
        <w:spacing w:after="0" w:line="2" w:lineRule="exact"/>
        <w:rPr>
          <w:sz w:val="20"/>
          <w:szCs w:val="20"/>
          <w:color w:val="auto"/>
        </w:rPr>
      </w:pPr>
    </w:p>
    <w:p>
      <w:pPr>
        <w:ind w:left="10" w:right="80"/>
        <w:spacing w:after="0" w:line="234" w:lineRule="auto"/>
        <w:rPr>
          <w:sz w:val="20"/>
          <w:szCs w:val="20"/>
          <w:color w:val="auto"/>
        </w:rPr>
      </w:pPr>
      <w:r>
        <w:rPr>
          <w:rFonts w:ascii="Arial" w:cs="Arial" w:eastAsia="Arial" w:hAnsi="Arial"/>
          <w:sz w:val="18"/>
          <w:szCs w:val="18"/>
          <w:color w:val="auto"/>
        </w:rPr>
        <w:t>polymetallic nodule exploration contracts covering approximately 1.28 million km</w:t>
      </w:r>
      <w:r>
        <w:rPr>
          <w:rFonts w:ascii="Arial" w:cs="Arial" w:eastAsia="Arial" w:hAnsi="Arial"/>
          <w:sz w:val="29"/>
          <w:szCs w:val="29"/>
          <w:color w:val="auto"/>
          <w:vertAlign w:val="superscript"/>
        </w:rPr>
        <w:t>2</w:t>
      </w:r>
      <w:r>
        <w:rPr>
          <w:rFonts w:ascii="Arial" w:cs="Arial" w:eastAsia="Arial" w:hAnsi="Arial"/>
          <w:sz w:val="18"/>
          <w:szCs w:val="18"/>
          <w:color w:val="auto"/>
        </w:rPr>
        <w:t>, or 0.4% of the global seafloor, 17 of which are in the CCZ. We hold exclusive exploration and commercial rights to three of the 17 polymetallic nodule contract areas in the CCZ; two based on ISA exploration contracts through our subsidiaries Nauru Ocean Resources Inc., or NORI, and Tonga Offshore Mining Limited, or TOML, sponsored by the Republic of Nauru and the Kingdom of Tonga, respectively, and exclusive commercial rights through our subsidiary, DeepGreen Engineering Pte. Ltd. and its arrangement with Marawa Research and Exploration Limited, a company owned and sponsored by the Republic of Kiribati.</w:t>
      </w:r>
    </w:p>
    <w:p>
      <w:pPr>
        <w:spacing w:after="0" w:line="204" w:lineRule="exact"/>
        <w:rPr>
          <w:sz w:val="20"/>
          <w:szCs w:val="20"/>
          <w:color w:val="auto"/>
        </w:rPr>
      </w:pPr>
    </w:p>
    <w:p>
      <w:pPr>
        <w:ind w:left="10"/>
        <w:spacing w:after="0" w:line="284" w:lineRule="auto"/>
        <w:rPr>
          <w:sz w:val="20"/>
          <w:szCs w:val="20"/>
          <w:color w:val="auto"/>
        </w:rPr>
      </w:pPr>
      <w:r>
        <w:rPr>
          <w:rFonts w:ascii="Arial" w:cs="Arial" w:eastAsia="Arial" w:hAnsi="Arial"/>
          <w:sz w:val="16"/>
          <w:szCs w:val="16"/>
          <w:color w:val="auto"/>
        </w:rPr>
        <w:t>We have key strategic alliances with (i) Allseas Group S.A., a leading global offshore contractor, which developed and tested a pilot collection system, which is expected to be modified into an initial smaller scale commercial production system and serve as the basis for the design of a full-scale commercial production system and (ii) Glencore International AG, or Glencore, which holds offtake rights to 50% of the NORI nickel and copper production. In addition, we have worked with an engineering firm Hatch Ltd. and consultants Kingston Process Metallurgy Inc. to develop a near-zero solid waste flowsheet. The primary processing stages of the flowsheet from nodule to NiCuCo matte intermediate were demonstrated as part of our pilot plant program at FLSmidth &amp; Co. A/S’s and Xpert Process Solutions’ (a Glencore company) facilities. The matte refining stages are being tested at SGS Lakefield. The near-zero solid waste flowsheet provides a design that is expected to serve as the basis for our onshore processing facilities. After several months of joint pre-feasibility work in 2022 and in consultation with Epsilon Carbon Pvt, LTD., or Epsilon Carbon, under our March 2022 business collaboration Memorandum of Understanding, or MoU, we decided to pause this work on a new build plant in India until Project Zero has started commercial production using an existing processing facility requiring lower capital expenditures and which we believe may offer a lower risk solution to get Project Zero into production. In November 2022, we entered into a non-binding MoU with Pacific Metals Co Ltd, or PAMCO, of Japan, to evaluate the toll treatment of an initial quantity of 1.3 million tonnes of wet polymetallic nodules per year at PAMCO’s Hachinohe smelting facility starting in 2025. The toll treatment is intended to take place on a dedicated rotary kiln-electric arc furnace (RKEF) processing line and produce two products: nickel-copper-cobalt alloy — an intermediate product used as feedstock to produce Li-ion battery cathodes — and a manganese silicate product used to make silico-manganese alloy, a critical input into steel manufacturing. We expect this partnership to progress to a binding MoU and a strategic alliance in the second half of 2023, subject to successful evaluation study outcomes and agreement to mutually acceptable commercial terms, in lieu of continuing to pursue an opportunity to build a new Project Zero Plant in India together with Epsilon Carbon as was previously envisioned under our March 2022 business collaboration MoU with Epsilon Carbon. There can be no assurance that we will enter into such binding MoU or definitive strategic alliance in a particular time period, or at all, or on terms similar to those set forth in the MoU, or that if such binding MoU or definitive strategic alliance are entered into by us or that the existing facility will be able to successfully process nodules in a particular time period,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551815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30"/>
          </w:cols>
          <w:pgMar w:left="670" w:top="1134" w:right="699" w:bottom="1440" w:gutter="0" w:footer="0" w:header="0"/>
        </w:sectPr>
      </w:pPr>
    </w:p>
    <w:bookmarkStart w:id="6" w:name="page7"/>
    <w:bookmarkEnd w:id="6"/>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59277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5927725"/>
                    </a:xfrm>
                    <a:prstGeom prst="rect">
                      <a:avLst/>
                    </a:prstGeom>
                    <a:noFill/>
                  </pic:spPr>
                </pic:pic>
              </a:graphicData>
            </a:graphic>
          </wp:anchor>
        </w:drawing>
        <w:t>We are currently focused on applying for our first exploitation contract from the ISA on the NORI Area D contract area and, subject to regulatory review by the ISA, intend to start commercial production by end of 2024 / start of 2025. To reach our objective and initiate commercial production, we are: (i) defining our resource and project economics, (ii) developing and testing an offshore nodule collection system, (iii) assessing the environmental, social and governance impacts of offshore nodule collection, and (iv) developing and testing onshore technology and systems to process collected polymetallic nodules into a manganese silicate product, and an intermediate nickel-copper-cobalt matte product and/or end-products like nickel and cobalt sulfates, and copper cathode.</w:t>
      </w:r>
    </w:p>
    <w:p>
      <w:pPr>
        <w:spacing w:after="0" w:line="17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are still in the exploration phase and have not yet declared mineral reserves. We have yet to obtain any exploitation contracts from the ISA to commence commercial scale polymetallic nodule collection in the CCZ nor have we obtained the applicable environmental and other permits required to build and operate commercial scale polymetallic nodule processing and refining plants on land.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Statements Regarding the NORI Initial Assessment and TOML Mineral Resource Statement</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estimated the size and quality of our resource in the NORI and TOML contracted areas in our SEC Regulation S-K (subpart 1300), referred to herein as the SEC Mining Rules, compliant Technical Report Summary - Initial Assessment, of the NORI Property, Clarion-Clipperton Zone, Pacific Ocean dated March 17, 2021, or the NORI Initial Assessment, and Technical Report Summary - TOML Mineral Resource, Clarion-Clipperton Zone, Pacific Ocean dated March 26, 2021, or the TOML Mineral Resource Statement, respectively, prepared by AMC Consultants Ltd., each of which is filed as an exhibit to the registration statement to which this prospectus forms a part. We plan to continue to estimate our resource in the NORI and TOML areas and develop the project economics. The initial assessment included in the NORI Initial Assessment Report is a conceptual study of the potential viability of mineral resources in NORI Area D. This initial assessment indicates that development of the mineral resource in NORI Area D is potentially technically and economically viable; however, due to the preliminary nature of project planning and design, and the untested nature of the specific seafloor production systems at a commercial scale, economic viability has not yet been demonstrated.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NORI Initial Assessment and TOML Mineral Resource Statement do not include the conversion of mineral resources to mineral reserves.</w:t>
      </w:r>
    </w:p>
    <w:p>
      <w:pPr>
        <w:spacing w:after="0" w:line="248"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As used in this prospectus or in the applicable report summary, the terms “mineral resource,” “measured mineral resource,” “indicated mineral resource” and “inferred mineral resource”, as applicable, are defined and used in accordance with the SEC Mining Rules.</w:t>
      </w:r>
    </w:p>
    <w:p>
      <w:pPr>
        <w:spacing w:after="0" w:line="14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You are specifically cautioned not to assume that any part or all of the mineral deposits in these categories will ever be converted into mineral reserves, as defined by the SEC. You are also cautioned that mineral resources do not have demonstrated economic value. Information concerning our mineral properties in the NORI and TOML Technical Report Summaries and in this prospectus includes information that has been prepared in accordance with the requirements of the SEC Mining Rules. Under SEC standards, mineralization, such as mineral resources, may not be classified as a “reserve” unless the determination has been made that the mineralization would be economically and legally produced or extracted at the time of the reserve determination. Inferred mineral resources have a high degree of uncertainty as to their existence and to whether they can be 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20"/>
          </w:cols>
          <w:pgMar w:left="680" w:top="1138" w:right="699" w:bottom="1440" w:gutter="0" w:footer="0" w:header="0"/>
        </w:sectPr>
      </w:pPr>
    </w:p>
    <w:bookmarkStart w:id="7" w:name="page8"/>
    <w:bookmarkEnd w:id="7"/>
    <w:p>
      <w:pPr>
        <w:ind w:right="5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38703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3870325"/>
                    </a:xfrm>
                    <a:prstGeom prst="rect">
                      <a:avLst/>
                    </a:prstGeom>
                    <a:noFill/>
                  </pic:spPr>
                </pic:pic>
              </a:graphicData>
            </a:graphic>
          </wp:anchor>
        </w:drawing>
        <w:t>Likewise, you are cautioned not to assume that all or any part of measured or indicated mineral resources will ever be upgraded to mineral reserves.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additional information related to our business and operations, please refer to the reports incorporated herein by reference, as described under the caption “Incorporation of Documents by Reference” on page 42 of this prospectus.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Corporate Information</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The Company was originally known as Sustainable Opportunities Acquisition Corp., or SOAC. On September 9, 2021, or the Closing Date, we consummated a business combination, or the Business Combination, pursuant to the terms of the business combination agreement, or the Business Combination Agreement, dated as of March 4, 2021, by and among SOAC, 1291924 B.C. Unlimited Liability Company, an unlimited liability company existing under the laws of British Columbia, Canada, and DeepGreen Metals Inc., a company existing under the laws of British Columbia, Canada, or DeepGreen. In connection with the closing of the Business Combination, or the Closing, SOAC changed its name to “TMC the metals company Inc.” Our principal executive offices are located at 595 Howe Street, 10th Floor, Vancouver, British Columbia V6C 2T5, and our telephone number is (574) 252-9333. Our website address is </w:t>
      </w:r>
      <w:r>
        <w:rPr>
          <w:rFonts w:ascii="Arial" w:cs="Arial" w:eastAsia="Arial" w:hAnsi="Arial"/>
          <w:sz w:val="17"/>
          <w:szCs w:val="17"/>
          <w:i w:val="1"/>
          <w:iCs w:val="1"/>
          <w:color w:val="auto"/>
        </w:rPr>
        <w:t>www.metals.co</w:t>
      </w:r>
      <w:r>
        <w:rPr>
          <w:rFonts w:ascii="Arial" w:cs="Arial" w:eastAsia="Arial" w:hAnsi="Arial"/>
          <w:sz w:val="17"/>
          <w:szCs w:val="17"/>
          <w:color w:val="auto"/>
        </w:rPr>
        <w:t>. The information contained on, or that can be accessed through, our website is not and shall not be deemed to be part of this prospectus. We have included our website address in this prospectus solely as an inactive textual reference. Investors should not rely on any such information in deciding whether to purchase our Common Shares or other securities.</w:t>
      </w:r>
    </w:p>
    <w:p>
      <w:pPr>
        <w:spacing w:after="0" w:line="18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All service marks, trademarks and trade names appearing in this prospectus are the property of their respective owners. We do not intend our use or display of other companies’ trade names, trademarks or service marks to imply a relationship with, or endorsement or sponsorship of us by, these other companies. Solely for convenience, trademarks and tradenames referred to in this prospectus may appear without the ® or ™ symbols, but such references are not intended to indicate in any way that we will not assert, to the fullest extent under applicable law, our rights, or that the applicable owner will not assert its rights, to these trademarks and tradenames.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0"/>
          </w:cols>
          <w:pgMar w:left="680" w:top="1138" w:right="679" w:bottom="1440" w:gutter="0" w:footer="0" w:header="0"/>
        </w:sectPr>
      </w:pPr>
    </w:p>
    <w:bookmarkStart w:id="8" w:name="page9"/>
    <w:bookmarkEnd w:id="8"/>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Common Shares</w:t>
      </w:r>
    </w:p>
    <w:p>
      <w:pPr>
        <w:spacing w:after="0" w:line="18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Common Shares to be issued upon exercise of all Private Placement Warrants and Public Warrants</w:t>
      </w:r>
    </w:p>
    <w:p>
      <w:pPr>
        <w:spacing w:after="0" w:line="121"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Common Shares outstanding prior to exercise of all Warrants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-3133090</wp:posOffset>
            </wp:positionH>
            <wp:positionV relativeFrom="paragraph">
              <wp:posOffset>-266700</wp:posOffset>
            </wp:positionV>
            <wp:extent cx="7136130" cy="68103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6810375"/>
                    </a:xfrm>
                    <a:prstGeom prst="rect">
                      <a:avLst/>
                    </a:prstGeom>
                    <a:noFill/>
                  </pic:spPr>
                </pic:pic>
              </a:graphicData>
            </a:graphic>
          </wp:anchor>
        </w:drawing>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TMC the metals company Inc.</w:t>
      </w:r>
    </w:p>
    <w:p>
      <w:pPr>
        <w:spacing w:after="0" w:line="200" w:lineRule="exact"/>
        <w:rPr>
          <w:sz w:val="20"/>
          <w:szCs w:val="20"/>
          <w:color w:val="auto"/>
        </w:rPr>
      </w:pPr>
    </w:p>
    <w:p>
      <w:pPr>
        <w:spacing w:after="0" w:line="3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24,500,000 shares</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266,812,131 shares</w:t>
      </w:r>
      <w:r>
        <w:rPr>
          <w:rFonts w:ascii="Arial" w:cs="Arial" w:eastAsia="Arial" w:hAnsi="Arial"/>
          <w:sz w:val="29"/>
          <w:szCs w:val="29"/>
          <w:color w:val="auto"/>
          <w:vertAlign w:val="superscript"/>
        </w:rPr>
        <w:t>(1)</w:t>
      </w:r>
    </w:p>
    <w:p>
      <w:pPr>
        <w:spacing w:after="0" w:line="270" w:lineRule="exact"/>
        <w:rPr>
          <w:sz w:val="20"/>
          <w:szCs w:val="20"/>
          <w:color w:val="auto"/>
        </w:rPr>
      </w:pPr>
    </w:p>
    <w:p>
      <w:pPr>
        <w:ind w:left="40" w:right="320"/>
        <w:spacing w:after="0" w:line="263" w:lineRule="auto"/>
        <w:rPr>
          <w:sz w:val="20"/>
          <w:szCs w:val="20"/>
          <w:color w:val="auto"/>
        </w:rPr>
      </w:pPr>
      <w:r>
        <w:rPr>
          <w:rFonts w:ascii="Arial" w:cs="Arial" w:eastAsia="Arial" w:hAnsi="Arial"/>
          <w:sz w:val="18"/>
          <w:szCs w:val="18"/>
          <w:color w:val="auto"/>
        </w:rPr>
        <w:t>We will receive up to an aggregate of approximately $281,750,000 from the exercise of all 24,500,000 Warrants, assuming the exercise in full of such Warrants for cash.</w:t>
      </w:r>
    </w:p>
    <w:p>
      <w:pPr>
        <w:spacing w:after="0" w:line="184" w:lineRule="exact"/>
        <w:rPr>
          <w:sz w:val="20"/>
          <w:szCs w:val="20"/>
          <w:color w:val="auto"/>
        </w:rPr>
      </w:pPr>
    </w:p>
    <w:p>
      <w:pPr>
        <w:ind w:left="40"/>
        <w:spacing w:after="0" w:line="263" w:lineRule="auto"/>
        <w:rPr>
          <w:sz w:val="20"/>
          <w:szCs w:val="20"/>
          <w:color w:val="auto"/>
        </w:rPr>
      </w:pPr>
      <w:r>
        <w:rPr>
          <w:rFonts w:ascii="Arial" w:cs="Arial" w:eastAsia="Arial" w:hAnsi="Arial"/>
          <w:sz w:val="18"/>
          <w:szCs w:val="18"/>
          <w:color w:val="auto"/>
        </w:rPr>
        <w:t>Unless we inform you otherwise in a prospectus supplement or free writing prospectus, we intend to use the net proceeds from the exercise of such warrants for general corporate purposes.</w:t>
      </w:r>
    </w:p>
    <w:p>
      <w:pPr>
        <w:spacing w:after="0" w:line="200" w:lineRule="exact"/>
        <w:rPr>
          <w:sz w:val="20"/>
          <w:szCs w:val="20"/>
          <w:color w:val="auto"/>
        </w:rPr>
      </w:pPr>
    </w:p>
    <w:p>
      <w:pPr>
        <w:sectPr>
          <w:pgSz w:w="11900" w:h="16838" w:orient="portrait"/>
          <w:cols w:equalWidth="0" w:num="2">
            <w:col w:w="4340" w:space="160"/>
            <w:col w:w="5820"/>
          </w:cols>
          <w:pgMar w:left="760" w:top="918" w:right="819" w:bottom="1440" w:gutter="0" w:footer="0" w:header="0"/>
        </w:sectPr>
      </w:pPr>
    </w:p>
    <w:p>
      <w:pPr>
        <w:spacing w:after="0" w:line="155"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b w:val="1"/>
          <w:bCs w:val="1"/>
          <w:color w:val="auto"/>
        </w:rPr>
        <w:t>Resale of Common Shares and Warrants</w:t>
      </w:r>
      <w:r>
        <w:rPr>
          <w:sz w:val="20"/>
          <w:szCs w:val="20"/>
          <w:color w:val="auto"/>
        </w:rPr>
        <w:tab/>
      </w:r>
      <w:r>
        <w:rPr>
          <w:rFonts w:ascii="Arial" w:cs="Arial" w:eastAsia="Arial" w:hAnsi="Arial"/>
          <w:sz w:val="16"/>
          <w:szCs w:val="16"/>
          <w:color w:val="auto"/>
        </w:rPr>
        <w:t>248,779,861 Common Shares</w:t>
      </w:r>
    </w:p>
    <w:p>
      <w:pPr>
        <w:sectPr>
          <w:pgSz w:w="11900" w:h="16838" w:orient="portrait"/>
          <w:cols w:equalWidth="0" w:num="1">
            <w:col w:w="10320"/>
          </w:cols>
          <w:pgMar w:left="760" w:top="918" w:right="819" w:bottom="1440" w:gutter="0" w:footer="0" w:header="0"/>
          <w:type w:val="continuous"/>
        </w:sectPr>
      </w:pP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Common Shares offered by the Selling Securityholders (representing the Founder Shares, Common Shares that may be issued upon exercise of the Private Placement Warrants, Common Shares issued in the PIPE Financing, Common Shares issued or issuable to certain shareholders of DeepGreen pursuant to the Business Combination Agreement, including Common Shares that may be issued upon the conversion of DeepGreen Earnout Shares, Common Shares issuable upon the conversion of Sponsor Earnout Shares and Common Shares issued to certain service providers to DeepGreen)</w:t>
      </w:r>
    </w:p>
    <w:p>
      <w:pPr>
        <w:spacing w:after="0" w:line="353" w:lineRule="exact"/>
        <w:rPr>
          <w:sz w:val="20"/>
          <w:szCs w:val="20"/>
          <w:color w:val="auto"/>
        </w:rPr>
      </w:pPr>
    </w:p>
    <w:p>
      <w:pPr>
        <w:ind w:right="660"/>
        <w:spacing w:after="0" w:line="347" w:lineRule="auto"/>
        <w:rPr>
          <w:sz w:val="20"/>
          <w:szCs w:val="20"/>
          <w:color w:val="auto"/>
        </w:rPr>
      </w:pPr>
      <w:r>
        <w:rPr>
          <w:rFonts w:ascii="Arial" w:cs="Arial" w:eastAsia="Arial" w:hAnsi="Arial"/>
          <w:sz w:val="16"/>
          <w:szCs w:val="16"/>
          <w:b w:val="1"/>
          <w:bCs w:val="1"/>
          <w:color w:val="auto"/>
        </w:rPr>
        <w:t>Warrants offered by the Selling Securityholders (representing the Private Placement Warrants)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price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9,500,000 Private Placement Warrants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$11.50 per share, subject to adjustment as described herein</w:t>
      </w:r>
    </w:p>
    <w:p>
      <w:pPr>
        <w:spacing w:after="0" w:line="18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Warrants are redeemable in certain circumstances. See “</w:t>
      </w:r>
      <w:r>
        <w:rPr>
          <w:rFonts w:ascii="Arial" w:cs="Arial" w:eastAsia="Arial" w:hAnsi="Arial"/>
          <w:sz w:val="18"/>
          <w:szCs w:val="18"/>
          <w:i w:val="1"/>
          <w:iCs w:val="1"/>
          <w:color w:val="auto"/>
        </w:rPr>
        <w:t>Description of</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 Warrants</w:t>
      </w:r>
      <w:r>
        <w:rPr>
          <w:rFonts w:ascii="Arial" w:cs="Arial" w:eastAsia="Arial" w:hAnsi="Arial"/>
          <w:sz w:val="18"/>
          <w:szCs w:val="18"/>
          <w:color w:val="auto"/>
        </w:rPr>
        <w:t>” for further discussion.</w:t>
      </w:r>
    </w:p>
    <w:p>
      <w:pPr>
        <w:spacing w:after="0" w:line="130"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We will not receive any proceeds from the sale of the Common Shares and Warrants to be offered by the Selling Securityholders. With respect to Common Shares underlying the Warrants, we will not receive any proceeds from such shares except with respect to amounts received by us upon exercise of such Warrants to the extent such Warrants are exercised for cash.</w:t>
      </w:r>
    </w:p>
    <w:p>
      <w:pPr>
        <w:spacing w:after="0" w:line="200" w:lineRule="exact"/>
        <w:rPr>
          <w:sz w:val="20"/>
          <w:szCs w:val="20"/>
          <w:color w:val="auto"/>
        </w:rPr>
      </w:pPr>
    </w:p>
    <w:p>
      <w:pPr>
        <w:sectPr>
          <w:pgSz w:w="11900" w:h="16838" w:orient="portrait"/>
          <w:cols w:equalWidth="0" w:num="2">
            <w:col w:w="4340" w:space="200"/>
            <w:col w:w="5780"/>
          </w:cols>
          <w:pgMar w:left="760" w:top="918" w:right="81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51435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20"/>
          </w:cols>
          <w:pgMar w:left="760" w:top="918" w:right="819" w:bottom="1440" w:gutter="0" w:footer="0" w:header="0"/>
          <w:type w:val="continuous"/>
        </w:sectPr>
      </w:pPr>
    </w:p>
    <w:bookmarkStart w:id="9" w:name="page10"/>
    <w:bookmarkEnd w:id="9"/>
    <w:p>
      <w:pPr>
        <w:ind w:left="90"/>
        <w:spacing w:after="0"/>
        <w:rPr>
          <w:sz w:val="20"/>
          <w:szCs w:val="20"/>
          <w:color w:val="auto"/>
        </w:rPr>
      </w:pPr>
      <w:r>
        <w:rPr>
          <w:rFonts w:ascii="Arial" w:cs="Arial" w:eastAsia="Arial" w:hAnsi="Arial"/>
          <w:sz w:val="16"/>
          <w:szCs w:val="16"/>
          <w:b w:val="1"/>
          <w:bCs w:val="1"/>
          <w:color w:val="auto"/>
        </w:rPr>
        <w:t>Ticker symbols</w:t>
      </w:r>
    </w:p>
    <w:p>
      <w:pPr>
        <w:spacing w:after="0" w:line="20" w:lineRule="exact"/>
        <w:rPr>
          <w:sz w:val="20"/>
          <w:szCs w:val="20"/>
          <w:color w:val="auto"/>
        </w:rPr>
      </w:pPr>
      <w:r>
        <w:rPr>
          <w:sz w:val="20"/>
          <w:szCs w:val="20"/>
          <w:color w:val="auto"/>
        </w:rPr>
        <w:br w:type="column"/>
      </w:r>
    </w:p>
    <w:p>
      <w:pPr>
        <w:ind w:right="680"/>
        <w:spacing w:after="0" w:line="277" w:lineRule="auto"/>
        <w:rPr>
          <w:sz w:val="20"/>
          <w:szCs w:val="20"/>
          <w:color w:val="auto"/>
        </w:rPr>
      </w:pPr>
      <w:r>
        <w:rPr>
          <w:rFonts w:ascii="Arial" w:cs="Arial" w:eastAsia="Arial" w:hAnsi="Arial"/>
          <w:sz w:val="18"/>
          <w:szCs w:val="18"/>
          <w:color w:val="auto"/>
        </w:rPr>
        <w:t>“TMC” and “TMCWW” for the Common Shares and Public Warrants,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-3158490</wp:posOffset>
            </wp:positionH>
            <wp:positionV relativeFrom="paragraph">
              <wp:posOffset>-458470</wp:posOffset>
            </wp:positionV>
            <wp:extent cx="7136130" cy="11188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1118870"/>
                    </a:xfrm>
                    <a:prstGeom prst="rect">
                      <a:avLst/>
                    </a:prstGeom>
                    <a:noFill/>
                  </pic:spPr>
                </pic:pic>
              </a:graphicData>
            </a:graphic>
          </wp:anchor>
        </w:drawing>
      </w:r>
    </w:p>
    <w:p>
      <w:pPr>
        <w:spacing w:after="0" w:line="130" w:lineRule="exact"/>
        <w:rPr>
          <w:sz w:val="20"/>
          <w:szCs w:val="20"/>
          <w:color w:val="auto"/>
        </w:rPr>
      </w:pPr>
    </w:p>
    <w:p>
      <w:pPr>
        <w:sectPr>
          <w:pgSz w:w="11900" w:h="16838" w:orient="portrait"/>
          <w:cols w:equalWidth="0" w:num="2">
            <w:col w:w="3910" w:space="720"/>
            <w:col w:w="5780"/>
          </w:cols>
          <w:pgMar w:left="670" w:top="1188" w:right="819" w:bottom="1440" w:gutter="0" w:footer="0" w:header="0"/>
        </w:sectPr>
      </w:pPr>
    </w:p>
    <w:p>
      <w:pPr>
        <w:ind w:left="330" w:hanging="330"/>
        <w:spacing w:after="0" w:line="286" w:lineRule="auto"/>
        <w:tabs>
          <w:tab w:leader="none" w:pos="33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Represents the number of Common Shares outstanding as of January 31, 2023. The number of issued and outstanding Common Shares does not include the Common Shares reserved for issuance under the TMC Incentive Equity Plan or the TMC 2021 Employee Stock Purchase Plan, or reserved for issuance upon conversion of the Special Shares (as defined below).</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2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10"/>
          </w:cols>
          <w:pgMar w:left="670" w:top="1188" w:right="819" w:bottom="1440" w:gutter="0" w:footer="0" w:header="0"/>
          <w:type w:val="continuous"/>
        </w:sectPr>
      </w:pPr>
    </w:p>
    <w:bookmarkStart w:id="10" w:name="page11"/>
    <w:bookmarkEnd w:id="10"/>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Investing in our securities involves a high degree of risk. You should carefully consider the risks and uncertainties and all other information, documents or reports included or incorporated by reference in this prospectus and, if applicable, any prospectus supplement or other offering materials, including the risks and uncertainties discussed under “Risk Factors” in our most recent Annual Report on Form 10-K filed with the SEC, which are incorporated by reference in this prospectus, and any updates to those risk factors included from time to time in our periodic and current reports filed with the SEC and incorporated by reference in this prospectus. Our business, financial condition or results of operations could be harmed by any of these risks. As a result, you could lose some or all of your investment in our securities. Additional risks not currently known to us or other factors not perceived by us to present significant risks to our business at this time also may impair our business operations.</w:t>
      </w: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prospectus and the documents incorporated by reference in this prospectus include forward-looking statements within the meaning of Section 27A of the Securities Act of 1933, as amended, or the Securities Act, and Section 21E of the Securities Exchange Act of 1934, as amended, or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most recent Annual Report on Form 10-K, as revised or supplemented by our subsequent Quarterly Reports on Form 10-Q or our Current Reports on Form 8-K, entitled “Business,” “Risk Factors,” and “Management’s Discussion and Analysis of Financial Condition and Results of Operations,” as well as other sections in this prospectus and the other documents or reports incorporated by reference in this prospectus, discuss some of the factors that could contribute to these differences. These forward-looking statements include, among other things, statements about:</w:t>
      </w:r>
    </w:p>
    <w:p>
      <w:pPr>
        <w:spacing w:after="0" w:line="18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use of the net proceeds from this offering;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commercial and technical feasibility of seafloor polymetallic nodule collection and processing;</w:t>
      </w:r>
    </w:p>
    <w:p>
      <w:pPr>
        <w:spacing w:after="0" w:line="225" w:lineRule="exact"/>
        <w:rPr>
          <w:rFonts w:ascii="Arial" w:cs="Arial" w:eastAsia="Arial" w:hAnsi="Arial"/>
          <w:sz w:val="18"/>
          <w:szCs w:val="18"/>
          <w:color w:val="auto"/>
        </w:rPr>
      </w:pPr>
    </w:p>
    <w:p>
      <w:pPr>
        <w:ind w:left="660" w:right="12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 including the timing and expectations with respect to our receipt of exploitation contracts and our commercialization plans;</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supply and demand for battery metals and battery cathode feedstocks, copper cathode and manganese ores;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future prices of battery metals and battery cathode feedstocks, copper cathode and manganese ores;</w:t>
      </w:r>
    </w:p>
    <w:p>
      <w:pPr>
        <w:spacing w:after="0" w:line="225"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and content of ISA’s final exploitation regulations that will create the legal and technical framework for exploitation of polymetallic nodules in the CCZ;</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government regulation of mineral extraction from the deep seafloor and changes in mining laws and regulations;</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technical, operational, environmental, social and governance risks of developing and deploying equipment to collect polymetallic nodules at sea, and to process such nodules on land;</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sources and timing of potential revenue as well as the timing and amount of estimated future production, costs of production, other expenses, capital expenditures and requirements for additional capital;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flow provided by operating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activities of our partners under our key strategic relationships;</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sufficiency of our cash on hand to meet our working capital and capital expenditure requirements, the need for additional financing and our ability to continue as a going concern;</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 w:name="page13"/>
    <w:bookmarkEnd w:id="12"/>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raise financing in the future, the nature of such financings and our plans with respect thereto;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litigation to which we are a party;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claims and limitations on insurance coverage;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plans to mitigate our material weaknesses in our internal control over financial reporting;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restatement of our financial statements;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geological, metallurgical and geotechnical studies and opinions;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mineral resource estimates;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status as an emerging growth company, non-reporting Canadian issuer and passive foreign investment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infrastructure risks;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dependence on key management personnel and executive officers;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and market conditions beyond our control;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pandemics (including from COVID-19) on our business;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and in the documents incorporated by reference in this prospectus, particularly in the “Risk Factors” section, that we believe could cause actual results or events to differ materially from the forward-looking statements that we make. For a summary of such factors, please refer to the section entitled “Risk Factors” in this prospectus, as updated and supplemented by the discussion of risks and uncertainties under “Risk Factors” contained in any supplements to this prospectus and in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6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All of the Common Shares and Warrants offered by the Selling Securityholders pursuant to this prospectus will be sold by the Selling Securityholders for their respective accounts. We will not receive any of the proceeds from these sales.</w:t>
      </w:r>
    </w:p>
    <w:p>
      <w:pPr>
        <w:spacing w:after="0" w:line="17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will receive up to an aggregate of approximately $281,750,000 from the exercise of the Warrants, assuming the exercise in full of all of the Warrants for cash. We expect to use the net proceeds from the exercise of the Warrants for general corporate purposes. We will have broad discretion over the use of proceeds from the exercise of the Warrants. There is no assurance that the holders of the Warrants will elect to exercise any or all of such Warrants. To the extent that the Warrants are exercised on a “cashless basis,” the amount of cash we would receive from the exercise of the Warrants will decrease.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This prospectus relates to the possible resale by the Selling Securityholders of up to 248,779,861 of our Common Shares and up to 9,500,000 Private Placement Warrants. The Selling Securityholders may from time to time offer and sell any or all of the Common Shares and warrants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Common Shares or Private Placement Warrants other than through a public sale. We cannot advise you as to whether the Selling Securityholders will in fact sell any or all of such Common Shares or warrants. In addition, the Selling Securityholders may sell, transfer or otherwise dispose of, at any time and from time to time, the Common Shares and warrants in transactions exempt from the prospectus or registration requirements of the Securities Act or applicable Canadian securities law after the date of this prospectus. For purposes of this table, we have assumed that the Selling Securityholders will have sold all of the securities covered by this prospectus upon the completion of the offering.</w:t>
      </w:r>
    </w:p>
    <w:p>
      <w:pPr>
        <w:spacing w:after="0" w:line="16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following table is prepared based on information provided to us by the Selling Securityholders. It sets forth the name and address of each of the Selling Securityholders, the aggregate number of Common Shares and Private Placement Warrants that the Selling Securityholders may offer pursuant to this prospectus, and the beneficial ownership of the Selling Securityholders both before and after the offering. We have based the percentage ownership prior to this offering on 266,812,131 Common Shares and 9,500,000 Private Placement Warrants outstanding, in each case as of January 31, 2023. In calculating percentages of Common Shares owned by a particular Selling Securityholder, we treated as outstanding the number of Common Shares issuable upon exercise of that particular Selling Securityholder’s warrants or options, if any, and did not assume the exercise of any other Selling Securityholder’s warrants or options. The following tables do not reflect the beneficial ownership of any Common Shares issuable upon exercise of warrants, options or Special Shares unless such securities are exercisable or convertible within 60 days of January 31, 2023.</w:t>
      </w:r>
    </w:p>
    <w:p>
      <w:pPr>
        <w:spacing w:after="0" w:line="16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have determined beneficial ownership in accordance with the rules of the SEC and the information is not necessarily indicative of beneficial ownership for any other purpose. The Common Shares issuable upon conversion of the Special Shares are not beneficially owned by any of the Selling Securityholders and are excluded from the beneficial ownership columns in the table below since the conversions of such Special Shares are subject to the Common Share trading price thresholds described herein. We have included a separate column for the Common Shares issuable upon conversion of the Special Shares. Unless otherwise indicated below, to our knowledge, the persons and entities named in the tables have sole voting and sole investment power with respect to all securities that they beneficially own, subject to community property laws where applicable.</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Selling Securityholder information for each additional Selling Securityholder, if any, will be set forth by prospectus supplement to the extent required prior to the time of any offer or sale of such Selling Securityholder’s securities pursuant to this prospectus. Any prospectus supplement may add, update, substitute, or change the information contained in this prospectus, including the identity of each Selling Securityholder and the number of securities registered on its behalf. A Selling Securityholder may sell or otherwise transfer all, some or none of such securities in this offering. See “</w:t>
      </w:r>
      <w:r>
        <w:rPr>
          <w:rFonts w:ascii="Arial" w:cs="Arial" w:eastAsia="Arial" w:hAnsi="Arial"/>
          <w:sz w:val="18"/>
          <w:szCs w:val="18"/>
          <w:i w:val="1"/>
          <w:iCs w:val="1"/>
          <w:color w:val="auto"/>
        </w:rPr>
        <w:t>Plan of</w:t>
      </w:r>
      <w:r>
        <w:rPr>
          <w:rFonts w:ascii="Arial" w:cs="Arial" w:eastAsia="Arial" w:hAnsi="Arial"/>
          <w:sz w:val="18"/>
          <w:szCs w:val="18"/>
          <w:color w:val="auto"/>
        </w:rPr>
        <w:t xml:space="preserve"> </w:t>
      </w:r>
      <w:r>
        <w:rPr>
          <w:rFonts w:ascii="Arial" w:cs="Arial" w:eastAsia="Arial" w:hAnsi="Arial"/>
          <w:sz w:val="18"/>
          <w:szCs w:val="18"/>
          <w:i w:val="1"/>
          <w:iCs w:val="1"/>
          <w:color w:val="auto"/>
        </w:rPr>
        <w:t>Distribution</w:t>
      </w:r>
      <w:r>
        <w:rPr>
          <w:rFonts w:ascii="Arial" w:cs="Arial" w:eastAsia="Arial" w:hAnsi="Arial"/>
          <w:sz w:val="18"/>
          <w:szCs w:val="18"/>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7"/>
              </w:rPr>
              <w:t>Private Placement</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2"/>
              </w:rPr>
              <w:t>Shares</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Number of</w:t>
            </w:r>
          </w:p>
        </w:tc>
        <w:tc>
          <w:tcPr>
            <w:tcW w:w="1660" w:type="dxa"/>
            <w:vAlign w:val="bottom"/>
            <w:gridSpan w:val="5"/>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Common Shares</w:t>
            </w:r>
          </w:p>
        </w:tc>
        <w:tc>
          <w:tcPr>
            <w:tcW w:w="144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Warrants</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Issuable</w:t>
            </w:r>
          </w:p>
        </w:tc>
        <w:tc>
          <w:tcPr>
            <w:tcW w:w="1640" w:type="dxa"/>
            <w:vAlign w:val="bottom"/>
            <w:gridSpan w:val="5"/>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Private Placement</w:t>
            </w: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Number of</w:t>
            </w: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Private</w:t>
            </w:r>
          </w:p>
        </w:tc>
        <w:tc>
          <w:tcPr>
            <w:tcW w:w="1660" w:type="dxa"/>
            <w:vAlign w:val="bottom"/>
            <w:gridSpan w:val="5"/>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Beneficially Owned</w:t>
            </w:r>
          </w:p>
        </w:tc>
        <w:tc>
          <w:tcPr>
            <w:tcW w:w="144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Beneficially</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4"/>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Common Shares</w:t>
            </w: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Upon</w:t>
            </w:r>
          </w:p>
        </w:tc>
        <w:tc>
          <w:tcPr>
            <w:tcW w:w="1640" w:type="dxa"/>
            <w:vAlign w:val="bottom"/>
            <w:gridSpan w:val="5"/>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Warrants Beneficially</w:t>
            </w: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Common</w:t>
            </w: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Placement</w:t>
            </w:r>
          </w:p>
        </w:tc>
        <w:tc>
          <w:tcPr>
            <w:tcW w:w="1660" w:type="dxa"/>
            <w:vAlign w:val="bottom"/>
            <w:gridSpan w:val="5"/>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After the Offered</w:t>
            </w:r>
          </w:p>
        </w:tc>
        <w:tc>
          <w:tcPr>
            <w:tcW w:w="144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Owned After the</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4"/>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Beneficially Owned</w:t>
            </w: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Conversion</w:t>
            </w:r>
          </w:p>
        </w:tc>
        <w:tc>
          <w:tcPr>
            <w:tcW w:w="1640" w:type="dxa"/>
            <w:vAlign w:val="bottom"/>
            <w:gridSpan w:val="5"/>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Owned prior to this</w:t>
            </w: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2"/>
              </w:rPr>
              <w:t>Shares</w:t>
            </w: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Warrants</w:t>
            </w:r>
          </w:p>
        </w:tc>
        <w:tc>
          <w:tcPr>
            <w:tcW w:w="1660" w:type="dxa"/>
            <w:vAlign w:val="bottom"/>
            <w:gridSpan w:val="5"/>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Common Shares</w:t>
            </w:r>
          </w:p>
        </w:tc>
        <w:tc>
          <w:tcPr>
            <w:tcW w:w="144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Offered Warrants</w:t>
            </w:r>
          </w:p>
        </w:tc>
        <w:tc>
          <w:tcPr>
            <w:tcW w:w="0" w:type="dxa"/>
            <w:vAlign w:val="bottom"/>
          </w:tcPr>
          <w:p>
            <w:pPr>
              <w:spacing w:after="0"/>
              <w:rPr>
                <w:sz w:val="1"/>
                <w:szCs w:val="1"/>
                <w:color w:val="auto"/>
              </w:rPr>
            </w:pPr>
          </w:p>
        </w:tc>
      </w:tr>
      <w:tr>
        <w:trPr>
          <w:trHeight w:val="153"/>
        </w:trPr>
        <w:tc>
          <w:tcPr>
            <w:tcW w:w="1920" w:type="dxa"/>
            <w:vAlign w:val="bottom"/>
            <w:vMerge w:val="restart"/>
          </w:tcPr>
          <w:p>
            <w:pPr>
              <w:ind w:left="280"/>
              <w:spacing w:after="0"/>
              <w:rPr>
                <w:sz w:val="20"/>
                <w:szCs w:val="20"/>
                <w:color w:val="auto"/>
              </w:rPr>
            </w:pPr>
            <w:r>
              <w:rPr>
                <w:rFonts w:ascii="Arial" w:cs="Arial" w:eastAsia="Arial" w:hAnsi="Arial"/>
                <w:sz w:val="13"/>
                <w:szCs w:val="13"/>
                <w:b w:val="1"/>
                <w:bCs w:val="1"/>
                <w:color w:val="auto"/>
              </w:rPr>
              <w:t>Selling Securityholders</w:t>
            </w:r>
            <w:r>
              <w:rPr>
                <w:rFonts w:ascii="Arial" w:cs="Arial" w:eastAsia="Arial" w:hAnsi="Arial"/>
                <w:sz w:val="20"/>
                <w:szCs w:val="20"/>
                <w:color w:val="auto"/>
                <w:vertAlign w:val="superscript"/>
              </w:rPr>
              <w:t>(1)</w:t>
            </w:r>
          </w:p>
        </w:tc>
        <w:tc>
          <w:tcPr>
            <w:tcW w:w="120" w:type="dxa"/>
            <w:vAlign w:val="bottom"/>
            <w:vMerge w:val="restart"/>
          </w:tcPr>
          <w:p>
            <w:pPr>
              <w:spacing w:after="0"/>
              <w:rPr>
                <w:sz w:val="13"/>
                <w:szCs w:val="13"/>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9"/>
              </w:rPr>
              <w:t>Prior to this Offering</w:t>
            </w:r>
          </w:p>
        </w:tc>
        <w:tc>
          <w:tcPr>
            <w:tcW w:w="24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of Special</w:t>
            </w:r>
          </w:p>
        </w:tc>
        <w:tc>
          <w:tcPr>
            <w:tcW w:w="940" w:type="dxa"/>
            <w:vAlign w:val="bottom"/>
            <w:tcBorders>
              <w:bottom w:val="single" w:sz="8" w:color="auto"/>
            </w:tcBorders>
            <w:gridSpan w:val="3"/>
          </w:tcPr>
          <w:p>
            <w:pPr>
              <w:jc w:val="center"/>
              <w:ind w:left="417"/>
              <w:spacing w:after="0"/>
              <w:rPr>
                <w:sz w:val="20"/>
                <w:szCs w:val="20"/>
                <w:color w:val="auto"/>
              </w:rPr>
            </w:pPr>
            <w:r>
              <w:rPr>
                <w:rFonts w:ascii="Arial" w:cs="Arial" w:eastAsia="Arial" w:hAnsi="Arial"/>
                <w:sz w:val="13"/>
                <w:szCs w:val="13"/>
                <w:b w:val="1"/>
                <w:bCs w:val="1"/>
                <w:color w:val="auto"/>
                <w:w w:val="90"/>
              </w:rPr>
              <w:t>Offering</w:t>
            </w:r>
          </w:p>
        </w:tc>
        <w:tc>
          <w:tcPr>
            <w:tcW w:w="4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Being</w:t>
            </w: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Being</w:t>
            </w:r>
          </w:p>
        </w:tc>
        <w:tc>
          <w:tcPr>
            <w:tcW w:w="960" w:type="dxa"/>
            <w:vAlign w:val="bottom"/>
            <w:tcBorders>
              <w:bottom w:val="single" w:sz="8" w:color="auto"/>
            </w:tcBorders>
            <w:gridSpan w:val="3"/>
          </w:tcPr>
          <w:p>
            <w:pPr>
              <w:jc w:val="center"/>
              <w:ind w:left="437"/>
              <w:spacing w:after="0"/>
              <w:rPr>
                <w:sz w:val="20"/>
                <w:szCs w:val="20"/>
                <w:color w:val="auto"/>
              </w:rPr>
            </w:pPr>
            <w:r>
              <w:rPr>
                <w:rFonts w:ascii="Arial" w:cs="Arial" w:eastAsia="Arial" w:hAnsi="Arial"/>
                <w:sz w:val="13"/>
                <w:szCs w:val="13"/>
                <w:b w:val="1"/>
                <w:bCs w:val="1"/>
                <w:color w:val="auto"/>
                <w:w w:val="89"/>
              </w:rPr>
              <w:t>are Sold</w:t>
            </w:r>
          </w:p>
        </w:tc>
        <w:tc>
          <w:tcPr>
            <w:tcW w:w="5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9"/>
              </w:rPr>
              <w:t>are Sold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9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Shares</w:t>
            </w:r>
          </w:p>
        </w:tc>
        <w:tc>
          <w:tcPr>
            <w:tcW w:w="26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6"/>
              </w:rPr>
              <w:t>Percent</w:t>
            </w:r>
          </w:p>
        </w:tc>
        <w:tc>
          <w:tcPr>
            <w:tcW w:w="24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Shares</w:t>
            </w:r>
          </w:p>
        </w:tc>
        <w:tc>
          <w:tcPr>
            <w:tcW w:w="24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9"/>
              </w:rPr>
              <w:t>Warrants</w:t>
            </w:r>
          </w:p>
        </w:tc>
        <w:tc>
          <w:tcPr>
            <w:tcW w:w="2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6"/>
              </w:rPr>
              <w:t>Percent</w:t>
            </w:r>
          </w:p>
        </w:tc>
        <w:tc>
          <w:tcPr>
            <w:tcW w:w="22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Offered</w:t>
            </w:r>
          </w:p>
        </w:tc>
        <w:tc>
          <w:tcPr>
            <w:tcW w:w="2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Offered</w:t>
            </w:r>
          </w:p>
        </w:tc>
        <w:tc>
          <w:tcPr>
            <w:tcW w:w="2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Shares</w:t>
            </w:r>
          </w:p>
        </w:tc>
        <w:tc>
          <w:tcPr>
            <w:tcW w:w="2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3"/>
              </w:rPr>
              <w:t>Percent</w:t>
            </w:r>
          </w:p>
        </w:tc>
        <w:tc>
          <w:tcPr>
            <w:tcW w:w="2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2"/>
              </w:rPr>
              <w:t>Warrants</w:t>
            </w:r>
          </w:p>
        </w:tc>
        <w:tc>
          <w:tcPr>
            <w:tcW w:w="22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6"/>
              </w:rPr>
              <w:t>Percent</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920" w:type="dxa"/>
            <w:vAlign w:val="bottom"/>
            <w:shd w:val="clear" w:color="auto" w:fill="CCEEFF"/>
          </w:tcPr>
          <w:p>
            <w:pPr>
              <w:spacing w:after="0" w:line="169" w:lineRule="exact"/>
              <w:rPr>
                <w:sz w:val="20"/>
                <w:szCs w:val="20"/>
                <w:color w:val="auto"/>
              </w:rPr>
            </w:pPr>
            <w:r>
              <w:rPr>
                <w:rFonts w:ascii="Arial" w:cs="Arial" w:eastAsia="Arial" w:hAnsi="Arial"/>
                <w:sz w:val="12"/>
                <w:szCs w:val="12"/>
                <w:color w:val="auto"/>
              </w:rPr>
              <w:t>Gerard Barron</w:t>
            </w:r>
            <w:r>
              <w:rPr>
                <w:rFonts w:ascii="Arial" w:cs="Arial" w:eastAsia="Arial" w:hAnsi="Arial"/>
                <w:sz w:val="19"/>
                <w:szCs w:val="19"/>
                <w:color w:val="auto"/>
                <w:vertAlign w:val="superscript"/>
              </w:rPr>
              <w:t>(2)</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19,019,700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7.0%</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8,370,973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89,394</w:t>
            </w: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22,717,557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89,394</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4,762,510</w:t>
            </w: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tcPr>
          <w:p>
            <w:pPr>
              <w:spacing w:after="0" w:line="176" w:lineRule="exact"/>
              <w:rPr>
                <w:sz w:val="20"/>
                <w:szCs w:val="20"/>
                <w:color w:val="auto"/>
              </w:rPr>
            </w:pPr>
            <w:r>
              <w:rPr>
                <w:rFonts w:ascii="Arial" w:cs="Arial" w:eastAsia="Arial" w:hAnsi="Arial"/>
                <w:sz w:val="13"/>
                <w:szCs w:val="13"/>
                <w:color w:val="auto"/>
              </w:rPr>
              <w:t>Andrei Karkar</w:t>
            </w:r>
            <w:r>
              <w:rPr>
                <w:rFonts w:ascii="Arial" w:cs="Arial" w:eastAsia="Arial" w:hAnsi="Arial"/>
                <w:sz w:val="20"/>
                <w:szCs w:val="20"/>
                <w:color w:val="auto"/>
                <w:vertAlign w:val="superscript"/>
              </w:rPr>
              <w:t>(3)</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52,601,266</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19.7%</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23,341,299</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1,414,716</w:t>
            </w:r>
          </w:p>
        </w:tc>
        <w:tc>
          <w:tcPr>
            <w:tcW w:w="6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14.9%</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65,126,881</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1,414,716</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12,230,400</w:t>
            </w:r>
          </w:p>
        </w:tc>
        <w:tc>
          <w:tcPr>
            <w:tcW w:w="6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4.6%</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Paul Matysek</w:t>
            </w:r>
            <w:r>
              <w:rPr>
                <w:rFonts w:ascii="Arial" w:cs="Arial" w:eastAsia="Arial" w:hAnsi="Arial"/>
                <w:sz w:val="20"/>
                <w:szCs w:val="20"/>
                <w:color w:val="auto"/>
                <w:vertAlign w:val="superscript"/>
              </w:rPr>
              <w:t>(4)</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2,425,858</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720,326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1,943,083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584,720</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tcPr>
          <w:p>
            <w:pPr>
              <w:spacing w:after="0" w:line="176" w:lineRule="exact"/>
              <w:rPr>
                <w:sz w:val="20"/>
                <w:szCs w:val="20"/>
                <w:color w:val="auto"/>
              </w:rPr>
            </w:pPr>
            <w:r>
              <w:rPr>
                <w:rFonts w:ascii="Arial" w:cs="Arial" w:eastAsia="Arial" w:hAnsi="Arial"/>
                <w:sz w:val="13"/>
                <w:szCs w:val="13"/>
                <w:color w:val="auto"/>
              </w:rPr>
              <w:t>Brian Paes-Braga</w:t>
            </w:r>
            <w:r>
              <w:rPr>
                <w:rFonts w:ascii="Arial" w:cs="Arial" w:eastAsia="Arial" w:hAnsi="Arial"/>
                <w:sz w:val="20"/>
                <w:szCs w:val="20"/>
                <w:color w:val="auto"/>
                <w:vertAlign w:val="superscript"/>
              </w:rPr>
              <w:t>(5)</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4,699,324</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1.8%</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341,044</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919,975</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1,562,500</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04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Dr. Gregory Stone</w:t>
            </w:r>
            <w:r>
              <w:rPr>
                <w:rFonts w:ascii="Arial" w:cs="Arial" w:eastAsia="Arial" w:hAnsi="Arial"/>
                <w:sz w:val="20"/>
                <w:szCs w:val="20"/>
                <w:color w:val="auto"/>
                <w:vertAlign w:val="superscript"/>
              </w:rPr>
              <w:t>(6)</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1,485,599</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19,482</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52,558</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1,452,523</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tcPr>
          <w:p>
            <w:pPr>
              <w:spacing w:after="0" w:line="176" w:lineRule="exact"/>
              <w:rPr>
                <w:sz w:val="20"/>
                <w:szCs w:val="20"/>
                <w:color w:val="auto"/>
              </w:rPr>
            </w:pPr>
            <w:r>
              <w:rPr>
                <w:rFonts w:ascii="Arial" w:cs="Arial" w:eastAsia="Arial" w:hAnsi="Arial"/>
                <w:sz w:val="13"/>
                <w:szCs w:val="13"/>
                <w:color w:val="auto"/>
              </w:rPr>
              <w:t>Erika Ilves</w:t>
            </w:r>
            <w:r>
              <w:rPr>
                <w:rFonts w:ascii="Arial" w:cs="Arial" w:eastAsia="Arial" w:hAnsi="Arial"/>
                <w:sz w:val="20"/>
                <w:szCs w:val="20"/>
                <w:color w:val="auto"/>
                <w:vertAlign w:val="superscript"/>
              </w:rPr>
              <w:t>(7)</w:t>
            </w:r>
            <w:r>
              <w:rPr>
                <w:rFonts w:ascii="Arial" w:cs="Arial" w:eastAsia="Arial" w:hAnsi="Arial"/>
                <w:sz w:val="13"/>
                <w:szCs w:val="13"/>
                <w:color w:val="auto"/>
              </w:rPr>
              <w:t>f</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1,772,282</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127,890</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344,989</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1,524,501</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Craig Shesky</w:t>
            </w:r>
            <w:r>
              <w:rPr>
                <w:rFonts w:ascii="Arial" w:cs="Arial" w:eastAsia="Arial" w:hAnsi="Arial"/>
                <w:sz w:val="20"/>
                <w:szCs w:val="20"/>
                <w:color w:val="auto"/>
                <w:vertAlign w:val="superscript"/>
              </w:rPr>
              <w:t>(8)</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770,498</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181,887</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490,649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461,736</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tcPr>
          <w:p>
            <w:pPr>
              <w:spacing w:after="0" w:line="176" w:lineRule="exact"/>
              <w:rPr>
                <w:sz w:val="20"/>
                <w:szCs w:val="20"/>
                <w:color w:val="auto"/>
              </w:rPr>
            </w:pPr>
            <w:r>
              <w:rPr>
                <w:rFonts w:ascii="Arial" w:cs="Arial" w:eastAsia="Arial" w:hAnsi="Arial"/>
                <w:sz w:val="13"/>
                <w:szCs w:val="13"/>
                <w:color w:val="auto"/>
              </w:rPr>
              <w:t>Maersk Supply Service A/S</w:t>
            </w:r>
            <w:r>
              <w:rPr>
                <w:rFonts w:ascii="Arial" w:cs="Arial" w:eastAsia="Arial" w:hAnsi="Arial"/>
                <w:sz w:val="20"/>
                <w:szCs w:val="20"/>
                <w:color w:val="auto"/>
                <w:vertAlign w:val="superscript"/>
              </w:rPr>
              <w:t>(9)</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17,189,636</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6.4%</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12,265,560</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29,455,196</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2040" w:type="dxa"/>
            <w:vAlign w:val="bottom"/>
            <w:gridSpan w:val="2"/>
            <w:shd w:val="clear" w:color="auto" w:fill="CCEEFF"/>
          </w:tcPr>
          <w:p>
            <w:pPr>
              <w:spacing w:after="0" w:line="128" w:lineRule="exact"/>
              <w:rPr>
                <w:sz w:val="20"/>
                <w:szCs w:val="20"/>
                <w:color w:val="auto"/>
              </w:rPr>
            </w:pPr>
            <w:r>
              <w:rPr>
                <w:rFonts w:ascii="Arial" w:cs="Arial" w:eastAsia="Arial" w:hAnsi="Arial"/>
                <w:sz w:val="13"/>
                <w:szCs w:val="13"/>
                <w:color w:val="auto"/>
              </w:rPr>
              <w:t>JOZEM Pty Ltd as trustee of the</w:t>
            </w: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40" w:type="dxa"/>
            <w:vAlign w:val="bottom"/>
            <w:gridSpan w:val="2"/>
            <w:shd w:val="clear" w:color="auto" w:fill="CCEEFF"/>
          </w:tcPr>
          <w:p>
            <w:pPr>
              <w:spacing w:after="0" w:line="183" w:lineRule="exact"/>
              <w:rPr>
                <w:sz w:val="20"/>
                <w:szCs w:val="20"/>
                <w:color w:val="auto"/>
              </w:rPr>
            </w:pPr>
            <w:r>
              <w:rPr>
                <w:rFonts w:ascii="Arial" w:cs="Arial" w:eastAsia="Arial" w:hAnsi="Arial"/>
                <w:sz w:val="13"/>
                <w:szCs w:val="13"/>
                <w:color w:val="auto"/>
              </w:rPr>
              <w:t>O’Sullivan Family Trust No. 1</w:t>
            </w:r>
            <w:r>
              <w:rPr>
                <w:rFonts w:ascii="Arial" w:cs="Arial" w:eastAsia="Arial" w:hAnsi="Arial"/>
                <w:sz w:val="20"/>
                <w:szCs w:val="20"/>
                <w:color w:val="auto"/>
                <w:vertAlign w:val="superscript"/>
              </w:rPr>
              <w:t>(10)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575,110</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338,796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913,906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tcPr>
          <w:p>
            <w:pPr>
              <w:spacing w:after="0" w:line="176" w:lineRule="exact"/>
              <w:rPr>
                <w:sz w:val="20"/>
                <w:szCs w:val="20"/>
                <w:color w:val="auto"/>
              </w:rPr>
            </w:pPr>
            <w:r>
              <w:rPr>
                <w:rFonts w:ascii="Arial" w:cs="Arial" w:eastAsia="Arial" w:hAnsi="Arial"/>
                <w:sz w:val="13"/>
                <w:szCs w:val="13"/>
                <w:color w:val="auto"/>
              </w:rPr>
              <w:t>WTP Capital Corp.</w:t>
            </w:r>
            <w:r>
              <w:rPr>
                <w:rFonts w:ascii="Arial" w:cs="Arial" w:eastAsia="Arial" w:hAnsi="Arial"/>
                <w:sz w:val="20"/>
                <w:szCs w:val="20"/>
                <w:color w:val="auto"/>
                <w:vertAlign w:val="superscript"/>
              </w:rPr>
              <w:t>(11)</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57,893</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34,101</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91,994</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04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Valola Holdings Corp.</w:t>
            </w:r>
            <w:r>
              <w:rPr>
                <w:rFonts w:ascii="Arial" w:cs="Arial" w:eastAsia="Arial" w:hAnsi="Arial"/>
                <w:sz w:val="20"/>
                <w:szCs w:val="20"/>
                <w:color w:val="auto"/>
                <w:vertAlign w:val="superscript"/>
              </w:rPr>
              <w:t>(12)</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2,500,000</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1,535,004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1,535,004</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2,500,000</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2"/>
        </w:trPr>
        <w:tc>
          <w:tcPr>
            <w:tcW w:w="2040" w:type="dxa"/>
            <w:vAlign w:val="bottom"/>
            <w:gridSpan w:val="2"/>
          </w:tcPr>
          <w:p>
            <w:pPr>
              <w:spacing w:after="0"/>
              <w:rPr>
                <w:sz w:val="20"/>
                <w:szCs w:val="20"/>
                <w:color w:val="auto"/>
              </w:rPr>
            </w:pPr>
            <w:r>
              <w:rPr>
                <w:rFonts w:ascii="Arial" w:cs="Arial" w:eastAsia="Arial" w:hAnsi="Arial"/>
                <w:sz w:val="13"/>
                <w:szCs w:val="13"/>
                <w:color w:val="auto"/>
              </w:rPr>
              <w:t>Tayla Saad</w:t>
            </w:r>
            <w:r>
              <w:rPr>
                <w:rFonts w:ascii="Arial" w:cs="Arial" w:eastAsia="Arial" w:hAnsi="Arial"/>
                <w:sz w:val="20"/>
                <w:szCs w:val="20"/>
                <w:color w:val="auto"/>
                <w:vertAlign w:val="superscript"/>
              </w:rPr>
              <w:t>(13)</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1,023,143</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1,023,143</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49"/>
        </w:trPr>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7"/>
              </w:rPr>
              <w:t>Private Placement</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2"/>
              </w:rPr>
              <w:t>Shares</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Number of</w:t>
            </w:r>
          </w:p>
        </w:tc>
        <w:tc>
          <w:tcPr>
            <w:tcW w:w="1640" w:type="dxa"/>
            <w:vAlign w:val="bottom"/>
            <w:gridSpan w:val="5"/>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Common Shares</w:t>
            </w:r>
          </w:p>
        </w:tc>
        <w:tc>
          <w:tcPr>
            <w:tcW w:w="144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Warrants</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4"/>
              </w:rPr>
              <w:t>Issuable</w:t>
            </w:r>
          </w:p>
        </w:tc>
        <w:tc>
          <w:tcPr>
            <w:tcW w:w="1660" w:type="dxa"/>
            <w:vAlign w:val="bottom"/>
            <w:gridSpan w:val="5"/>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Private Placement</w:t>
            </w: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Number of</w:t>
            </w: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Private</w:t>
            </w:r>
          </w:p>
        </w:tc>
        <w:tc>
          <w:tcPr>
            <w:tcW w:w="1640" w:type="dxa"/>
            <w:vAlign w:val="bottom"/>
            <w:gridSpan w:val="5"/>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Beneficially Owned</w:t>
            </w:r>
          </w:p>
        </w:tc>
        <w:tc>
          <w:tcPr>
            <w:tcW w:w="144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Beneficially</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4"/>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Common Shares</w:t>
            </w: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Upon</w:t>
            </w:r>
          </w:p>
        </w:tc>
        <w:tc>
          <w:tcPr>
            <w:tcW w:w="1660" w:type="dxa"/>
            <w:vAlign w:val="bottom"/>
            <w:gridSpan w:val="5"/>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Warrants Beneficially</w:t>
            </w: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Common</w:t>
            </w: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Placement</w:t>
            </w:r>
          </w:p>
        </w:tc>
        <w:tc>
          <w:tcPr>
            <w:tcW w:w="1640" w:type="dxa"/>
            <w:vAlign w:val="bottom"/>
            <w:gridSpan w:val="5"/>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After the Offered</w:t>
            </w:r>
          </w:p>
        </w:tc>
        <w:tc>
          <w:tcPr>
            <w:tcW w:w="144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Owned After the</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4"/>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Beneficially Owned</w:t>
            </w: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Conversion</w:t>
            </w:r>
          </w:p>
        </w:tc>
        <w:tc>
          <w:tcPr>
            <w:tcW w:w="1660" w:type="dxa"/>
            <w:vAlign w:val="bottom"/>
            <w:gridSpan w:val="5"/>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Owned prior to this</w:t>
            </w: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2"/>
              </w:rPr>
              <w:t>Shares</w:t>
            </w: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Warrants</w:t>
            </w:r>
          </w:p>
        </w:tc>
        <w:tc>
          <w:tcPr>
            <w:tcW w:w="1640" w:type="dxa"/>
            <w:vAlign w:val="bottom"/>
            <w:gridSpan w:val="5"/>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Common Shares</w:t>
            </w:r>
          </w:p>
        </w:tc>
        <w:tc>
          <w:tcPr>
            <w:tcW w:w="144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Offered Warrants</w:t>
            </w:r>
          </w:p>
        </w:tc>
        <w:tc>
          <w:tcPr>
            <w:tcW w:w="0" w:type="dxa"/>
            <w:vAlign w:val="bottom"/>
          </w:tcPr>
          <w:p>
            <w:pPr>
              <w:spacing w:after="0"/>
              <w:rPr>
                <w:sz w:val="1"/>
                <w:szCs w:val="1"/>
                <w:color w:val="auto"/>
              </w:rPr>
            </w:pPr>
          </w:p>
        </w:tc>
      </w:tr>
      <w:tr>
        <w:trPr>
          <w:trHeight w:val="153"/>
        </w:trPr>
        <w:tc>
          <w:tcPr>
            <w:tcW w:w="1920" w:type="dxa"/>
            <w:vAlign w:val="bottom"/>
            <w:vMerge w:val="restart"/>
          </w:tcPr>
          <w:p>
            <w:pPr>
              <w:ind w:left="280"/>
              <w:spacing w:after="0"/>
              <w:rPr>
                <w:sz w:val="20"/>
                <w:szCs w:val="20"/>
                <w:color w:val="auto"/>
              </w:rPr>
            </w:pPr>
            <w:r>
              <w:rPr>
                <w:rFonts w:ascii="Arial" w:cs="Arial" w:eastAsia="Arial" w:hAnsi="Arial"/>
                <w:sz w:val="13"/>
                <w:szCs w:val="13"/>
                <w:b w:val="1"/>
                <w:bCs w:val="1"/>
                <w:color w:val="auto"/>
              </w:rPr>
              <w:t>Selling Securityholders</w:t>
            </w:r>
            <w:r>
              <w:rPr>
                <w:rFonts w:ascii="Arial" w:cs="Arial" w:eastAsia="Arial" w:hAnsi="Arial"/>
                <w:sz w:val="20"/>
                <w:szCs w:val="20"/>
                <w:color w:val="auto"/>
                <w:vertAlign w:val="superscript"/>
              </w:rPr>
              <w:t>(1)</w:t>
            </w:r>
          </w:p>
        </w:tc>
        <w:tc>
          <w:tcPr>
            <w:tcW w:w="120" w:type="dxa"/>
            <w:vAlign w:val="bottom"/>
            <w:vMerge w:val="restart"/>
          </w:tcPr>
          <w:p>
            <w:pPr>
              <w:spacing w:after="0"/>
              <w:rPr>
                <w:sz w:val="13"/>
                <w:szCs w:val="13"/>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9"/>
              </w:rPr>
              <w:t>Prior to this Offering</w:t>
            </w:r>
          </w:p>
        </w:tc>
        <w:tc>
          <w:tcPr>
            <w:tcW w:w="24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of Special</w:t>
            </w:r>
          </w:p>
        </w:tc>
        <w:tc>
          <w:tcPr>
            <w:tcW w:w="96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3"/>
                <w:szCs w:val="13"/>
                <w:b w:val="1"/>
                <w:bCs w:val="1"/>
                <w:color w:val="auto"/>
                <w:w w:val="90"/>
              </w:rPr>
              <w:t>Offering</w:t>
            </w:r>
          </w:p>
        </w:tc>
        <w:tc>
          <w:tcPr>
            <w:tcW w:w="4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2"/>
              </w:rPr>
              <w:t>Being</w:t>
            </w: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2"/>
              </w:rPr>
              <w:t>Being</w:t>
            </w:r>
          </w:p>
        </w:tc>
        <w:tc>
          <w:tcPr>
            <w:tcW w:w="940" w:type="dxa"/>
            <w:vAlign w:val="bottom"/>
            <w:tcBorders>
              <w:bottom w:val="single" w:sz="8" w:color="auto"/>
            </w:tcBorders>
            <w:gridSpan w:val="3"/>
          </w:tcPr>
          <w:p>
            <w:pPr>
              <w:jc w:val="center"/>
              <w:ind w:left="437"/>
              <w:spacing w:after="0"/>
              <w:rPr>
                <w:sz w:val="20"/>
                <w:szCs w:val="20"/>
                <w:color w:val="auto"/>
              </w:rPr>
            </w:pPr>
            <w:r>
              <w:rPr>
                <w:rFonts w:ascii="Arial" w:cs="Arial" w:eastAsia="Arial" w:hAnsi="Arial"/>
                <w:sz w:val="13"/>
                <w:szCs w:val="13"/>
                <w:b w:val="1"/>
                <w:bCs w:val="1"/>
                <w:color w:val="auto"/>
                <w:w w:val="85"/>
              </w:rPr>
              <w:t>are Sold</w:t>
            </w:r>
          </w:p>
        </w:tc>
        <w:tc>
          <w:tcPr>
            <w:tcW w:w="5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9"/>
              </w:rPr>
              <w:t>are Sold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Shares</w:t>
            </w:r>
          </w:p>
        </w:tc>
        <w:tc>
          <w:tcPr>
            <w:tcW w:w="26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6"/>
              </w:rPr>
              <w:t>Percent</w:t>
            </w:r>
          </w:p>
        </w:tc>
        <w:tc>
          <w:tcPr>
            <w:tcW w:w="24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Shares</w:t>
            </w:r>
          </w:p>
        </w:tc>
        <w:tc>
          <w:tcPr>
            <w:tcW w:w="26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99"/>
              </w:rPr>
              <w:t>Warrants</w:t>
            </w: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79"/>
              </w:rPr>
              <w:t>Percent</w:t>
            </w:r>
          </w:p>
        </w:tc>
        <w:tc>
          <w:tcPr>
            <w:tcW w:w="2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Offered</w:t>
            </w:r>
          </w:p>
        </w:tc>
        <w:tc>
          <w:tcPr>
            <w:tcW w:w="2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Offered</w:t>
            </w:r>
          </w:p>
        </w:tc>
        <w:tc>
          <w:tcPr>
            <w:tcW w:w="2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Shares</w:t>
            </w:r>
          </w:p>
        </w:tc>
        <w:tc>
          <w:tcPr>
            <w:tcW w:w="2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3"/>
              </w:rPr>
              <w:t>Percent</w:t>
            </w:r>
          </w:p>
        </w:tc>
        <w:tc>
          <w:tcPr>
            <w:tcW w:w="2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2"/>
              </w:rPr>
              <w:t>Warrants</w:t>
            </w:r>
          </w:p>
        </w:tc>
        <w:tc>
          <w:tcPr>
            <w:tcW w:w="22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6"/>
              </w:rPr>
              <w:t>Percent</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920" w:type="dxa"/>
            <w:vAlign w:val="bottom"/>
            <w:shd w:val="clear" w:color="auto" w:fill="CCEEFF"/>
          </w:tcPr>
          <w:p>
            <w:pPr>
              <w:spacing w:after="0" w:line="169" w:lineRule="exact"/>
              <w:rPr>
                <w:sz w:val="20"/>
                <w:szCs w:val="20"/>
                <w:color w:val="auto"/>
              </w:rPr>
            </w:pPr>
            <w:r>
              <w:rPr>
                <w:rFonts w:ascii="Arial" w:cs="Arial" w:eastAsia="Arial" w:hAnsi="Arial"/>
                <w:sz w:val="12"/>
                <w:szCs w:val="12"/>
                <w:color w:val="auto"/>
              </w:rPr>
              <w:t>Bedrock Capital Corp</w:t>
            </w:r>
            <w:r>
              <w:rPr>
                <w:rFonts w:ascii="Arial" w:cs="Arial" w:eastAsia="Arial" w:hAnsi="Arial"/>
                <w:sz w:val="19"/>
                <w:szCs w:val="19"/>
                <w:color w:val="auto"/>
                <w:vertAlign w:val="superscript"/>
              </w:rPr>
              <w:t>(14)</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618,381</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364,284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982,665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tcPr>
          <w:p>
            <w:pPr>
              <w:spacing w:after="0" w:line="176" w:lineRule="exact"/>
              <w:rPr>
                <w:sz w:val="20"/>
                <w:szCs w:val="20"/>
                <w:color w:val="auto"/>
              </w:rPr>
            </w:pPr>
            <w:r>
              <w:rPr>
                <w:rFonts w:ascii="Arial" w:cs="Arial" w:eastAsia="Arial" w:hAnsi="Arial"/>
                <w:sz w:val="13"/>
                <w:szCs w:val="13"/>
                <w:color w:val="auto"/>
              </w:rPr>
              <w:t>David Walch</w:t>
            </w:r>
            <w:r>
              <w:rPr>
                <w:rFonts w:ascii="Arial" w:cs="Arial" w:eastAsia="Arial" w:hAnsi="Arial"/>
                <w:sz w:val="20"/>
                <w:szCs w:val="20"/>
                <w:color w:val="auto"/>
                <w:vertAlign w:val="superscript"/>
              </w:rPr>
              <w:t>(15)</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135,786</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68,207</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203,993</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04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Peter Jon Deschenes, Jr</w:t>
            </w:r>
            <w:r>
              <w:rPr>
                <w:rFonts w:ascii="Arial" w:cs="Arial" w:eastAsia="Arial" w:hAnsi="Arial"/>
                <w:sz w:val="20"/>
                <w:szCs w:val="20"/>
                <w:color w:val="auto"/>
                <w:vertAlign w:val="superscript"/>
              </w:rPr>
              <w:t>(16)</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275,000</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25,000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250,000</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tcPr>
          <w:p>
            <w:pPr>
              <w:spacing w:after="0" w:line="176" w:lineRule="exact"/>
              <w:rPr>
                <w:sz w:val="20"/>
                <w:szCs w:val="20"/>
                <w:color w:val="auto"/>
              </w:rPr>
            </w:pPr>
            <w:r>
              <w:rPr>
                <w:rFonts w:ascii="Arial" w:cs="Arial" w:eastAsia="Arial" w:hAnsi="Arial"/>
                <w:sz w:val="13"/>
                <w:szCs w:val="13"/>
                <w:color w:val="auto"/>
              </w:rPr>
              <w:t>Blue Dragons AG</w:t>
            </w:r>
            <w:r>
              <w:rPr>
                <w:rFonts w:ascii="Arial" w:cs="Arial" w:eastAsia="Arial" w:hAnsi="Arial"/>
                <w:sz w:val="20"/>
                <w:szCs w:val="20"/>
                <w:color w:val="auto"/>
                <w:vertAlign w:val="superscript"/>
              </w:rPr>
              <w:t>(17)</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500,000</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500,000</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04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Greg Upson</w:t>
            </w:r>
            <w:r>
              <w:rPr>
                <w:rFonts w:ascii="Arial" w:cs="Arial" w:eastAsia="Arial" w:hAnsi="Arial"/>
                <w:sz w:val="20"/>
                <w:szCs w:val="20"/>
                <w:color w:val="auto"/>
                <w:vertAlign w:val="superscript"/>
              </w:rPr>
              <w:t>(18)</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5,000</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5,000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040" w:type="dxa"/>
            <w:vAlign w:val="bottom"/>
            <w:gridSpan w:val="2"/>
          </w:tcPr>
          <w:p>
            <w:pPr>
              <w:spacing w:after="0" w:line="176" w:lineRule="exact"/>
              <w:rPr>
                <w:sz w:val="20"/>
                <w:szCs w:val="20"/>
                <w:color w:val="auto"/>
              </w:rPr>
            </w:pPr>
            <w:r>
              <w:rPr>
                <w:rFonts w:ascii="Arial" w:cs="Arial" w:eastAsia="Arial" w:hAnsi="Arial"/>
                <w:sz w:val="13"/>
                <w:szCs w:val="13"/>
                <w:color w:val="auto"/>
              </w:rPr>
              <w:t>Justin Gmelich</w:t>
            </w:r>
            <w:r>
              <w:rPr>
                <w:rFonts w:ascii="Arial" w:cs="Arial" w:eastAsia="Arial" w:hAnsi="Arial"/>
                <w:sz w:val="20"/>
                <w:szCs w:val="20"/>
                <w:color w:val="auto"/>
                <w:vertAlign w:val="superscript"/>
              </w:rPr>
              <w:t>(19)</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905,617</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395,000</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Daniel Ehrmann</w:t>
            </w:r>
            <w:r>
              <w:rPr>
                <w:rFonts w:ascii="Arial" w:cs="Arial" w:eastAsia="Arial" w:hAnsi="Arial"/>
                <w:sz w:val="20"/>
                <w:szCs w:val="20"/>
                <w:color w:val="auto"/>
                <w:vertAlign w:val="superscript"/>
              </w:rPr>
              <w:t>(20)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27,367</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10,226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37,593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040" w:type="dxa"/>
            <w:vAlign w:val="bottom"/>
            <w:gridSpan w:val="2"/>
          </w:tcPr>
          <w:p>
            <w:pPr>
              <w:spacing w:after="0" w:line="176" w:lineRule="exact"/>
              <w:rPr>
                <w:sz w:val="20"/>
                <w:szCs w:val="20"/>
                <w:color w:val="auto"/>
              </w:rPr>
            </w:pPr>
            <w:r>
              <w:rPr>
                <w:rFonts w:ascii="Arial" w:cs="Arial" w:eastAsia="Arial" w:hAnsi="Arial"/>
                <w:sz w:val="13"/>
                <w:szCs w:val="13"/>
                <w:color w:val="auto"/>
              </w:rPr>
              <w:t>Nico Guardans</w:t>
            </w:r>
            <w:r>
              <w:rPr>
                <w:rFonts w:ascii="Arial" w:cs="Arial" w:eastAsia="Arial" w:hAnsi="Arial"/>
                <w:sz w:val="20"/>
                <w:szCs w:val="20"/>
                <w:color w:val="auto"/>
                <w:vertAlign w:val="superscript"/>
              </w:rPr>
              <w:t>(21)</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170,786</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68,207</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238,993</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w w:val="97"/>
              </w:rPr>
              <w:t>Sea Otter Securities Group LLC</w:t>
            </w:r>
            <w:r>
              <w:rPr>
                <w:rFonts w:ascii="Arial" w:cs="Arial" w:eastAsia="Arial" w:hAnsi="Arial"/>
                <w:sz w:val="20"/>
                <w:szCs w:val="20"/>
                <w:color w:val="auto"/>
                <w:w w:val="97"/>
                <w:vertAlign w:val="superscript"/>
              </w:rPr>
              <w:t>(22)</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400,000</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400,000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040" w:type="dxa"/>
            <w:vAlign w:val="bottom"/>
            <w:gridSpan w:val="2"/>
          </w:tcPr>
          <w:p>
            <w:pPr>
              <w:spacing w:after="0" w:line="176" w:lineRule="exact"/>
              <w:rPr>
                <w:sz w:val="20"/>
                <w:szCs w:val="20"/>
                <w:color w:val="auto"/>
              </w:rPr>
            </w:pPr>
            <w:r>
              <w:rPr>
                <w:rFonts w:ascii="Arial" w:cs="Arial" w:eastAsia="Arial" w:hAnsi="Arial"/>
                <w:sz w:val="13"/>
                <w:szCs w:val="13"/>
                <w:color w:val="auto"/>
              </w:rPr>
              <w:t>Sigsbee Investments LLC</w:t>
            </w:r>
            <w:r>
              <w:rPr>
                <w:rFonts w:ascii="Arial" w:cs="Arial" w:eastAsia="Arial" w:hAnsi="Arial"/>
                <w:sz w:val="20"/>
                <w:szCs w:val="20"/>
                <w:color w:val="auto"/>
                <w:vertAlign w:val="superscript"/>
              </w:rPr>
              <w:t>(23)</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2,939,418</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1.1%</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1,142,510</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4,081,928</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04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VPF Delphi Global</w:t>
            </w:r>
            <w:r>
              <w:rPr>
                <w:rFonts w:ascii="Arial" w:cs="Arial" w:eastAsia="Arial" w:hAnsi="Arial"/>
                <w:sz w:val="20"/>
                <w:szCs w:val="20"/>
                <w:color w:val="auto"/>
                <w:vertAlign w:val="superscript"/>
              </w:rPr>
              <w:t>(24)</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1,480,000</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1,480,000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2040" w:type="dxa"/>
            <w:vAlign w:val="bottom"/>
            <w:gridSpan w:val="2"/>
          </w:tcPr>
          <w:p>
            <w:pPr>
              <w:spacing w:after="0" w:line="128" w:lineRule="exact"/>
              <w:rPr>
                <w:sz w:val="20"/>
                <w:szCs w:val="20"/>
                <w:color w:val="auto"/>
              </w:rPr>
            </w:pPr>
            <w:r>
              <w:rPr>
                <w:rFonts w:ascii="Arial" w:cs="Arial" w:eastAsia="Arial" w:hAnsi="Arial"/>
                <w:sz w:val="13"/>
                <w:szCs w:val="13"/>
                <w:color w:val="auto"/>
              </w:rPr>
              <w:t>The Justin Gmelich 2012 Family</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40" w:type="dxa"/>
            <w:vAlign w:val="bottom"/>
            <w:gridSpan w:val="2"/>
          </w:tcPr>
          <w:p>
            <w:pPr>
              <w:spacing w:after="0" w:line="183" w:lineRule="exact"/>
              <w:rPr>
                <w:sz w:val="20"/>
                <w:szCs w:val="20"/>
                <w:color w:val="auto"/>
              </w:rPr>
            </w:pPr>
            <w:r>
              <w:rPr>
                <w:rFonts w:ascii="Arial" w:cs="Arial" w:eastAsia="Arial" w:hAnsi="Arial"/>
                <w:sz w:val="13"/>
                <w:szCs w:val="13"/>
                <w:color w:val="auto"/>
              </w:rPr>
              <w:t>Trust</w:t>
            </w:r>
            <w:r>
              <w:rPr>
                <w:rFonts w:ascii="Arial" w:cs="Arial" w:eastAsia="Arial" w:hAnsi="Arial"/>
                <w:sz w:val="20"/>
                <w:szCs w:val="20"/>
                <w:color w:val="auto"/>
                <w:vertAlign w:val="superscript"/>
              </w:rPr>
              <w:t>(25)</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510,617</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300,800</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811,417</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04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Helena Lupas</w:t>
            </w:r>
            <w:r>
              <w:rPr>
                <w:rFonts w:ascii="Arial" w:cs="Arial" w:eastAsia="Arial" w:hAnsi="Arial"/>
                <w:sz w:val="20"/>
                <w:szCs w:val="20"/>
                <w:color w:val="auto"/>
                <w:vertAlign w:val="superscript"/>
              </w:rPr>
              <w:t>(26)</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15,341</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9,033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24,374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tcPr>
          <w:p>
            <w:pPr>
              <w:spacing w:after="0" w:line="176" w:lineRule="exact"/>
              <w:rPr>
                <w:sz w:val="20"/>
                <w:szCs w:val="20"/>
                <w:color w:val="auto"/>
              </w:rPr>
            </w:pPr>
            <w:r>
              <w:rPr>
                <w:rFonts w:ascii="Arial" w:cs="Arial" w:eastAsia="Arial" w:hAnsi="Arial"/>
                <w:sz w:val="13"/>
                <w:szCs w:val="13"/>
                <w:color w:val="auto"/>
              </w:rPr>
              <w:t>Dora Lupas</w:t>
            </w:r>
            <w:r>
              <w:rPr>
                <w:rFonts w:ascii="Arial" w:cs="Arial" w:eastAsia="Arial" w:hAnsi="Arial"/>
                <w:sz w:val="20"/>
                <w:szCs w:val="20"/>
                <w:color w:val="auto"/>
                <w:vertAlign w:val="superscript"/>
              </w:rPr>
              <w:t>(26)</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15,341</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9,033</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24,374</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04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Argentum Cedit Virtuti</w:t>
            </w:r>
            <w:r>
              <w:rPr>
                <w:rFonts w:ascii="Arial" w:cs="Arial" w:eastAsia="Arial" w:hAnsi="Arial"/>
                <w:sz w:val="20"/>
                <w:szCs w:val="20"/>
                <w:color w:val="auto"/>
                <w:vertAlign w:val="superscript"/>
              </w:rPr>
              <w:t>(27)</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1,000,000</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1,000,000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tcPr>
          <w:p>
            <w:pPr>
              <w:spacing w:after="0" w:line="176" w:lineRule="exact"/>
              <w:rPr>
                <w:sz w:val="20"/>
                <w:szCs w:val="20"/>
                <w:color w:val="auto"/>
              </w:rPr>
            </w:pPr>
            <w:r>
              <w:rPr>
                <w:rFonts w:ascii="Arial" w:cs="Arial" w:eastAsia="Arial" w:hAnsi="Arial"/>
                <w:sz w:val="13"/>
                <w:szCs w:val="13"/>
                <w:color w:val="auto"/>
              </w:rPr>
              <w:t>Allseas Group SA</w:t>
            </w:r>
            <w:r>
              <w:rPr>
                <w:rFonts w:ascii="Arial" w:cs="Arial" w:eastAsia="Arial" w:hAnsi="Arial"/>
                <w:sz w:val="20"/>
                <w:szCs w:val="20"/>
                <w:color w:val="auto"/>
                <w:vertAlign w:val="superscript"/>
              </w:rPr>
              <w:t>(28)</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34,280,268</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12.8%</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8,336,743</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w w:val="98"/>
              </w:rPr>
              <w:t>36,367,011</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6,250,000</w:t>
            </w:r>
          </w:p>
        </w:tc>
        <w:tc>
          <w:tcPr>
            <w:tcW w:w="6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2.3%</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04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Majid Fahad M Alghaslan</w:t>
            </w:r>
            <w:r>
              <w:rPr>
                <w:rFonts w:ascii="Arial" w:cs="Arial" w:eastAsia="Arial" w:hAnsi="Arial"/>
                <w:sz w:val="20"/>
                <w:szCs w:val="20"/>
                <w:color w:val="auto"/>
                <w:vertAlign w:val="superscript"/>
              </w:rPr>
              <w:t>(29)</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4,011,000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1.5%</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200,000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3,811,000</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2040" w:type="dxa"/>
            <w:vAlign w:val="bottom"/>
            <w:gridSpan w:val="2"/>
          </w:tcPr>
          <w:p>
            <w:pPr>
              <w:spacing w:after="0" w:line="128" w:lineRule="exact"/>
              <w:rPr>
                <w:sz w:val="20"/>
                <w:szCs w:val="20"/>
                <w:color w:val="auto"/>
              </w:rPr>
            </w:pPr>
            <w:r>
              <w:rPr>
                <w:rFonts w:ascii="Arial" w:cs="Arial" w:eastAsia="Arial" w:hAnsi="Arial"/>
                <w:sz w:val="13"/>
                <w:szCs w:val="13"/>
                <w:color w:val="auto"/>
              </w:rPr>
              <w:t>Portline Holdings Investments</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40" w:type="dxa"/>
            <w:vAlign w:val="bottom"/>
            <w:gridSpan w:val="2"/>
          </w:tcPr>
          <w:p>
            <w:pPr>
              <w:spacing w:after="0" w:line="183" w:lineRule="exact"/>
              <w:rPr>
                <w:sz w:val="20"/>
                <w:szCs w:val="20"/>
                <w:color w:val="auto"/>
              </w:rPr>
            </w:pPr>
            <w:r>
              <w:rPr>
                <w:rFonts w:ascii="Arial" w:cs="Arial" w:eastAsia="Arial" w:hAnsi="Arial"/>
                <w:sz w:val="13"/>
                <w:szCs w:val="13"/>
                <w:color w:val="auto"/>
              </w:rPr>
              <w:t>Limited</w:t>
            </w:r>
            <w:r>
              <w:rPr>
                <w:rFonts w:ascii="Arial" w:cs="Arial" w:eastAsia="Arial" w:hAnsi="Arial"/>
                <w:sz w:val="20"/>
                <w:szCs w:val="20"/>
                <w:color w:val="auto"/>
                <w:vertAlign w:val="superscript"/>
              </w:rPr>
              <w:t>(30)</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100,000</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100,000</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Deepak Natarajan</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58,596</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22,734</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81,330</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tcPr>
          <w:p>
            <w:pPr>
              <w:spacing w:after="0" w:line="176" w:lineRule="exact"/>
              <w:rPr>
                <w:sz w:val="20"/>
                <w:szCs w:val="20"/>
                <w:color w:val="auto"/>
              </w:rPr>
            </w:pPr>
            <w:r>
              <w:rPr>
                <w:rFonts w:ascii="Arial" w:cs="Arial" w:eastAsia="Arial" w:hAnsi="Arial"/>
                <w:sz w:val="13"/>
                <w:szCs w:val="13"/>
                <w:color w:val="auto"/>
              </w:rPr>
              <w:t>Isaac Barchas</w:t>
            </w:r>
            <w:r>
              <w:rPr>
                <w:rFonts w:ascii="Arial" w:cs="Arial" w:eastAsia="Arial" w:hAnsi="Arial"/>
                <w:sz w:val="20"/>
                <w:szCs w:val="20"/>
                <w:color w:val="auto"/>
                <w:vertAlign w:val="superscript"/>
              </w:rPr>
              <w:t>(31)</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30,000</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25,900</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55,900</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04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Richard W. Gaenzle Jr</w:t>
            </w:r>
            <w:r>
              <w:rPr>
                <w:rFonts w:ascii="Arial" w:cs="Arial" w:eastAsia="Arial" w:hAnsi="Arial"/>
                <w:sz w:val="20"/>
                <w:szCs w:val="20"/>
                <w:color w:val="auto"/>
                <w:vertAlign w:val="superscript"/>
              </w:rPr>
              <w:t>(32)</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30,000</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30,000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tcPr>
          <w:p>
            <w:pPr>
              <w:spacing w:after="0" w:line="176" w:lineRule="exact"/>
              <w:rPr>
                <w:sz w:val="20"/>
                <w:szCs w:val="20"/>
                <w:color w:val="auto"/>
              </w:rPr>
            </w:pPr>
            <w:r>
              <w:rPr>
                <w:rFonts w:ascii="Arial" w:cs="Arial" w:eastAsia="Arial" w:hAnsi="Arial"/>
                <w:sz w:val="13"/>
                <w:szCs w:val="13"/>
                <w:color w:val="auto"/>
              </w:rPr>
              <w:t>1290533 B.C. Ltd</w:t>
            </w:r>
            <w:r>
              <w:rPr>
                <w:rFonts w:ascii="Arial" w:cs="Arial" w:eastAsia="Arial" w:hAnsi="Arial"/>
                <w:sz w:val="20"/>
                <w:szCs w:val="20"/>
                <w:color w:val="auto"/>
                <w:vertAlign w:val="superscript"/>
              </w:rPr>
              <w:t>(33)</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7,394,879</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2.8%</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4,356,328</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w w:val="98"/>
              </w:rPr>
              <w:t>11,751,207</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04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Andrew Carlyle Greig</w:t>
            </w:r>
            <w:r>
              <w:rPr>
                <w:rFonts w:ascii="Arial" w:cs="Arial" w:eastAsia="Arial" w:hAnsi="Arial"/>
                <w:sz w:val="20"/>
                <w:szCs w:val="20"/>
                <w:color w:val="auto"/>
                <w:vertAlign w:val="superscript"/>
              </w:rPr>
              <w:t>(34)</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4,812,743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1.8%</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2,412,848</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6,508,675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716,916</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rPr>
              <w:t>Sterling Securities Int. Ltd</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1,262,208</w:t>
            </w: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743,566</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2,005,774</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04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w w:val="92"/>
              </w:rPr>
              <w:t>Aequanimitas Limited Partnership</w:t>
            </w:r>
            <w:r>
              <w:rPr>
                <w:rFonts w:ascii="Arial" w:cs="Arial" w:eastAsia="Arial" w:hAnsi="Arial"/>
                <w:sz w:val="20"/>
                <w:szCs w:val="20"/>
                <w:color w:val="auto"/>
                <w:w w:val="92"/>
                <w:vertAlign w:val="superscript"/>
              </w:rPr>
              <w:t>(35)</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2,650,853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995,859</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995,859</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2,650,853</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tcPr>
          <w:p>
            <w:pPr>
              <w:spacing w:after="0" w:line="176" w:lineRule="exact"/>
              <w:rPr>
                <w:sz w:val="20"/>
                <w:szCs w:val="20"/>
                <w:color w:val="auto"/>
              </w:rPr>
            </w:pPr>
            <w:r>
              <w:rPr>
                <w:rFonts w:ascii="Arial" w:cs="Arial" w:eastAsia="Arial" w:hAnsi="Arial"/>
                <w:sz w:val="13"/>
                <w:szCs w:val="13"/>
                <w:color w:val="auto"/>
              </w:rPr>
              <w:t>South Lake One LLC</w:t>
            </w:r>
            <w:r>
              <w:rPr>
                <w:rFonts w:ascii="Arial" w:cs="Arial" w:eastAsia="Arial" w:hAnsi="Arial"/>
                <w:sz w:val="20"/>
                <w:szCs w:val="20"/>
                <w:color w:val="auto"/>
                <w:vertAlign w:val="superscript"/>
              </w:rPr>
              <w:t>(36)</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12,284,667</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4.6%</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1,496,537</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4,036,923</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9,744,281</w:t>
            </w:r>
          </w:p>
        </w:tc>
        <w:tc>
          <w:tcPr>
            <w:tcW w:w="6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3.7%</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Cadence Capital Limited</w:t>
            </w:r>
            <w:r>
              <w:rPr>
                <w:rFonts w:ascii="Arial" w:cs="Arial" w:eastAsia="Arial" w:hAnsi="Arial"/>
                <w:sz w:val="20"/>
                <w:szCs w:val="20"/>
                <w:color w:val="auto"/>
                <w:vertAlign w:val="superscript"/>
              </w:rPr>
              <w:t>(37)</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1,029,962</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1,029,962</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040" w:type="dxa"/>
            <w:vAlign w:val="bottom"/>
            <w:gridSpan w:val="2"/>
          </w:tcPr>
          <w:p>
            <w:pPr>
              <w:spacing w:after="0" w:line="176" w:lineRule="exact"/>
              <w:rPr>
                <w:sz w:val="20"/>
                <w:szCs w:val="20"/>
                <w:color w:val="auto"/>
              </w:rPr>
            </w:pPr>
            <w:r>
              <w:rPr>
                <w:rFonts w:ascii="Arial" w:cs="Arial" w:eastAsia="Arial" w:hAnsi="Arial"/>
                <w:sz w:val="13"/>
                <w:szCs w:val="13"/>
                <w:color w:val="auto"/>
              </w:rPr>
              <w:t>Cadence Global Pty Limited</w:t>
            </w:r>
            <w:r>
              <w:rPr>
                <w:rFonts w:ascii="Arial" w:cs="Arial" w:eastAsia="Arial" w:hAnsi="Arial"/>
                <w:sz w:val="20"/>
                <w:szCs w:val="20"/>
                <w:color w:val="auto"/>
                <w:vertAlign w:val="superscript"/>
              </w:rPr>
              <w:t>(38)</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2,026,258</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1,193,670</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3,219,928</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Glencore International AG</w:t>
            </w:r>
            <w:r>
              <w:rPr>
                <w:rFonts w:ascii="Arial" w:cs="Arial" w:eastAsia="Arial" w:hAnsi="Arial"/>
                <w:sz w:val="20"/>
                <w:szCs w:val="20"/>
                <w:color w:val="auto"/>
                <w:vertAlign w:val="superscript"/>
              </w:rPr>
              <w:t>(39)</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2,315,724</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1,364,190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3,679,914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rPr>
              <w:t>Windward Prospects Limited</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7,440,642</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2.8%</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4,383,288</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98"/>
              </w:rPr>
              <w:t>11,823,930</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$PTY Limited ATP #1 Fund</w:t>
            </w:r>
            <w:r>
              <w:rPr>
                <w:rFonts w:ascii="Arial" w:cs="Arial" w:eastAsia="Arial" w:hAnsi="Arial"/>
                <w:sz w:val="20"/>
                <w:szCs w:val="20"/>
                <w:color w:val="auto"/>
                <w:vertAlign w:val="superscript"/>
              </w:rPr>
              <w:t>(40)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567,352</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334,226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901,578</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2040" w:type="dxa"/>
            <w:vAlign w:val="bottom"/>
            <w:gridSpan w:val="2"/>
          </w:tcPr>
          <w:p>
            <w:pPr>
              <w:spacing w:after="0" w:line="128" w:lineRule="exact"/>
              <w:rPr>
                <w:sz w:val="20"/>
                <w:szCs w:val="20"/>
                <w:color w:val="auto"/>
              </w:rPr>
            </w:pPr>
            <w:r>
              <w:rPr>
                <w:rFonts w:ascii="Arial" w:cs="Arial" w:eastAsia="Arial" w:hAnsi="Arial"/>
                <w:sz w:val="13"/>
                <w:szCs w:val="13"/>
                <w:color w:val="auto"/>
              </w:rPr>
              <w:t>Wimbledon Investments PTY</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40" w:type="dxa"/>
            <w:vAlign w:val="bottom"/>
            <w:gridSpan w:val="2"/>
          </w:tcPr>
          <w:p>
            <w:pPr>
              <w:spacing w:after="0" w:line="183" w:lineRule="exact"/>
              <w:rPr>
                <w:sz w:val="20"/>
                <w:szCs w:val="20"/>
                <w:color w:val="auto"/>
              </w:rPr>
            </w:pPr>
            <w:r>
              <w:rPr>
                <w:rFonts w:ascii="Arial" w:cs="Arial" w:eastAsia="Arial" w:hAnsi="Arial"/>
                <w:sz w:val="13"/>
                <w:szCs w:val="13"/>
                <w:color w:val="auto"/>
              </w:rPr>
              <w:t>Limited ATF Deakin Fund</w:t>
            </w:r>
            <w:r>
              <w:rPr>
                <w:rFonts w:ascii="Arial" w:cs="Arial" w:eastAsia="Arial" w:hAnsi="Arial"/>
                <w:sz w:val="20"/>
                <w:szCs w:val="20"/>
                <w:color w:val="auto"/>
                <w:vertAlign w:val="superscript"/>
              </w:rPr>
              <w:t>(41)</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567,644</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335,488</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903,132</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2040" w:type="dxa"/>
            <w:vAlign w:val="bottom"/>
            <w:gridSpan w:val="2"/>
            <w:shd w:val="clear" w:color="auto" w:fill="CCEEFF"/>
          </w:tcPr>
          <w:p>
            <w:pPr>
              <w:spacing w:after="0" w:line="128" w:lineRule="exact"/>
              <w:rPr>
                <w:sz w:val="20"/>
                <w:szCs w:val="20"/>
                <w:color w:val="auto"/>
              </w:rPr>
            </w:pPr>
            <w:r>
              <w:rPr>
                <w:rFonts w:ascii="Arial" w:cs="Arial" w:eastAsia="Arial" w:hAnsi="Arial"/>
                <w:sz w:val="13"/>
                <w:szCs w:val="13"/>
                <w:color w:val="auto"/>
                <w:w w:val="96"/>
              </w:rPr>
              <w:t>Nomura Securities International, Inc.</w:t>
            </w: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920" w:type="dxa"/>
            <w:vAlign w:val="bottom"/>
            <w:shd w:val="clear" w:color="auto" w:fill="CCEEFF"/>
          </w:tcPr>
          <w:p>
            <w:pPr>
              <w:spacing w:after="0"/>
              <w:rPr>
                <w:sz w:val="20"/>
                <w:szCs w:val="20"/>
                <w:color w:val="auto"/>
              </w:rPr>
            </w:pPr>
            <w:r>
              <w:rPr>
                <w:rFonts w:ascii="Arial" w:cs="Arial" w:eastAsia="Arial" w:hAnsi="Arial"/>
                <w:sz w:val="10"/>
                <w:szCs w:val="10"/>
                <w:color w:val="auto"/>
              </w:rPr>
              <w:t>(42)</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787,962</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787,962</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40" w:type="dxa"/>
            <w:vAlign w:val="bottom"/>
            <w:gridSpan w:val="2"/>
          </w:tcPr>
          <w:p>
            <w:pPr>
              <w:spacing w:after="0" w:line="121" w:lineRule="exact"/>
              <w:rPr>
                <w:sz w:val="20"/>
                <w:szCs w:val="20"/>
                <w:color w:val="auto"/>
              </w:rPr>
            </w:pPr>
            <w:r>
              <w:rPr>
                <w:rFonts w:ascii="Arial" w:cs="Arial" w:eastAsia="Arial" w:hAnsi="Arial"/>
                <w:sz w:val="13"/>
                <w:szCs w:val="13"/>
                <w:color w:val="auto"/>
              </w:rPr>
              <w:t>Mintz, Levin, Cohn, Ferris, Glovsky</w:t>
            </w: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40" w:type="dxa"/>
            <w:vAlign w:val="bottom"/>
            <w:gridSpan w:val="2"/>
          </w:tcPr>
          <w:p>
            <w:pPr>
              <w:spacing w:after="0" w:line="176" w:lineRule="exact"/>
              <w:rPr>
                <w:sz w:val="20"/>
                <w:szCs w:val="20"/>
                <w:color w:val="auto"/>
              </w:rPr>
            </w:pPr>
            <w:r>
              <w:rPr>
                <w:rFonts w:ascii="Arial" w:cs="Arial" w:eastAsia="Arial" w:hAnsi="Arial"/>
                <w:sz w:val="13"/>
                <w:szCs w:val="13"/>
                <w:color w:val="auto"/>
              </w:rPr>
              <w:t>and Popeo, P.C.</w:t>
            </w:r>
            <w:r>
              <w:rPr>
                <w:rFonts w:ascii="Arial" w:cs="Arial" w:eastAsia="Arial" w:hAnsi="Arial"/>
                <w:sz w:val="20"/>
                <w:szCs w:val="20"/>
                <w:color w:val="auto"/>
                <w:vertAlign w:val="subscript"/>
              </w:rPr>
              <w:t>(43)</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36,361</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36,361</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w w:val="94"/>
              </w:rPr>
              <w:t>Fasken Martineau DuMoulin LLP</w:t>
            </w:r>
            <w:r>
              <w:rPr>
                <w:rFonts w:ascii="Arial" w:cs="Arial" w:eastAsia="Arial" w:hAnsi="Arial"/>
                <w:sz w:val="20"/>
                <w:szCs w:val="20"/>
                <w:color w:val="auto"/>
                <w:w w:val="94"/>
                <w:vertAlign w:val="superscript"/>
              </w:rPr>
              <w:t>(44)</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14,630</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14,630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tcPr>
          <w:p>
            <w:pPr>
              <w:spacing w:after="0" w:line="176" w:lineRule="exact"/>
              <w:rPr>
                <w:sz w:val="20"/>
                <w:szCs w:val="20"/>
                <w:color w:val="auto"/>
              </w:rPr>
            </w:pPr>
            <w:r>
              <w:rPr>
                <w:rFonts w:ascii="Arial" w:cs="Arial" w:eastAsia="Arial" w:hAnsi="Arial"/>
                <w:sz w:val="13"/>
                <w:szCs w:val="13"/>
                <w:color w:val="auto"/>
              </w:rPr>
              <w:t>Wedbush Securities Inc</w:t>
            </w:r>
            <w:r>
              <w:rPr>
                <w:rFonts w:ascii="Arial" w:cs="Arial" w:eastAsia="Arial" w:hAnsi="Arial"/>
                <w:sz w:val="20"/>
                <w:szCs w:val="20"/>
                <w:color w:val="auto"/>
                <w:vertAlign w:val="superscript"/>
              </w:rPr>
              <w:t>.(45)</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10,000</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10,000</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04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Northland Securities, Inc.</w:t>
            </w:r>
            <w:r>
              <w:rPr>
                <w:rFonts w:ascii="Arial" w:cs="Arial" w:eastAsia="Arial" w:hAnsi="Arial"/>
                <w:sz w:val="20"/>
                <w:szCs w:val="20"/>
                <w:color w:val="auto"/>
                <w:vertAlign w:val="superscript"/>
              </w:rPr>
              <w:t>(46)</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25,000</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25,000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tcPr>
          <w:p>
            <w:pPr>
              <w:spacing w:after="0" w:line="176" w:lineRule="exact"/>
              <w:rPr>
                <w:sz w:val="20"/>
                <w:szCs w:val="20"/>
                <w:color w:val="auto"/>
              </w:rPr>
            </w:pPr>
            <w:r>
              <w:rPr>
                <w:rFonts w:ascii="Arial" w:cs="Arial" w:eastAsia="Arial" w:hAnsi="Arial"/>
                <w:sz w:val="13"/>
                <w:szCs w:val="13"/>
                <w:color w:val="auto"/>
              </w:rPr>
              <w:t>LSS Sustainable SPAC, LLC</w:t>
            </w:r>
            <w:r>
              <w:rPr>
                <w:rFonts w:ascii="Arial" w:cs="Arial" w:eastAsia="Arial" w:hAnsi="Arial"/>
                <w:sz w:val="20"/>
                <w:szCs w:val="20"/>
                <w:color w:val="auto"/>
                <w:vertAlign w:val="superscript"/>
              </w:rPr>
              <w:t>(47)</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3,786,334</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1.4%</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704,580</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5,265,360</w:t>
            </w:r>
          </w:p>
        </w:tc>
        <w:tc>
          <w:tcPr>
            <w:tcW w:w="8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55.4%</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9,756,274</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5,265,360</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Scott Edward Leonard</w:t>
            </w:r>
            <w:r>
              <w:rPr>
                <w:rFonts w:ascii="Arial" w:cs="Arial" w:eastAsia="Arial" w:hAnsi="Arial"/>
                <w:sz w:val="20"/>
                <w:szCs w:val="20"/>
                <w:color w:val="auto"/>
                <w:vertAlign w:val="superscript"/>
              </w:rPr>
              <w:t>(48)</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25,009</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202,557</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35,625</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263,191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35,625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tcPr>
          <w:p>
            <w:pPr>
              <w:spacing w:after="0" w:line="176" w:lineRule="exact"/>
              <w:rPr>
                <w:sz w:val="20"/>
                <w:szCs w:val="20"/>
                <w:color w:val="auto"/>
              </w:rPr>
            </w:pPr>
            <w:r>
              <w:rPr>
                <w:rFonts w:ascii="Arial" w:cs="Arial" w:eastAsia="Arial" w:hAnsi="Arial"/>
                <w:sz w:val="13"/>
                <w:szCs w:val="13"/>
                <w:color w:val="auto"/>
              </w:rPr>
              <w:t>Gina Thomas Stryker</w:t>
            </w:r>
            <w:r>
              <w:rPr>
                <w:rFonts w:ascii="Arial" w:cs="Arial" w:eastAsia="Arial" w:hAnsi="Arial"/>
                <w:sz w:val="20"/>
                <w:szCs w:val="20"/>
                <w:color w:val="auto"/>
                <w:vertAlign w:val="superscript"/>
              </w:rPr>
              <w:t>(49)</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449,605</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83,166</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614,277</w:t>
            </w:r>
          </w:p>
        </w:tc>
        <w:tc>
          <w:tcPr>
            <w:tcW w:w="8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6.5%</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1,144,371</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614,277</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2,677</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David Quiram</w:t>
            </w:r>
            <w:r>
              <w:rPr>
                <w:rFonts w:ascii="Arial" w:cs="Arial" w:eastAsia="Arial" w:hAnsi="Arial"/>
                <w:sz w:val="20"/>
                <w:szCs w:val="20"/>
                <w:color w:val="auto"/>
                <w:vertAlign w:val="superscript"/>
              </w:rPr>
              <w:t>(50)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151,795</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28,247</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177,768</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357,810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177,768</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tcPr>
          <w:p>
            <w:pPr>
              <w:spacing w:after="0" w:line="176" w:lineRule="exact"/>
              <w:rPr>
                <w:sz w:val="20"/>
                <w:szCs w:val="20"/>
                <w:color w:val="auto"/>
              </w:rPr>
            </w:pPr>
            <w:r>
              <w:rPr>
                <w:rFonts w:ascii="Arial" w:cs="Arial" w:eastAsia="Arial" w:hAnsi="Arial"/>
                <w:sz w:val="13"/>
                <w:szCs w:val="13"/>
                <w:color w:val="auto"/>
              </w:rPr>
              <w:t>Gina Quiram</w:t>
            </w:r>
            <w:r>
              <w:rPr>
                <w:rFonts w:ascii="Arial" w:cs="Arial" w:eastAsia="Arial" w:hAnsi="Arial"/>
                <w:sz w:val="20"/>
                <w:szCs w:val="20"/>
                <w:color w:val="auto"/>
                <w:vertAlign w:val="superscript"/>
              </w:rPr>
              <w:t>(51)</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143,459</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26,696</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165,893</w:t>
            </w:r>
          </w:p>
        </w:tc>
        <w:tc>
          <w:tcPr>
            <w:tcW w:w="8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1.8%</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336,048</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165,893</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04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Susan Tanski</w:t>
            </w:r>
            <w:r>
              <w:rPr>
                <w:rFonts w:ascii="Arial" w:cs="Arial" w:eastAsia="Arial" w:hAnsi="Arial"/>
                <w:sz w:val="20"/>
                <w:szCs w:val="20"/>
                <w:color w:val="auto"/>
                <w:vertAlign w:val="superscript"/>
              </w:rPr>
              <w:t>(52)</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149,319</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27,786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205,009</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2.2%</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382,114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205,009</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tcPr>
          <w:p>
            <w:pPr>
              <w:spacing w:after="0" w:line="176" w:lineRule="exact"/>
              <w:rPr>
                <w:sz w:val="20"/>
                <w:szCs w:val="20"/>
                <w:color w:val="auto"/>
              </w:rPr>
            </w:pPr>
            <w:r>
              <w:rPr>
                <w:rFonts w:ascii="Arial" w:cs="Arial" w:eastAsia="Arial" w:hAnsi="Arial"/>
                <w:sz w:val="13"/>
                <w:szCs w:val="13"/>
                <w:color w:val="auto"/>
              </w:rPr>
              <w:t>Arthur Wong</w:t>
            </w:r>
            <w:r>
              <w:rPr>
                <w:rFonts w:ascii="Arial" w:cs="Arial" w:eastAsia="Arial" w:hAnsi="Arial"/>
                <w:sz w:val="20"/>
                <w:szCs w:val="20"/>
                <w:color w:val="auto"/>
                <w:vertAlign w:val="superscript"/>
              </w:rPr>
              <w:t>(53)</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120,959</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22,509</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165,893</w:t>
            </w:r>
          </w:p>
        </w:tc>
        <w:tc>
          <w:tcPr>
            <w:tcW w:w="8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1.7%</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309,361</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165,893</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James Sheridan</w:t>
            </w:r>
            <w:r>
              <w:rPr>
                <w:rFonts w:ascii="Arial" w:cs="Arial" w:eastAsia="Arial" w:hAnsi="Arial"/>
                <w:sz w:val="20"/>
                <w:szCs w:val="20"/>
                <w:color w:val="auto"/>
                <w:vertAlign w:val="superscript"/>
              </w:rPr>
              <w:t>(54)</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25,009</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19,352</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143,953</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188,314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143,953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tcPr>
          <w:p>
            <w:pPr>
              <w:spacing w:after="0" w:line="176" w:lineRule="exact"/>
              <w:rPr>
                <w:sz w:val="20"/>
                <w:szCs w:val="20"/>
                <w:color w:val="auto"/>
              </w:rPr>
            </w:pPr>
            <w:r>
              <w:rPr>
                <w:rFonts w:ascii="Arial" w:cs="Arial" w:eastAsia="Arial" w:hAnsi="Arial"/>
                <w:sz w:val="13"/>
                <w:szCs w:val="13"/>
                <w:color w:val="auto"/>
              </w:rPr>
              <w:t>Justin Kelly Revocable Trust</w:t>
            </w:r>
            <w:r>
              <w:rPr>
                <w:rFonts w:ascii="Arial" w:cs="Arial" w:eastAsia="Arial" w:hAnsi="Arial"/>
                <w:sz w:val="20"/>
                <w:szCs w:val="20"/>
                <w:color w:val="auto"/>
                <w:vertAlign w:val="superscript"/>
              </w:rPr>
              <w:t>(55)</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8,374</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50,000</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58,374</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50,000</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Michael J. Schlembach</w:t>
            </w:r>
            <w:r>
              <w:rPr>
                <w:rFonts w:ascii="Arial" w:cs="Arial" w:eastAsia="Arial" w:hAnsi="Arial"/>
                <w:sz w:val="20"/>
                <w:szCs w:val="20"/>
                <w:color w:val="auto"/>
                <w:vertAlign w:val="superscript"/>
              </w:rPr>
              <w:t>(56)</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6,699</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6,699</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tcPr>
          <w:p>
            <w:pPr>
              <w:spacing w:after="0" w:line="176" w:lineRule="exact"/>
              <w:rPr>
                <w:sz w:val="20"/>
                <w:szCs w:val="20"/>
                <w:color w:val="auto"/>
              </w:rPr>
            </w:pPr>
            <w:r>
              <w:rPr>
                <w:rFonts w:ascii="Arial" w:cs="Arial" w:eastAsia="Arial" w:hAnsi="Arial"/>
                <w:sz w:val="13"/>
                <w:szCs w:val="13"/>
                <w:color w:val="auto"/>
              </w:rPr>
              <w:t>Strickland 2004 Family Trust</w:t>
            </w:r>
            <w:r>
              <w:rPr>
                <w:rFonts w:ascii="Arial" w:cs="Arial" w:eastAsia="Arial" w:hAnsi="Arial"/>
                <w:sz w:val="20"/>
                <w:szCs w:val="20"/>
                <w:color w:val="auto"/>
                <w:vertAlign w:val="superscript"/>
              </w:rPr>
              <w:t>(57)</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18,000</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3,350</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24,687</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46,037</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24,687</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04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Ashwin Verma</w:t>
            </w:r>
            <w:r>
              <w:rPr>
                <w:rFonts w:ascii="Arial" w:cs="Arial" w:eastAsia="Arial" w:hAnsi="Arial"/>
                <w:sz w:val="20"/>
                <w:szCs w:val="20"/>
                <w:color w:val="auto"/>
                <w:vertAlign w:val="superscript"/>
              </w:rPr>
              <w:t>(58)</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18,000</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3,350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24,687</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46,037</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24,687</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tcPr>
          <w:p>
            <w:pPr>
              <w:spacing w:after="0" w:line="176" w:lineRule="exact"/>
              <w:rPr>
                <w:sz w:val="20"/>
                <w:szCs w:val="20"/>
                <w:color w:val="auto"/>
              </w:rPr>
            </w:pPr>
            <w:r>
              <w:rPr>
                <w:rFonts w:ascii="Arial" w:cs="Arial" w:eastAsia="Arial" w:hAnsi="Arial"/>
                <w:sz w:val="13"/>
                <w:szCs w:val="13"/>
                <w:color w:val="auto"/>
              </w:rPr>
              <w:t>Kenna Gursel</w:t>
            </w:r>
            <w:r>
              <w:rPr>
                <w:rFonts w:ascii="Arial" w:cs="Arial" w:eastAsia="Arial" w:hAnsi="Arial"/>
                <w:sz w:val="20"/>
                <w:szCs w:val="20"/>
                <w:color w:val="auto"/>
                <w:vertAlign w:val="superscript"/>
              </w:rPr>
              <w:t>(59)</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20,000</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3,350</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24,687</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46,037</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24,687</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2,000</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WILLIAMS IRAT, MICHAEL</w:t>
            </w:r>
            <w:r>
              <w:rPr>
                <w:rFonts w:ascii="Arial" w:cs="Arial" w:eastAsia="Arial" w:hAnsi="Arial"/>
                <w:sz w:val="20"/>
                <w:szCs w:val="20"/>
                <w:color w:val="auto"/>
                <w:vertAlign w:val="superscript"/>
              </w:rPr>
              <w:t>(60)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5,815</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1,082</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8,342</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15,239</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8,342</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tcPr>
          <w:p>
            <w:pPr>
              <w:spacing w:after="0" w:line="176" w:lineRule="exact"/>
              <w:rPr>
                <w:sz w:val="20"/>
                <w:szCs w:val="20"/>
                <w:color w:val="auto"/>
              </w:rPr>
            </w:pPr>
            <w:r>
              <w:rPr>
                <w:rFonts w:ascii="Arial" w:cs="Arial" w:eastAsia="Arial" w:hAnsi="Arial"/>
                <w:sz w:val="13"/>
                <w:szCs w:val="13"/>
                <w:color w:val="auto"/>
              </w:rPr>
              <w:t>M. Patrick Williams</w:t>
            </w:r>
            <w:r>
              <w:rPr>
                <w:rFonts w:ascii="Arial" w:cs="Arial" w:eastAsia="Arial" w:hAnsi="Arial"/>
                <w:sz w:val="20"/>
                <w:szCs w:val="20"/>
                <w:color w:val="auto"/>
                <w:vertAlign w:val="superscript"/>
              </w:rPr>
              <w:t>(61)</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15,846</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2,949</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21,732</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40,527</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21,732</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04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Allan Duncan</w:t>
            </w:r>
            <w:r>
              <w:rPr>
                <w:rFonts w:ascii="Arial" w:cs="Arial" w:eastAsia="Arial" w:hAnsi="Arial"/>
                <w:sz w:val="20"/>
                <w:szCs w:val="20"/>
                <w:color w:val="auto"/>
                <w:vertAlign w:val="superscript"/>
              </w:rPr>
              <w:t>(62)</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2,700</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502</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3,703</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6,905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3,703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tcPr>
          <w:p>
            <w:pPr>
              <w:spacing w:after="0" w:line="176" w:lineRule="exact"/>
              <w:rPr>
                <w:sz w:val="20"/>
                <w:szCs w:val="20"/>
                <w:color w:val="auto"/>
              </w:rPr>
            </w:pPr>
            <w:r>
              <w:rPr>
                <w:rFonts w:ascii="Arial" w:cs="Arial" w:eastAsia="Arial" w:hAnsi="Arial"/>
                <w:sz w:val="13"/>
                <w:szCs w:val="13"/>
                <w:color w:val="auto"/>
              </w:rPr>
              <w:t>Jay Allen Bys</w:t>
            </w:r>
            <w:r>
              <w:rPr>
                <w:rFonts w:ascii="Arial" w:cs="Arial" w:eastAsia="Arial" w:hAnsi="Arial"/>
                <w:sz w:val="20"/>
                <w:szCs w:val="20"/>
                <w:color w:val="auto"/>
                <w:vertAlign w:val="superscript"/>
              </w:rPr>
              <w:t>(63)</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9,000</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1,675</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12,343</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23,018</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12,343</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Timothy A. Welsh</w:t>
            </w:r>
            <w:r>
              <w:rPr>
                <w:rFonts w:ascii="Arial" w:cs="Arial" w:eastAsia="Arial" w:hAnsi="Arial"/>
                <w:sz w:val="20"/>
                <w:szCs w:val="20"/>
                <w:color w:val="auto"/>
                <w:vertAlign w:val="superscript"/>
              </w:rPr>
              <w:t>(64)</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16,673</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3,103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23,750</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43,526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23,750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040" w:type="dxa"/>
            <w:vAlign w:val="bottom"/>
            <w:gridSpan w:val="2"/>
          </w:tcPr>
          <w:p>
            <w:pPr>
              <w:spacing w:after="0" w:line="176" w:lineRule="exact"/>
              <w:rPr>
                <w:sz w:val="20"/>
                <w:szCs w:val="20"/>
                <w:color w:val="auto"/>
              </w:rPr>
            </w:pPr>
            <w:r>
              <w:rPr>
                <w:rFonts w:ascii="Arial" w:cs="Arial" w:eastAsia="Arial" w:hAnsi="Arial"/>
                <w:sz w:val="13"/>
                <w:szCs w:val="13"/>
                <w:color w:val="auto"/>
              </w:rPr>
              <w:t>RVA2LGA Investors LLC</w:t>
            </w:r>
            <w:r>
              <w:rPr>
                <w:rFonts w:ascii="Arial" w:cs="Arial" w:eastAsia="Arial" w:hAnsi="Arial"/>
                <w:sz w:val="20"/>
                <w:szCs w:val="20"/>
                <w:color w:val="auto"/>
                <w:vertAlign w:val="superscript"/>
              </w:rPr>
              <w:t>(65)</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83,363</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15,513</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118,750</w:t>
            </w:r>
          </w:p>
        </w:tc>
        <w:tc>
          <w:tcPr>
            <w:tcW w:w="8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1.3%</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217,626</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118,750</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Magnetar Financial LLC</w:t>
            </w:r>
            <w:r>
              <w:rPr>
                <w:rFonts w:ascii="Arial" w:cs="Arial" w:eastAsia="Arial" w:hAnsi="Arial"/>
                <w:sz w:val="20"/>
                <w:szCs w:val="20"/>
                <w:color w:val="auto"/>
                <w:vertAlign w:val="superscript"/>
              </w:rPr>
              <w:t>(66)</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50,260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641,249</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6.7%</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691,509</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641,249</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rPr>
              <w:t>Charlote Barron</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396,538</w:t>
            </w: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89,394</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136,832</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89,394</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349,100</w:t>
            </w:r>
          </w:p>
        </w:tc>
        <w:tc>
          <w:tcPr>
            <w:tcW w:w="6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Claudia Barron</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389,632</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89,394</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136,832</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89,394</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342,194</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40" w:type="dxa"/>
            <w:vAlign w:val="bottom"/>
            <w:gridSpan w:val="2"/>
          </w:tcPr>
          <w:p>
            <w:pPr>
              <w:spacing w:after="0"/>
              <w:rPr>
                <w:sz w:val="20"/>
                <w:szCs w:val="20"/>
                <w:color w:val="auto"/>
              </w:rPr>
            </w:pPr>
            <w:r>
              <w:rPr>
                <w:rFonts w:ascii="Arial" w:cs="Arial" w:eastAsia="Arial" w:hAnsi="Arial"/>
                <w:sz w:val="13"/>
                <w:szCs w:val="13"/>
                <w:color w:val="auto"/>
              </w:rPr>
              <w:t>Lydia Barron</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489,338</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89,394</w:t>
            </w:r>
          </w:p>
        </w:tc>
        <w:tc>
          <w:tcPr>
            <w:tcW w:w="80" w:type="dxa"/>
            <w:vAlign w:val="bottom"/>
          </w:tcPr>
          <w:p>
            <w:pPr>
              <w:spacing w:after="0"/>
              <w:rPr>
                <w:sz w:val="13"/>
                <w:szCs w:val="1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136,832</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89,394</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441,900</w:t>
            </w:r>
          </w:p>
        </w:tc>
        <w:tc>
          <w:tcPr>
            <w:tcW w:w="6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16" w:name="page17"/>
    <w:bookmarkEnd w:id="16"/>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17830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83080" cy="8890"/>
                    </a:xfrm>
                    <a:prstGeom prst="rect">
                      <a:avLst/>
                    </a:prstGeom>
                    <a:noFill/>
                  </pic:spPr>
                </pic:pic>
              </a:graphicData>
            </a:graphic>
          </wp:anchor>
        </w:drawing>
        <w:t>Denotes less than 1%.</w:t>
      </w:r>
    </w:p>
    <w:p>
      <w:pPr>
        <w:spacing w:after="0" w:line="22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Selling Securityholders may be deemed to beneficially own other shares reported herein.</w:t>
      </w:r>
    </w:p>
    <w:p>
      <w:pPr>
        <w:spacing w:after="0" w:line="229" w:lineRule="exact"/>
        <w:rPr>
          <w:sz w:val="20"/>
          <w:szCs w:val="20"/>
          <w:color w:val="auto"/>
        </w:rPr>
      </w:pPr>
    </w:p>
    <w:p>
      <w:pPr>
        <w:ind w:left="660" w:right="520" w:hanging="652"/>
        <w:spacing w:after="0" w:line="210" w:lineRule="auto"/>
        <w:tabs>
          <w:tab w:leader="none" w:pos="660" w:val="left"/>
        </w:tabs>
        <w:numPr>
          <w:ilvl w:val="0"/>
          <w:numId w:val="9"/>
        </w:numPr>
        <w:rPr>
          <w:rFonts w:ascii="Arial" w:cs="Arial" w:eastAsia="Arial" w:hAnsi="Arial"/>
          <w:sz w:val="32"/>
          <w:szCs w:val="32"/>
          <w:color w:val="auto"/>
          <w:vertAlign w:val="superscript"/>
        </w:rPr>
      </w:pPr>
      <w:r>
        <w:rPr>
          <w:rFonts w:ascii="Arial" w:cs="Arial" w:eastAsia="Arial" w:hAnsi="Arial"/>
          <w:sz w:val="16"/>
          <w:szCs w:val="16"/>
          <w:color w:val="auto"/>
        </w:rPr>
        <w:t>Unless otherwise indicated, the business address of each of these holders is c/o TMC the metals company Inc., 595 Howe Street,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Vancouver, British Columbia, Canada V6C 2T5.</w:t>
      </w:r>
    </w:p>
    <w:p>
      <w:pPr>
        <w:ind w:left="660" w:right="40" w:hanging="652"/>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(i) 14,941,656 Common Shares, and (ii) 4,078,044 Common Shares that are issuable upon exercise of options that are exercisable within 60 days of January 31, 2023. Does not include (i) 2,275,334 Common Shares underlying options that are not exercisable within 60 days of January 31, 2023, and (ii) 520,833 restricted stock units, or the RSUs, each representing the right to receive one Common Share upon vesting, that do not vest within 60 days of January 31, 2023.</w:t>
      </w:r>
    </w:p>
    <w:p>
      <w:pPr>
        <w:spacing w:after="0" w:line="1" w:lineRule="exact"/>
        <w:rPr>
          <w:rFonts w:ascii="Arial" w:cs="Arial" w:eastAsia="Arial" w:hAnsi="Arial"/>
          <w:sz w:val="18"/>
          <w:szCs w:val="18"/>
          <w:color w:val="auto"/>
        </w:rPr>
      </w:pPr>
    </w:p>
    <w:p>
      <w:pPr>
        <w:ind w:left="660" w:right="60" w:hanging="652"/>
        <w:spacing w:after="0" w:line="265"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Represents (i) 2,677 Common Shares, (ii) 51,955,976 Common Shares held by ERAS Capital LLC, or ERAS, and (iii) 642,613 Common Shares that are issuable upon exercise of options that are exercisable within 60 days of January 31, 2023 held by Mr. Karkar. ERAS also holds 1,414,716 Private Placement Warrants to purchase 1,414,716 Common Shares. Does not include (i) 126,407 Common Shares underlying options that are not exercisable within 60 days of January 31, 2023 held by Mr. Karkar, and (ii) 73,382 RSUs that do not vest within 60 days of January 31, 2023 held by Mr. Karkar. Mr. Karkar has voting and dispositive control over the securities held by ERAS and therefore Mr. Karkar may be deemed to have beneficial ownership of the shares held by ERAS.</w:t>
      </w:r>
    </w:p>
    <w:p>
      <w:pPr>
        <w:ind w:left="660" w:right="40" w:hanging="652"/>
        <w:spacing w:after="0" w:line="28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(i) 1,322,757 Common Shares, (ii) 618,381 Common Shares held by Bedrock Capital Corp., and (iii) 484,720 Common Shares that are issuable upon exercise of options that are exercisable within 60 days of January 31, 2023. Does not include 101,126 Common Shares underlying options that are not exercisable within 60 days of January 31, 2023. Mr. Matysek has voting and investment power over the shares held by Bedrock Capital Corp. The business address of such holder is 5603 - 1480 Howe Street, Vancouver, British Columbia, Canada V6Z 0G5.</w:t>
      </w:r>
    </w:p>
    <w:p>
      <w:pPr>
        <w:spacing w:after="0" w:line="2" w:lineRule="exact"/>
        <w:rPr>
          <w:rFonts w:ascii="Arial" w:cs="Arial" w:eastAsia="Arial" w:hAnsi="Arial"/>
          <w:sz w:val="16"/>
          <w:szCs w:val="16"/>
          <w:color w:val="auto"/>
        </w:rPr>
      </w:pPr>
    </w:p>
    <w:p>
      <w:pPr>
        <w:ind w:left="660" w:right="60" w:hanging="652"/>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Does not include 126,407 Common Shares underlying options that are not exercisable within 60 days of January 31, 2023. Mr. Paes-Braga has voting and investment power over the shares held by WTP Capital Corp. and Valola Holdings Corp. The business address of such holder is 5603 - 1480 Howe Street, Vancouver, British Columbia, Canada V6Z 0G5.</w:t>
      </w:r>
    </w:p>
    <w:p>
      <w:pPr>
        <w:spacing w:after="0" w:line="1" w:lineRule="exact"/>
        <w:rPr>
          <w:rFonts w:ascii="Arial" w:cs="Arial" w:eastAsia="Arial" w:hAnsi="Arial"/>
          <w:sz w:val="18"/>
          <w:szCs w:val="18"/>
          <w:color w:val="auto"/>
        </w:rPr>
      </w:pPr>
    </w:p>
    <w:p>
      <w:pPr>
        <w:jc w:val="both"/>
        <w:ind w:left="660" w:right="140" w:hanging="652"/>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(i) 161,986 Common Shares, and (ii) 1,323,613 Common Shares that are issuable upon exercise of options that are exercisable within 60 days of January 31, 2023. Does not include (i) 505,630 Common Shares underlying options that are not exercisable within 60 days of January 31, 2023, and (ii) 104,167 RSUs that do not vest within 60 days of January 31, 2023.</w:t>
      </w:r>
    </w:p>
    <w:p>
      <w:pPr>
        <w:spacing w:after="0" w:line="1" w:lineRule="exact"/>
        <w:rPr>
          <w:rFonts w:ascii="Arial" w:cs="Arial" w:eastAsia="Arial" w:hAnsi="Arial"/>
          <w:sz w:val="18"/>
          <w:szCs w:val="18"/>
          <w:color w:val="auto"/>
        </w:rPr>
      </w:pPr>
    </w:p>
    <w:p>
      <w:pPr>
        <w:ind w:left="660" w:hanging="652"/>
        <w:spacing w:after="0" w:line="28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(i) 379,523 Common Shares, (ii) 30,682 Common Shares held of record by Ms. Ilves’ children, Helena Lupas and Dora Lupas, and (iii) 1,362,077 Common Shares that are issuable upon exercise of options that are exercisable within 60 days of January 31, 2023. Does not include (i) 1,011,259 Common Shares underlying options that are not exercisable within 60 days of January 31, 2023, and (ii) 156,250 RSUs that do not vest within 60 days of January 31, 2023. Ms. Ilves disclaims ownership over the shares held by her children, Helena Lupas and Dora Lupas.</w:t>
      </w:r>
    </w:p>
    <w:p>
      <w:pPr>
        <w:spacing w:after="0" w:line="2" w:lineRule="exact"/>
        <w:rPr>
          <w:rFonts w:ascii="Arial" w:cs="Arial" w:eastAsia="Arial" w:hAnsi="Arial"/>
          <w:sz w:val="16"/>
          <w:szCs w:val="16"/>
          <w:color w:val="auto"/>
        </w:rPr>
      </w:pPr>
    </w:p>
    <w:p>
      <w:pPr>
        <w:jc w:val="both"/>
        <w:ind w:left="660" w:right="60" w:hanging="652"/>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(i) 500,331 Common Shares, and (ii) 270,167 Common Shares that are issuable upon exercise of options that are exercisable within 60 days of January 31, 2023. Does not include (i) 387,898 Common Shares underlying options that are not exercisable within 60 days of January 31, 2023, and (ii) 156,250 RSUs that do not vest within 60 days of January 31, 2023.</w:t>
      </w:r>
    </w:p>
    <w:p>
      <w:pPr>
        <w:spacing w:after="0" w:line="1" w:lineRule="exact"/>
        <w:rPr>
          <w:rFonts w:ascii="Arial" w:cs="Arial" w:eastAsia="Arial" w:hAnsi="Arial"/>
          <w:sz w:val="18"/>
          <w:szCs w:val="18"/>
          <w:color w:val="auto"/>
        </w:rPr>
      </w:pPr>
    </w:p>
    <w:p>
      <w:pPr>
        <w:ind w:left="660" w:right="40" w:hanging="652"/>
        <w:spacing w:after="0" w:line="290"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shares reported herein are held directly by Maersk Supply Services A/S, a wholly-owned subsidiary of A.P. Moller - Maersk A/S. A.P. Moller Holding A/S controls a majority of the outstanding equity interests and voting power of A.P. Moller - Maersk A/S. A.P. Moller Holding A/S is a wholly-owned subsidiary of A.P. Moller og Hustru Chastine Mc-Kinney Mollers Fond til almene Formaal, or the Moller Foundation. Ane Maersk Mc Kinney Uggla, Brigitte Possing, Lars-Erik Brenoe, Alette Maersk Mc-Kinney Sorensen and Claus Michael Valentin Hemmingsen, directors of the Moller Foundation, have voting and investment control over the shares held by Maersk Supply Service A/S. The business address of such holder is Esplanaden 50 Copenhagen K, DK-1098 Denmark. Maersk Supply Service A/S is a subsidiary of AP Moller-Maersk A/S.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17" w:name="page18"/>
    <w:bookmarkEnd w:id="17"/>
    <w:p>
      <w:pPr>
        <w:ind w:left="652" w:right="660" w:hanging="652"/>
        <w:spacing w:after="0" w:line="258" w:lineRule="auto"/>
        <w:tabs>
          <w:tab w:leader="none" w:pos="6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Anthony O’Sullivan has voting and investment control over the shares held by JOZEM Pty Ltd. The business address of such holder is 19 Tennyson Street, Bulimba, Queensland 4171.</w:t>
      </w:r>
    </w:p>
    <w:p>
      <w:pPr>
        <w:spacing w:after="0" w:line="1" w:lineRule="exact"/>
        <w:rPr>
          <w:rFonts w:ascii="Arial" w:cs="Arial" w:eastAsia="Arial" w:hAnsi="Arial"/>
          <w:sz w:val="18"/>
          <w:szCs w:val="18"/>
          <w:color w:val="auto"/>
        </w:rPr>
      </w:pPr>
    </w:p>
    <w:p>
      <w:pPr>
        <w:ind w:left="652" w:right="360" w:hanging="652"/>
        <w:spacing w:after="0" w:line="250" w:lineRule="auto"/>
        <w:tabs>
          <w:tab w:leader="none" w:pos="6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Paes-Braga has voting and investment power over the shares held by WTP Capital Corp. The business address of such holder is 1000-595 Howe Street, Vancouver, British Columbia, Canada V6C 2T5.</w:t>
      </w:r>
    </w:p>
    <w:p>
      <w:pPr>
        <w:ind w:left="652" w:right="20" w:hanging="652"/>
        <w:spacing w:after="0" w:line="250" w:lineRule="auto"/>
        <w:tabs>
          <w:tab w:leader="none" w:pos="6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Paes-Braga has voting and investment power over the shares held by Valola Holdings Corp. The business address of such holder is One Nexus Way, Camana Bay, Grand Cayman, Cayman Islands KY1-9005.</w:t>
      </w:r>
    </w:p>
    <w:p>
      <w:pPr>
        <w:ind w:left="652" w:right="420" w:hanging="652"/>
        <w:spacing w:after="0" w:line="250" w:lineRule="auto"/>
        <w:tabs>
          <w:tab w:leader="none" w:pos="6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business address of such holder is 7 West Quay Road, Marina Residential Estate, 206 Pembroke Block C, Waterfront, Cape Town, South Africa 8001.</w:t>
      </w:r>
    </w:p>
    <w:p>
      <w:pPr>
        <w:ind w:left="652" w:right="140" w:hanging="652"/>
        <w:spacing w:after="0" w:line="250" w:lineRule="auto"/>
        <w:tabs>
          <w:tab w:leader="none" w:pos="6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Matysek has voting and investment power over the shares held by Bedrock Capital Corp. The business address of such holder is 5603 - 1480 Howe Street, Vancouver, British Columbia, Canada V6Z 0G5.</w:t>
      </w:r>
    </w:p>
    <w:p>
      <w:pPr>
        <w:ind w:left="652" w:hanging="652"/>
        <w:spacing w:after="0"/>
        <w:tabs>
          <w:tab w:leader="none" w:pos="6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business address of such holder is c/o King Street, 299 Park Avenue, 40th Floor, New York, New York 10171.</w:t>
      </w:r>
    </w:p>
    <w:p>
      <w:pPr>
        <w:spacing w:after="0" w:line="9" w:lineRule="exact"/>
        <w:rPr>
          <w:rFonts w:ascii="Arial" w:cs="Arial" w:eastAsia="Arial" w:hAnsi="Arial"/>
          <w:sz w:val="18"/>
          <w:szCs w:val="18"/>
          <w:color w:val="auto"/>
        </w:rPr>
      </w:pPr>
    </w:p>
    <w:p>
      <w:pPr>
        <w:ind w:left="652" w:hanging="652"/>
        <w:spacing w:after="0"/>
        <w:tabs>
          <w:tab w:leader="none" w:pos="6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business address of such holder is 115 East 67th Street, Apartment 4B, New York, New York 10065.</w:t>
      </w:r>
    </w:p>
    <w:p>
      <w:pPr>
        <w:spacing w:after="0" w:line="9" w:lineRule="exact"/>
        <w:rPr>
          <w:rFonts w:ascii="Arial" w:cs="Arial" w:eastAsia="Arial" w:hAnsi="Arial"/>
          <w:sz w:val="18"/>
          <w:szCs w:val="18"/>
          <w:color w:val="auto"/>
        </w:rPr>
      </w:pPr>
    </w:p>
    <w:p>
      <w:pPr>
        <w:ind w:left="652" w:right="340" w:hanging="652"/>
        <w:spacing w:after="0" w:line="300" w:lineRule="auto"/>
        <w:tabs>
          <w:tab w:leader="none" w:pos="652" w:val="left"/>
        </w:tabs>
        <w:numPr>
          <w:ilvl w:val="0"/>
          <w:numId w:val="10"/>
        </w:numPr>
        <w:rPr>
          <w:rFonts w:ascii="Arial" w:cs="Arial" w:eastAsia="Arial" w:hAnsi="Arial"/>
          <w:sz w:val="15"/>
          <w:szCs w:val="15"/>
          <w:color w:val="auto"/>
        </w:rPr>
      </w:pPr>
      <w:r>
        <w:rPr>
          <w:rFonts w:ascii="Arial" w:cs="Arial" w:eastAsia="Arial" w:hAnsi="Arial"/>
          <w:sz w:val="15"/>
          <w:szCs w:val="15"/>
          <w:color w:val="auto"/>
        </w:rPr>
        <w:t>Christian Bolleter and Johannes Matt are each Directors of Blue Dragons AG, or Blue Dragons, and may be deemed to have voting and investment power over the shares held by Blue Dragons. The business address of such holder is Essanestrasse 91, Eschen, Liechtenstein 9492.</w:t>
      </w:r>
    </w:p>
    <w:p>
      <w:pPr>
        <w:ind w:left="652" w:hanging="652"/>
        <w:spacing w:after="0"/>
        <w:tabs>
          <w:tab w:leader="none" w:pos="6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business address of such holder is 3270 Mathers Avenue, West Vancouver, British Columbia, Canada V7V 2K5.</w:t>
      </w:r>
    </w:p>
    <w:p>
      <w:pPr>
        <w:spacing w:after="0" w:line="9" w:lineRule="exact"/>
        <w:rPr>
          <w:rFonts w:ascii="Arial" w:cs="Arial" w:eastAsia="Arial" w:hAnsi="Arial"/>
          <w:sz w:val="18"/>
          <w:szCs w:val="18"/>
          <w:color w:val="auto"/>
        </w:rPr>
      </w:pPr>
    </w:p>
    <w:p>
      <w:pPr>
        <w:ind w:left="652" w:hanging="652"/>
        <w:spacing w:after="0"/>
        <w:tabs>
          <w:tab w:leader="none" w:pos="6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business address of such holder is c/o King Street, 299 Park Avenue, 40th Floor, New York, New York 10171.</w:t>
      </w:r>
    </w:p>
    <w:p>
      <w:pPr>
        <w:spacing w:after="0" w:line="9" w:lineRule="exact"/>
        <w:rPr>
          <w:rFonts w:ascii="Arial" w:cs="Arial" w:eastAsia="Arial" w:hAnsi="Arial"/>
          <w:sz w:val="18"/>
          <w:szCs w:val="18"/>
          <w:color w:val="auto"/>
        </w:rPr>
      </w:pPr>
    </w:p>
    <w:p>
      <w:pPr>
        <w:ind w:left="652" w:hanging="652"/>
        <w:spacing w:after="0"/>
        <w:tabs>
          <w:tab w:leader="none" w:pos="6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business address of such holder is 316 West 36th Street, Apartment 10A, New York, New York 10018.</w:t>
      </w:r>
    </w:p>
    <w:p>
      <w:pPr>
        <w:spacing w:after="0" w:line="9" w:lineRule="exact"/>
        <w:rPr>
          <w:rFonts w:ascii="Arial" w:cs="Arial" w:eastAsia="Arial" w:hAnsi="Arial"/>
          <w:sz w:val="18"/>
          <w:szCs w:val="18"/>
          <w:color w:val="auto"/>
        </w:rPr>
      </w:pPr>
    </w:p>
    <w:p>
      <w:pPr>
        <w:ind w:left="652" w:hanging="652"/>
        <w:spacing w:after="0"/>
        <w:tabs>
          <w:tab w:leader="none" w:pos="6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business address of such holder is Flat 6, 46 Pont Street, London, United Kingdom SW1X 0AD.</w:t>
      </w:r>
    </w:p>
    <w:p>
      <w:pPr>
        <w:spacing w:after="0" w:line="9" w:lineRule="exact"/>
        <w:rPr>
          <w:rFonts w:ascii="Arial" w:cs="Arial" w:eastAsia="Arial" w:hAnsi="Arial"/>
          <w:sz w:val="18"/>
          <w:szCs w:val="18"/>
          <w:color w:val="auto"/>
        </w:rPr>
      </w:pPr>
    </w:p>
    <w:p>
      <w:pPr>
        <w:jc w:val="both"/>
        <w:ind w:left="652" w:right="260" w:hanging="652"/>
        <w:spacing w:after="0" w:line="250" w:lineRule="auto"/>
        <w:tabs>
          <w:tab w:leader="none" w:pos="6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Sea Otter Securities Group is a registered broker-dealer and FINRA member. Peter Smith, Peter Wisniewski and Nick Fahey may be deemed to have voting and investment power over the shares held by Sea Otter Securities Group. The business address of such holder is 107 Grand Street, 7th Floor, New York, New York 10013.</w:t>
      </w:r>
    </w:p>
    <w:p>
      <w:pPr>
        <w:spacing w:after="0" w:line="1" w:lineRule="exact"/>
        <w:rPr>
          <w:rFonts w:ascii="Arial" w:cs="Arial" w:eastAsia="Arial" w:hAnsi="Arial"/>
          <w:sz w:val="18"/>
          <w:szCs w:val="18"/>
          <w:color w:val="auto"/>
        </w:rPr>
      </w:pPr>
    </w:p>
    <w:p>
      <w:pPr>
        <w:ind w:left="652" w:right="120" w:hanging="652"/>
        <w:spacing w:after="0" w:line="250" w:lineRule="auto"/>
        <w:tabs>
          <w:tab w:leader="none" w:pos="6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Brian J. Higgins may be deemed to have voting and investment power over the shares held by Sigsbee Investments LLC. The business address of such holder is c/o King Street, 299 Park Avenue, 40th Floor, New York, New York 10171.</w:t>
      </w:r>
    </w:p>
    <w:p>
      <w:pPr>
        <w:ind w:left="652" w:right="300" w:hanging="652"/>
        <w:spacing w:after="0" w:line="250" w:lineRule="auto"/>
        <w:tabs>
          <w:tab w:leader="none" w:pos="6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Tian Tollefsen, Portfolio Manager of VPF Delphi Global, or VPF Global, may be deemed to have voting and investment power over the shares held by VPF Global. The business address of such holder is Professor Kohts vei 9, Lysaker, Norway 1327.</w:t>
      </w:r>
    </w:p>
    <w:p>
      <w:pPr>
        <w:ind w:left="652" w:right="280" w:hanging="652"/>
        <w:spacing w:after="0" w:line="250" w:lineRule="auto"/>
        <w:tabs>
          <w:tab w:leader="none" w:pos="6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Gmelich may be deemed to have voting and investment power over the shares held by the Justin Gmelich 2012 Family Trust. The business address of such holder is c/o King Street, 299 Park Avenue, 40th Floor, New York, New York 10171.</w:t>
      </w:r>
    </w:p>
    <w:p>
      <w:pPr>
        <w:ind w:left="652" w:hanging="652"/>
        <w:spacing w:after="0"/>
        <w:tabs>
          <w:tab w:leader="none" w:pos="6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business of such holder is Apartment 6403, Jaddaf Waterfront Tower D1, Dubair, United Arab Emirates.</w:t>
      </w:r>
    </w:p>
    <w:p>
      <w:pPr>
        <w:spacing w:after="0" w:line="9" w:lineRule="exact"/>
        <w:rPr>
          <w:rFonts w:ascii="Arial" w:cs="Arial" w:eastAsia="Arial" w:hAnsi="Arial"/>
          <w:sz w:val="18"/>
          <w:szCs w:val="18"/>
          <w:color w:val="auto"/>
        </w:rPr>
      </w:pPr>
    </w:p>
    <w:p>
      <w:pPr>
        <w:ind w:left="652" w:right="300" w:hanging="652"/>
        <w:spacing w:after="0" w:line="250" w:lineRule="auto"/>
        <w:tabs>
          <w:tab w:leader="none" w:pos="6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Edward Heerema may be deemed to have voting and investment power over the shares held by Argentum Cedit Virtuti GCV. The business address of such holder is 18 Route de Pra de Plan, Case Postale, 411 1618 Chatel-Saint-Denis, Switzerland.</w:t>
      </w:r>
    </w:p>
    <w:p>
      <w:pPr>
        <w:ind w:left="652" w:hanging="652"/>
        <w:spacing w:after="0" w:line="265" w:lineRule="auto"/>
        <w:tabs>
          <w:tab w:leader="none" w:pos="6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Represents (i) 22,701,648 Common Shares and (ii) 11,578,620 Common Shares issuable upon exercise of the Allseas Warrant. Does not include an aggregate of 10,850,000 Common Shares the Company intended to issue to Allseas as payment for the completion of pilot collection system trials in the Pacific Ocean, which were issued to Allseas on February 13, 2023. Mr. Edward Heerema, the Administrateur President of Allseas, has sole authority over Allseas. Mr. Heerema, Allseas Investments S.A., or Allseas Investments, the majority parent of Allseas, Argentum Cedit Virtuti GCV, the parent of Allseas Investments, and Stichting Administratiekantoor Aequa Lance Foundation, the parent of Allseas, Argentum Cedit Virtuti GCV, may be deemed to have beneficial ownership of the shares owned by Allseas. The business address of such holder is 18 Route de Pra de Plan, Case Postale, 411 1618 Chatel-Saint-Denis, Switzerland. We have a strategic relationship with Allseas in connection with the development of our collection systems.</w:t>
      </w:r>
    </w:p>
    <w:p>
      <w:pPr>
        <w:spacing w:after="0" w:line="1" w:lineRule="exact"/>
        <w:rPr>
          <w:rFonts w:ascii="Arial" w:cs="Arial" w:eastAsia="Arial" w:hAnsi="Arial"/>
          <w:sz w:val="17"/>
          <w:szCs w:val="17"/>
          <w:color w:val="auto"/>
        </w:rPr>
      </w:pPr>
    </w:p>
    <w:p>
      <w:pPr>
        <w:ind w:left="652" w:right="660" w:hanging="652"/>
        <w:spacing w:after="0" w:line="250" w:lineRule="auto"/>
        <w:tabs>
          <w:tab w:leader="none" w:pos="6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business address of such holder is 18th Floor, Al Subaeie Tower, 5316 Street Prince Faisal Ibn Fahd Road, Khobar, Eastern Province, Kingdom of Saudi Arabia.</w:t>
      </w:r>
    </w:p>
    <w:p>
      <w:pPr>
        <w:ind w:left="652" w:right="60" w:hanging="652"/>
        <w:spacing w:after="0" w:line="290" w:lineRule="auto"/>
        <w:tabs>
          <w:tab w:leader="none" w:pos="6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Angela On Kei Leong, Ambrose So and Avraham Malamud may be deemed to have voting and investment power over the shares held by Portline Holdings Investments Limited. The business address of such holder is Wickhams Cay 1, Road Town, Tortola, British Virgin Islands.</w:t>
      </w:r>
    </w:p>
    <w:p>
      <w:pPr>
        <w:spacing w:after="0" w:line="3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341" w:right="339" w:bottom="1440" w:gutter="0" w:footer="0" w:header="0"/>
        </w:sectPr>
      </w:pPr>
    </w:p>
    <w:bookmarkStart w:id="18" w:name="page19"/>
    <w:bookmarkEnd w:id="18"/>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business address of such holder is 902 Blanco Street, Austing Texas 78703.</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business address of such holder is c/o Sustainable Opportunities Acquisition Corp., 1601 Bryan Street, Suite 4141, Dallas, Texas 75201.</w:t>
      </w:r>
    </w:p>
    <w:p>
      <w:pPr>
        <w:spacing w:after="0" w:line="32" w:lineRule="exact"/>
        <w:rPr>
          <w:rFonts w:ascii="Arial" w:cs="Arial" w:eastAsia="Arial" w:hAnsi="Arial"/>
          <w:sz w:val="16"/>
          <w:szCs w:val="16"/>
          <w:color w:val="auto"/>
        </w:rPr>
      </w:pPr>
    </w:p>
    <w:p>
      <w:pPr>
        <w:ind w:left="660" w:right="120" w:hanging="652"/>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David J. Foley may be deemed to have voting and investment power over the shares held by 1290533 B.C. Ltd. The business address of such holder is 38 Prince Arthur Avenue, Toronto Ontario, Canada M5R 1A9.</w:t>
      </w:r>
    </w:p>
    <w:p>
      <w:pPr>
        <w:ind w:left="660" w:right="180" w:hanging="652"/>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(i) 4,095,827 Common Shares and (ii) 716,916 Common Shares that are issuable upon exercise of options that are exercisable within 60 days of January 31, 2023. Does not include 95,238 RSUs that do not vest within 60 days of January 31, 2023. The business address of such holder is 16/1 MacQuarie Street, Teneriffe, QLD 4005 Australia.</w:t>
      </w:r>
    </w:p>
    <w:p>
      <w:pPr>
        <w:spacing w:after="0" w:line="1" w:lineRule="exact"/>
        <w:rPr>
          <w:rFonts w:ascii="Arial" w:cs="Arial" w:eastAsia="Arial" w:hAnsi="Arial"/>
          <w:sz w:val="18"/>
          <w:szCs w:val="18"/>
          <w:color w:val="auto"/>
        </w:rPr>
      </w:pPr>
    </w:p>
    <w:p>
      <w:pPr>
        <w:ind w:left="660" w:right="60" w:hanging="652"/>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2,650,853 Common Shares issuable upon exercise of the Public Warrants held by Aequanimitas Limited Partnership. Isidoro Quiroga Cortés, in his capacity as the sole limited partner of Aequanimitas Limited Partnership, or Aequanimitas, and the manager of Aequanimitas’s general partner, may be deemed to have voting and dispositive power with respect to the securities held by Aequanimitas. The business address of such holder is Presidente Riesco 5711 office 1603 Las Condes, Santiago, Chile.</w:t>
      </w:r>
    </w:p>
    <w:p>
      <w:pPr>
        <w:spacing w:after="0" w:line="1"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Isidoro Quiroga Cortés, María Victoria Quiroga Moreno, Martín Guiloff Salvador and Felipe Correa Gonzȧlez, in their capacity as members of the board of managers, may be deemed to have voting and dispositive power with respect to the securities held by South Lake One LLC. The business address of such holder is Presidente Riesco 5711 office 1603 Las Condes, Santiago, Chile.</w:t>
      </w:r>
    </w:p>
    <w:p>
      <w:pPr>
        <w:spacing w:after="0" w:line="1" w:lineRule="exact"/>
        <w:rPr>
          <w:rFonts w:ascii="Arial" w:cs="Arial" w:eastAsia="Arial" w:hAnsi="Arial"/>
          <w:sz w:val="18"/>
          <w:szCs w:val="18"/>
          <w:color w:val="auto"/>
        </w:rPr>
      </w:pPr>
    </w:p>
    <w:p>
      <w:pPr>
        <w:ind w:left="660" w:right="200" w:hanging="652"/>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Cadence Capital Limited, or Cadence Capital, is a company listed on the Australian Securities Exchange. The business address of such holder is Level 11, 131 Macquarie Street, Sydney, NSW 2000 Australia.</w:t>
      </w:r>
    </w:p>
    <w:p>
      <w:pPr>
        <w:ind w:left="660" w:right="320" w:hanging="652"/>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Cadence Global Pty Limited, or Cadence Global, is a 100% owned subsidiary of Cadence Capital, which is a company listed on the Australian Securities Exchange. Cadence Global disclaims beneficial ownership of its shares to Cadence Capital. The business address of such holder is Level 11, 131 Macquarie Street, Sydney, NSW 2000 Australia.</w:t>
      </w:r>
    </w:p>
    <w:p>
      <w:pPr>
        <w:spacing w:after="0" w:line="1" w:lineRule="exact"/>
        <w:rPr>
          <w:rFonts w:ascii="Arial" w:cs="Arial" w:eastAsia="Arial" w:hAnsi="Arial"/>
          <w:sz w:val="18"/>
          <w:szCs w:val="18"/>
          <w:color w:val="auto"/>
        </w:rPr>
      </w:pPr>
    </w:p>
    <w:p>
      <w:pPr>
        <w:ind w:left="660" w:right="460" w:hanging="652"/>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Glencore International AG is owned by Glencore plc, a publically listed entity on the London Stock Exchange. The business address of such holder is Baarermattstrasse 3, Baar, Zug, Switzerland 6340.</w:t>
      </w:r>
    </w:p>
    <w:p>
      <w:pPr>
        <w:ind w:left="660" w:hanging="652"/>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David Heydon may be deemed to have voting and investment power over the shares held by $ PTY Limited ATP #1 Fund. The business address of such holder is 88 Stanmere Street, Carindale, QLD 4152 Australia. Mr. Heydon disclaims beneficial ownership over the shares held by Wimbledon Investments PTY Limited ATF Deakin Fund, which is controlled by his wife, Janis Heydon.</w:t>
      </w:r>
    </w:p>
    <w:p>
      <w:pPr>
        <w:spacing w:after="0" w:line="1" w:lineRule="exact"/>
        <w:rPr>
          <w:rFonts w:ascii="Arial" w:cs="Arial" w:eastAsia="Arial" w:hAnsi="Arial"/>
          <w:sz w:val="18"/>
          <w:szCs w:val="18"/>
          <w:color w:val="auto"/>
        </w:rPr>
      </w:pPr>
    </w:p>
    <w:p>
      <w:pPr>
        <w:jc w:val="both"/>
        <w:ind w:left="660" w:right="300" w:hanging="652"/>
        <w:spacing w:after="0" w:line="265"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Janis Heydon may be deemed to have voting and investment power over the shares held by Wimbledon Investments PTY Limited ATF Deakin Fund. The business address of such holder is 88 Stanmere Street, Carindale, QLD 4152 Australia. Ms. Heydon disclaims beneficial ownership over the shares held by $ PTY Limited ATP #1 Fund, which is controlled by her husband, David Heydon.</w:t>
      </w:r>
    </w:p>
    <w:p>
      <w:pPr>
        <w:ind w:left="660" w:right="500" w:hanging="652"/>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Nomura Securities International, Inc. is a registered broker-dealer and FINRA member. Received such Common Shares as consideration for advisory and placement agent services rendered in connection with the Business Combination.</w:t>
      </w: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Received such Common Shares in lieu of fees for professional services rendered in connection with the Business Combination.</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Received such Common Shares in lieu of fees for professional services rendered in connection with the Business Combination.</w:t>
      </w:r>
    </w:p>
    <w:p>
      <w:pPr>
        <w:spacing w:after="0" w:line="9" w:lineRule="exact"/>
        <w:rPr>
          <w:rFonts w:ascii="Arial" w:cs="Arial" w:eastAsia="Arial" w:hAnsi="Arial"/>
          <w:sz w:val="18"/>
          <w:szCs w:val="18"/>
          <w:color w:val="auto"/>
        </w:rPr>
      </w:pPr>
    </w:p>
    <w:p>
      <w:pPr>
        <w:ind w:left="660" w:right="460" w:hanging="652"/>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Wedbush Securities Inc. is a registered broker-dealer and FINRA member. Received such Common Shares as consideration for advisory and placement agent services rendered in connection with the Business Combination.</w:t>
      </w:r>
    </w:p>
    <w:p>
      <w:pPr>
        <w:ind w:left="660" w:right="360" w:hanging="652"/>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Northland Securities, Inc. is a registered broker-dealer and FINRA member. Received such Common Shares as consideration for advisory and placement agent services rendered in connection with the Business Combination.</w:t>
      </w:r>
    </w:p>
    <w:p>
      <w:pPr>
        <w:ind w:left="660" w:right="100" w:hanging="652"/>
        <w:spacing w:after="0" w:line="26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Scott Honour may be deemed to have voting and investment power over the shares held by LSS Sustainable SPAC, LLC. The business address of such holder is 315 Lake St E, Ste 301, Wayzata, MN 55391.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ind w:left="652" w:right="280" w:hanging="652"/>
        <w:spacing w:after="0" w:line="255" w:lineRule="auto"/>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25,009 Common Shares held by Scott E. Leonard IRA. Scott E. Leonard IRA also holds 35,625 Private Placement Warrants to purchase 35,625 Common Shares. Mr. Leonard may be deemed to have voting and investment power over the shares held by Scott E. Leonard IRA. The business address of such holder is 3816 Hanover St., Dallas, Texas 75225.</w:t>
      </w:r>
    </w:p>
    <w:p>
      <w:pPr>
        <w:spacing w:after="0" w:line="2" w:lineRule="exact"/>
        <w:rPr>
          <w:rFonts w:ascii="Arial" w:cs="Arial" w:eastAsia="Arial" w:hAnsi="Arial"/>
          <w:sz w:val="18"/>
          <w:szCs w:val="18"/>
          <w:color w:val="auto"/>
        </w:rPr>
      </w:pPr>
    </w:p>
    <w:p>
      <w:pPr>
        <w:ind w:left="652" w:right="180" w:hanging="652"/>
        <w:spacing w:after="0" w:line="265" w:lineRule="auto"/>
        <w:tabs>
          <w:tab w:leader="none" w:pos="652"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Represents (i) 154,261 Common Shares held by Gina Thomas Stryker, (ii) 147,672 Common Shares held by Gina Thomas Stryker 2008 Children’s Trust U/A DTD 12/09/2008 JRT and (iii) 147,672 Common Shares held by Gina Thomas Stryker 2008 Children’s Trust U/A DTD 12/09/2008 MET. Gina Thomas Stryker also holds 209,221 Private Placement Warrants to purchase 209,221 Common Shares. Gina Thomas Stryker 2008 Children’s Trust U/A DTD 12/09/2008 JRT also holds 202,528 Private Placement Warrants to purchase 202,528 Common Shares. Gina Thomas Stryker 2008 Children’s Trust U/A DTD 12/09/2008 MET also holds 202,528 Private Placement Warrants to purchase 202,528 Common Shares. Ms. Stryker is the trustee of each of these trusts. Does not include 73,382 RSUs that do not vest within 60 days of January 31, 2023. The business address of such holder is 1239 W. Bell St., Houston, TX 77019.</w:t>
      </w:r>
    </w:p>
    <w:p>
      <w:pPr>
        <w:spacing w:after="0" w:line="1" w:lineRule="exact"/>
        <w:rPr>
          <w:rFonts w:ascii="Arial" w:cs="Arial" w:eastAsia="Arial" w:hAnsi="Arial"/>
          <w:sz w:val="17"/>
          <w:szCs w:val="17"/>
          <w:color w:val="auto"/>
        </w:rPr>
      </w:pPr>
    </w:p>
    <w:p>
      <w:pPr>
        <w:ind w:left="652" w:right="20" w:hanging="652"/>
        <w:spacing w:after="0" w:line="281" w:lineRule="auto"/>
        <w:tabs>
          <w:tab w:leader="none" w:pos="652"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(i) 143,459 Common Shares held by David Quiram and (ii) 8,336 Common Shares held by QUIRAM ROTH/IRA, DAVID J. David Quiram also holds 165,893 Private Placement Warrants to purchase 165,893 Common Shares. QUIRAM ROTH/IRA, DAVID J also holds 11,875 Private Placement Warrants to purchase 11,875 Common Shares. David Quiram may be deemed to have voting and investment power over the shares held by QUIRAM ROTH/IRA, DAVID J. The business address of such holder is 6707 Lake Circle Dr., Dallas, TX 75214.</w:t>
      </w:r>
    </w:p>
    <w:p>
      <w:pPr>
        <w:spacing w:after="0" w:line="2" w:lineRule="exact"/>
        <w:rPr>
          <w:rFonts w:ascii="Arial" w:cs="Arial" w:eastAsia="Arial" w:hAnsi="Arial"/>
          <w:sz w:val="16"/>
          <w:szCs w:val="16"/>
          <w:color w:val="auto"/>
        </w:rPr>
      </w:pPr>
    </w:p>
    <w:p>
      <w:pPr>
        <w:ind w:left="652" w:hanging="652"/>
        <w:spacing w:after="0"/>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business address of such holder is 3990 Vitruvian Way, Apt. 1263, Addison, TX 75001.</w:t>
      </w:r>
    </w:p>
    <w:p>
      <w:pPr>
        <w:spacing w:after="0" w:line="9" w:lineRule="exact"/>
        <w:rPr>
          <w:rFonts w:ascii="Arial" w:cs="Arial" w:eastAsia="Arial" w:hAnsi="Arial"/>
          <w:sz w:val="18"/>
          <w:szCs w:val="18"/>
          <w:color w:val="auto"/>
        </w:rPr>
      </w:pPr>
    </w:p>
    <w:p>
      <w:pPr>
        <w:ind w:left="652" w:hanging="652"/>
        <w:spacing w:after="0" w:line="265" w:lineRule="auto"/>
        <w:tabs>
          <w:tab w:leader="none" w:pos="652"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Represents (i) 145,151 Common Shares held by Susan Tanski and (ii) 4,168 Common Shares held by Susan B. Tanski BENE. Susan Tanski also holds 199,072 Private Placement Warrants to purchase 199,072 Common Shares. Susan B. Tanski BENE also holds 5,937 Private Placement Warrants to purchase 5,937 Common Shares. Susan Tanski may be deemed to have voting and investment power over the shares held by Susan B. Tanski BENE. The business address of such holder is 2155 Washington Ct. Apt. 504, Miami Beach, FL 33139.</w:t>
      </w:r>
    </w:p>
    <w:p>
      <w:pPr>
        <w:ind w:left="652" w:hanging="652"/>
        <w:spacing w:after="0"/>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business address of such holder is 123 Linden Avenue, Atherton, CA 94027.</w:t>
      </w:r>
    </w:p>
    <w:p>
      <w:pPr>
        <w:spacing w:after="0" w:line="9" w:lineRule="exact"/>
        <w:rPr>
          <w:rFonts w:ascii="Arial" w:cs="Arial" w:eastAsia="Arial" w:hAnsi="Arial"/>
          <w:sz w:val="18"/>
          <w:szCs w:val="18"/>
          <w:color w:val="auto"/>
        </w:rPr>
      </w:pPr>
    </w:p>
    <w:p>
      <w:pPr>
        <w:ind w:left="652" w:right="120" w:hanging="652"/>
        <w:spacing w:after="0" w:line="250" w:lineRule="auto"/>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25,009 Common Shares held by SHERIDAN III IRAT, JAMES J. James J. Sheridan holds 108,328 Private Placement Warrants to purchase 108,328 Common Shares. SHERIDAN III IRAT, JAMES J also holds 35,625 Private Placement Warrants to purchase 35,625 Common Shares. James J. Sheridan may be deemed to have voting and investment power over the shares held by SHERIDAN III IRAT, JAMES J. The business address of such holder is 651 Bastrop Rd, Lucas, TX 75002.</w:t>
      </w:r>
    </w:p>
    <w:p>
      <w:pPr>
        <w:spacing w:after="0" w:line="1" w:lineRule="exact"/>
        <w:rPr>
          <w:rFonts w:ascii="Arial" w:cs="Arial" w:eastAsia="Arial" w:hAnsi="Arial"/>
          <w:sz w:val="18"/>
          <w:szCs w:val="18"/>
          <w:color w:val="auto"/>
        </w:rPr>
      </w:pPr>
    </w:p>
    <w:p>
      <w:pPr>
        <w:ind w:left="652" w:hanging="652"/>
        <w:spacing w:after="0"/>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business address of such holder is 3100 Maplewood Road, Wayzata, MN 55391.</w:t>
      </w:r>
    </w:p>
    <w:p>
      <w:pPr>
        <w:spacing w:after="0" w:line="9" w:lineRule="exact"/>
        <w:rPr>
          <w:rFonts w:ascii="Arial" w:cs="Arial" w:eastAsia="Arial" w:hAnsi="Arial"/>
          <w:sz w:val="18"/>
          <w:szCs w:val="18"/>
          <w:color w:val="auto"/>
        </w:rPr>
      </w:pPr>
    </w:p>
    <w:p>
      <w:pPr>
        <w:ind w:left="652" w:hanging="652"/>
        <w:spacing w:after="0"/>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business address of such holder is 7942 Cooper Road, Cincinnati, OH 45242.</w:t>
      </w:r>
    </w:p>
    <w:p>
      <w:pPr>
        <w:spacing w:after="0" w:line="9" w:lineRule="exact"/>
        <w:rPr>
          <w:rFonts w:ascii="Arial" w:cs="Arial" w:eastAsia="Arial" w:hAnsi="Arial"/>
          <w:sz w:val="18"/>
          <w:szCs w:val="18"/>
          <w:color w:val="auto"/>
        </w:rPr>
      </w:pPr>
    </w:p>
    <w:p>
      <w:pPr>
        <w:ind w:left="652" w:right="40" w:hanging="652"/>
        <w:spacing w:after="0" w:line="250" w:lineRule="auto"/>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Warren L. Strickland Jr. may be deemed to have voting and investment power over the shares held by Strickland 2004 Family Trust. The business address of such holder is 28 Edge Hill Drive, Dallas, TX 75248-7915.</w:t>
      </w:r>
    </w:p>
    <w:p>
      <w:pPr>
        <w:ind w:left="652" w:hanging="652"/>
        <w:spacing w:after="0"/>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business address of such holder is 1555 Elm St. Apt# 3103, Dallas, TX 75201.</w:t>
      </w:r>
    </w:p>
    <w:p>
      <w:pPr>
        <w:spacing w:after="0" w:line="9" w:lineRule="exact"/>
        <w:rPr>
          <w:rFonts w:ascii="Arial" w:cs="Arial" w:eastAsia="Arial" w:hAnsi="Arial"/>
          <w:sz w:val="18"/>
          <w:szCs w:val="18"/>
          <w:color w:val="auto"/>
        </w:rPr>
      </w:pPr>
    </w:p>
    <w:p>
      <w:pPr>
        <w:ind w:left="652" w:hanging="652"/>
        <w:spacing w:after="0"/>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business address of such holder is 2539 Telegraph Ave, APT 601, Berkeley, CA 94704.</w:t>
      </w:r>
    </w:p>
    <w:p>
      <w:pPr>
        <w:spacing w:after="0" w:line="9" w:lineRule="exact"/>
        <w:rPr>
          <w:rFonts w:ascii="Arial" w:cs="Arial" w:eastAsia="Arial" w:hAnsi="Arial"/>
          <w:sz w:val="18"/>
          <w:szCs w:val="18"/>
          <w:color w:val="auto"/>
        </w:rPr>
      </w:pPr>
    </w:p>
    <w:p>
      <w:pPr>
        <w:ind w:left="652" w:right="440" w:hanging="652"/>
        <w:spacing w:after="0" w:line="250" w:lineRule="auto"/>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Michael Patrick Williams may be deemed to have voting and investment power over the shares held by WILLIAMS IRAT, MICHAEL. The business address of such holder is 110 Wilmington Ct., Southlake, TX 76092.</w:t>
      </w:r>
    </w:p>
    <w:p>
      <w:pPr>
        <w:ind w:left="652" w:hanging="652"/>
        <w:spacing w:after="0"/>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business address of such holder is 110 Wilmington Ct., Southlake, TX 76092.</w:t>
      </w:r>
    </w:p>
    <w:p>
      <w:pPr>
        <w:spacing w:after="0" w:line="9" w:lineRule="exact"/>
        <w:rPr>
          <w:rFonts w:ascii="Arial" w:cs="Arial" w:eastAsia="Arial" w:hAnsi="Arial"/>
          <w:sz w:val="18"/>
          <w:szCs w:val="18"/>
          <w:color w:val="auto"/>
        </w:rPr>
      </w:pPr>
    </w:p>
    <w:p>
      <w:pPr>
        <w:ind w:left="652" w:hanging="652"/>
        <w:spacing w:after="0"/>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business address of such holder is 3404 Drexel Dr., Dallas, Texas 75205.</w:t>
      </w:r>
    </w:p>
    <w:p>
      <w:pPr>
        <w:spacing w:after="0" w:line="9" w:lineRule="exact"/>
        <w:rPr>
          <w:rFonts w:ascii="Arial" w:cs="Arial" w:eastAsia="Arial" w:hAnsi="Arial"/>
          <w:sz w:val="18"/>
          <w:szCs w:val="18"/>
          <w:color w:val="auto"/>
        </w:rPr>
      </w:pPr>
    </w:p>
    <w:p>
      <w:pPr>
        <w:ind w:left="652" w:hanging="652"/>
        <w:spacing w:after="0"/>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business address of such holder is 9 Pintail Point, Heath, TX 75032.</w:t>
      </w:r>
    </w:p>
    <w:p>
      <w:pPr>
        <w:spacing w:after="0" w:line="9" w:lineRule="exact"/>
        <w:rPr>
          <w:rFonts w:ascii="Arial" w:cs="Arial" w:eastAsia="Arial" w:hAnsi="Arial"/>
          <w:sz w:val="18"/>
          <w:szCs w:val="18"/>
          <w:color w:val="auto"/>
        </w:rPr>
      </w:pPr>
    </w:p>
    <w:p>
      <w:pPr>
        <w:ind w:left="652" w:hanging="652"/>
        <w:spacing w:after="0"/>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business address of such holder is 484 Mississippi River Blvd. S., St. Paul, MN 55116.</w:t>
      </w:r>
    </w:p>
    <w:p>
      <w:pPr>
        <w:spacing w:after="0" w:line="9" w:lineRule="exact"/>
        <w:rPr>
          <w:rFonts w:ascii="Arial" w:cs="Arial" w:eastAsia="Arial" w:hAnsi="Arial"/>
          <w:sz w:val="18"/>
          <w:szCs w:val="18"/>
          <w:color w:val="auto"/>
        </w:rPr>
      </w:pPr>
    </w:p>
    <w:p>
      <w:pPr>
        <w:ind w:left="652" w:hanging="652"/>
        <w:spacing w:after="0"/>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business address of such holder is 4 Ampthill Road, Richmond, VA 23226.</w:t>
      </w:r>
    </w:p>
    <w:p>
      <w:pPr>
        <w:spacing w:after="0" w:line="9" w:lineRule="exact"/>
        <w:rPr>
          <w:rFonts w:ascii="Arial" w:cs="Arial" w:eastAsia="Arial" w:hAnsi="Arial"/>
          <w:sz w:val="18"/>
          <w:szCs w:val="18"/>
          <w:color w:val="auto"/>
        </w:rPr>
      </w:pPr>
    </w:p>
    <w:p>
      <w:pPr>
        <w:ind w:left="652" w:right="60" w:hanging="652"/>
        <w:spacing w:after="0" w:line="267" w:lineRule="auto"/>
        <w:tabs>
          <w:tab w:leader="none" w:pos="652"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Magnetar Constellation Master Fund, LTD. holds 164,801 Private Placement Warrants to purchase 164,801 Common Shares. Magnetar Constellation Master Fund II, LTD holds 44,567 Private Placement Warrants to purchase 44,567 Common Shares. Magnetar SC Fund LTD holds 45,208 Private Placement Warrants to purchase 45,208 Common Shares. Magnetar Structured Credit Fund, LP. holds 66,049 Private Placement Warrants to purchase 66,049 Common Shares. Also includes 320,624 Private Placement Warrants to purchase 320,624 Common Shares held by transferees of Magnetar Constellation Master Fund, LTD., Magnetar Constellation Master Fund II, LTD, Magnetar SC Fund LTD and Magnetar Structured Credit Fund, LP. Magnetar Financial LLC, a Delaware limited liability company, or Magnetar Financial, shares voting and dispositive power with Magnetar Capital Partners LP, Supernova Management LLC and David J. Snyderman with regard to the shares held by Magnetar Constellation Master Fund, LTD, Magnetar Constellation Fund II, LTD and Magnetar SC Fund LTD, all Cayman Islands exempted companies, collectively the Magnetar Funds. Magnetar Financial serves as the investment adviser to the Magnetar Funds, and as such, Magnetar Financial exercises voting and investment power over the common Shares held for the Magnetar Funds’ accounts. Magnetar Capital Partners LP serves as the sole member and parent holding company of Magnetar Financial. Supernova Management LLC is the general partner of Magnetar Capital Partners LP. The manager of Supernova Management LLC is David J. Snyderman. The address of the principal business office of each of Magnetar Financial, Magnetar Capital Partners LP, Supernova Management LLC and David J. Snyderman is 1603 Orrington Avenue, 13th Floor, Evanston, Illinois 60201.</w:t>
      </w:r>
    </w:p>
    <w:p>
      <w:pPr>
        <w:spacing w:after="0" w:line="397"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72"/>
          </w:cols>
          <w:pgMar w:left="328" w:top="341" w:right="39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registering the issuance by us of up to 9,500,000 of our Common Shares issuable upon the exercise of the Private Placement Warrants and 15,000,000 of our Common Shares issuable upon the exercise of the Public Warrants. We are also registering the resale by the Selling Securityholders of up to 9,500,000 Private Placement Warrants and up to 248,779,861 of our Common Shares.</w:t>
      </w:r>
    </w:p>
    <w:p>
      <w:pPr>
        <w:spacing w:after="0" w:line="18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Selling Securityholders may offer and sell, from time to time, their respective Common Shares, and Private Placement Warrants covered by this prospectus.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securities by one or more of, or a combination of, the following methods:</w:t>
      </w:r>
    </w:p>
    <w:p>
      <w:pPr>
        <w:spacing w:after="0" w:line="18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block trades in which the broker-dealer so engaged will attempt to sell the shares as agent but may position and resell a portion of the block as principal to facilitate the transaction;</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Nasdaq;</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distribution to employees, members, limited partners or stockholders of the Selling Securityholders;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 whether through an options exchange or otherwise;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pledge to secured debts and other obligations;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delayed delivery arrangements;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or through underwriters or agents;</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options transactions;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through a combination of any of the above methods of sale, as described below, or any other method permitted pursuant to applicable law.</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In addition, any securities that qualify for sale pursuant to Rule 144 may be sold under Rule 144 rather than pursuant to this prospectus.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w:t>
      </w:r>
    </w:p>
    <w:p>
      <w:pPr>
        <w:spacing w:after="0" w:line="18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1" w:name="page22"/>
    <w:bookmarkEnd w:id="21"/>
    <w:p>
      <w:pPr>
        <w:ind w:right="260"/>
        <w:spacing w:after="0" w:line="342" w:lineRule="auto"/>
        <w:rPr>
          <w:sz w:val="20"/>
          <w:szCs w:val="20"/>
          <w:color w:val="auto"/>
        </w:rPr>
      </w:pPr>
      <w:r>
        <w:rPr>
          <w:rFonts w:ascii="Arial" w:cs="Arial" w:eastAsia="Arial" w:hAnsi="Arial"/>
          <w:sz w:val="16"/>
          <w:szCs w:val="16"/>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12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w:t>
      </w:r>
    </w:p>
    <w:p>
      <w:pPr>
        <w:spacing w:after="0" w:line="165" w:lineRule="exact"/>
        <w:rPr>
          <w:sz w:val="20"/>
          <w:szCs w:val="20"/>
          <w:color w:val="auto"/>
        </w:rPr>
      </w:pPr>
    </w:p>
    <w:p>
      <w:pPr>
        <w:ind w:right="580"/>
        <w:spacing w:after="0" w:line="286" w:lineRule="auto"/>
        <w:rPr>
          <w:sz w:val="20"/>
          <w:szCs w:val="20"/>
          <w:color w:val="auto"/>
        </w:rPr>
      </w:pPr>
      <w:r>
        <w:rPr>
          <w:rFonts w:ascii="Arial" w:cs="Arial" w:eastAsia="Arial" w:hAnsi="Arial"/>
          <w:sz w:val="17"/>
          <w:szCs w:val="17"/>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65"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holder of Private Placement Warrants or Public Warrants may exercise its Private Placement Warrants or Public Warrants in accordance with the Warrant agreements on or before the expiration date set forth therein by surrendering, at the office of the Warrant Agent, Continental Stock Transfer &amp; Trust Company, the certificate evidencing such Private Placement Warrants or Public Warrants, with the form of election to purchase set forth thereon, properly completed and duly executed, accompanied by full payment of the exercise price and any and all applicable taxes due in connection with the exercise of the Private Placement Warrants or Public Warrants, subject to any applicable provisions relating to cashless exercises in accordance with the Warrant agreements.</w:t>
      </w:r>
    </w:p>
    <w:p>
      <w:pPr>
        <w:spacing w:after="0" w:line="19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have agreed to indemnify certain of the Selling Securityholders against certain liabilities, including certain liabilities under the Securities Act, the Exchange Act or other federal or state law.</w:t>
      </w:r>
    </w:p>
    <w:p>
      <w:pPr>
        <w:spacing w:after="0" w:line="17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have agreed with certain Selling Securityholders pursuant to the Amended and Restated Registration Rights Agreement (as defined below) to use our commercially reasonable efforts to keep the registration statement of which this prospectus constitutes a part effective until such time as all securities covered by this prospectus have been sold or otherwise cease to be registrable securities.</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also agreed with the PIPE investors pursuant to the subscription agreements for the PIPE Financing to cause the registration statement to remain effective until the earlier of (i) three years from the effective date of the registration statement, (ii) the date the Selling Securityholder ceases to hold the shares covered by the registration statement or (iii) the first date on which the Selling Securityholder can sell all of its shares under Rule 144 of the Securities Act without restriction.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i w:val="1"/>
          <w:iCs w:val="1"/>
          <w:color w:val="auto"/>
        </w:rPr>
        <w:t>The following summary of the material terms of the authorized capital of TMC the metals company Inc. (formerly Sustainable Opportunities Acquisition Corp.) and other securities is not intended to be a complete summary of the rights and preferences of such securities, and is qualified by reference to the notice of articles and articles of TMC the metals company Inc., or Notice and Articles, and the provisions of applicable law, including the Business Corporations Act (British Columbia), or BCBCA, and the warrant-related documents described herein, each of which are incorporated by reference as an exhibit to the registration statement of which this prospectus is a part, and certain provisions of British Columbia law. We urge you to read each of the Notice and Articles and the warrant-related documents described herein in their entirety for a complete description of the rights and preferences of our securities. Unless the context requires otherwise, all references to “we”, “us,” “our,” the “Company” and “TMC” in this section refer solely to TMC the metals company Inc. (formerly Sustainable Opportunities Acquisition Corp.) and not to our subsidiaries.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 Capital</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authorized to issue (a) an unlimited number of Common Shares, without par value, or Common Shares, (b) an unlimited number of preferred shares, issuable in series, (c) 5,000,000 Class A Special Shares, or Class A Special Shares, (d) 10,000,000 Class B Special Shares, or Class B Special Shares, (e) 10,000,000 Class C Special Shares, or Class C Special Shares, (f) 20,000,000 Class D Special Shares, or Class D Special Shares, (g) 20,000,000 Class E Special Shares, or Class E Special Shares, (h) 20,000,000 Class F Special Shares, or Class F Special Shares, (i) 25,000,000 Class G Special Shares, or Class G Special Shares, (j) 25,000,000 Class H Special Shares, or Class H Special Shares, (k) 500,000 Class I Special Shares, or Class I Special Shares, and (l) 741,000 Class J Special Shares, or Class J Special Shares, each without par value, all such Special Shares are collectively referred to herein as the Special Shares.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Shares</w:t>
      </w:r>
    </w:p>
    <w:p>
      <w:pPr>
        <w:spacing w:after="0" w:line="22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 xml:space="preserve">As of January 31, 2023, there were 266,812,131 Common Shares issued and outstanding. As of January 31, 2023, we had approximately 108 record holders of Common Shares. Holders of Common Shares are entitled to one (1) vote per share on all matters upon which holders of shares are entitled to vote. Subject to the BCBCA and prior rights of the holders of preferred shares and any other class ranking senior to the Common Shares, the holders of Common Shares are entitled to receive dividends as, if and when declared by the board of directors. Subject to the prior rights of the holders of Special Shares and preferred shares, and any other class ranking senior to the Common Shares, in the event of our liquidation, dissolution or winding-up or other distribution of our assets among our shareholders, the holders of Common Shares will be entitled to share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the distribution of the balance of our assets. Holders of Common Shares will have no pre-emptive or conversion or exchange rights or other subscription rights. There are no redemption, retraction, purchase for cancellation or surrender provisions or sinking or purchase fund provisions applicable to Common Shares. There is no provision in the Notice and Articles requiring holders of Common Shares to contribute additional capital, or permitting or restricting the issuance of additional securities of authorized share capital or any other material restrictions. The special rights or restrictions attached to Common Shares are subject to and may be adversely affected by, the rights attached to any series of preferred shares that the board of directors may designate in the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Shares</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are authorized to issue an unlimited number of preferred shares, issuable in series. Accordingly, the board of directors is authorized, without shareholder approval but subject to the provisions of the BCBCA and the Notice and Articles, to determine the maximum number of shares of each series, create an identifying name for each series and attach such special rights or restrictions, including dividend, liquidation and voting rights, as the board of directors may determine, and such special rights or restrictions, including dividend, liquidation and voting rights, may be superior to those of the Common Shares. The issuance of preferred shares, while providing flexibility in connection with possible acquisitions and other corporate purposes, could, among other things, have the effect of delaying, deferring or discouraging potential acquisition proposals and might adversely affect the market price of the Common Shares and the voting and other rights of the holders of Common Shares. We have no current plan to issue any preferred shares.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Special Shares</w:t>
      </w:r>
    </w:p>
    <w:p>
      <w:pPr>
        <w:spacing w:after="0" w:line="22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As of January 31, 2023, there were issued and outstanding (a) 4,999,973 Class A Special Shares, (b) 9,999,853 Class B Special Shares, (c) 9,999,853 Class C Special Shares, (d) 19,999,855 Class D Special Shares, (e) 19,999,855 Class E Special Shares, (f) 19,999,855 Class F Special Shares, (g) 24,999,860 Class G Special Shares, (h) 24,999,860 Class H Special Shares, (i) 500,000 Class I Special Shares, and (j) 741,000 Class J Special Shares.</w:t>
      </w:r>
    </w:p>
    <w:p>
      <w:pPr>
        <w:spacing w:after="0" w:line="14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Holders of Special Shares are not entitled to any voting rights, except as required under the BCBCA in certain circumstances, and are not entitled to receive dividends. Subject to the prior rights of the holders of preferred shares, in the event of our liquidation, dissolution or winding-up or other distribution of our assets among our shareholders, the holders of Special Shares will be entitled to receive an amount equal to $0.00000000001 per Special Share, or the Redemption Price. Holders of Special Shares have no pre-emptive or exchange rights or other subscription rights. There is no provision in the Notice and Articles requiring holders of Special Shares to contribute additional capital. The special rights or restrictions attached to Special Shares are subject to and may be adversely affected by, the rights attached to any series of preferred shares that the board of directors may designate in the future. The Notice and Articles provide that the Special Shares may not be, directly or indirectly, sold, transferred, assigned, pledged, mortgaged, exchanged, hypothecated or encumbered without the prior approval of the board of directors, which shall only be given under certain circumstances specified in the Notice and Articles, or a Permitted Transfer. Notwithstanding the foregoing, any holder of Special Shares may, at any time, provide an irrevocable direction and agreement in favor of us that a proposed transfer shall be deemed not to be a Permitted Transfer and that irrevocable direction may provide that any other Permitted Transfer shall require that the transferee provide an identical type of irrevocable direction and agreement.</w:t>
      </w:r>
    </w:p>
    <w:p>
      <w:pPr>
        <w:spacing w:after="0" w:line="172"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Subject to the provisions of the BCBCA, any Special Shares then outstanding shall be redeemed by us without any action on the part of the holders of Special Shares (i) at any time after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year anniversary of the original issue date of the Special Shares or (ii) at any time after a Change of Control, in each case at the Redemption Price. For the purposes of the Notice and Articles, “Change of Control” means any transaction or series of related transactions</w:t>
      </w:r>
    </w:p>
    <w:p>
      <w:pPr>
        <w:spacing w:after="0" w:line="3" w:lineRule="exact"/>
        <w:rPr>
          <w:sz w:val="20"/>
          <w:szCs w:val="20"/>
          <w:color w:val="auto"/>
        </w:rPr>
      </w:pPr>
    </w:p>
    <w:p>
      <w:pPr>
        <w:ind w:right="120" w:firstLine="8"/>
        <w:spacing w:after="0" w:line="251"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under which any person or one or more persons that are affiliates or that are acting as a “group” (as defined in Section 13(d)(3) of the Exchange Act), directly or indirectly, acquires or otherwise purchases (i) the Company or (ii) all or a material portion of assets, businesses or our Equity Securities (as defined below) or (y) that results, directly or indirectly, in our shareholders as of immediately prior to such transaction holding, in the aggregate, less than 50% of the voting Equity Securities immediately after the consummation thereof (excluding, for the avoidance of doubt, any Special Shares and the Common Shares issuable upon conversion thereof) (in the case of each of clause (x) and (y), whether by amalgamation, merger, consolidation, arrangement, tender offer, recapitalization, purchase or issuance of Equity Securities or otherwise), and “Equity Securities” shall refer to Common Shares, the preferred shares, Special Shares or any other class of shares or series thereof in capital or similar interest in us(including any stock appreciation, phantom stock, profit participation or similar rights), and any option, warrant, right or security (including debt securities) convertible, exchangeable or exercisable therefor.</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Special Shares will automatically convert into Common Shares on a one (1) for one (1) basis (unless adjusted as described below) upon the occurrence of the following events:</w:t>
      </w:r>
    </w:p>
    <w:p>
      <w:pPr>
        <w:spacing w:after="0" w:line="170" w:lineRule="exact"/>
        <w:rPr>
          <w:sz w:val="20"/>
          <w:szCs w:val="20"/>
          <w:color w:val="auto"/>
        </w:rPr>
      </w:pPr>
    </w:p>
    <w:p>
      <w:pPr>
        <w:ind w:left="660" w:right="6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case of the Class A Special Shares, if (a) on any twenty (20) trading days within any thirty (30) trading day period, the Common Shares trade on the principal securities exchange or securities market on which Common Shares are then traded for a price that is greater than or equal to $15.00, or (b) there occurs any transaction resulting in a Change of Control with a valuation of the Common Shares that is greater than or equal to $15.00 per Common Share;</w:t>
      </w:r>
    </w:p>
    <w:p>
      <w:pPr>
        <w:spacing w:after="0" w:line="186"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case of the Class B Special Shares, if (a) on any twenty (20) trading days within any thirty (30) trading day period, the Common Shares trade on the principal securities exchange or securities market on which Common Shares are then traded for a price that is greater than or equal to $25.00, or (b) there occurs any transaction resulting in a Change of Control with a valuation of the Common Shares that is greater than or equal to $25.00 per Common Share;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4" w:name="page25"/>
    <w:bookmarkEnd w:id="24"/>
    <w:p>
      <w:pPr>
        <w:ind w:left="660" w:right="6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case of the Class C Special Shares, if (a) on any twenty (20) trading days within any thirty (30) trading day period, the Common Shares trade on the principal securities exchange or securities market on which Common Shares are then traded for a price that is greater than or equal to $35.00, or (b) there occurs any transaction resulting in a Change of Control with a valuation of the Common Shares that is greater than or equal to $35.00 per Common Share;</w:t>
      </w:r>
    </w:p>
    <w:p>
      <w:pPr>
        <w:spacing w:after="0" w:line="186"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case of the Class D Special Shares, if (a) on any twenty (20) trading days within any thirty (30) 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w:t>
      </w:r>
    </w:p>
    <w:p>
      <w:pPr>
        <w:spacing w:after="0" w:line="186"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case of the Class E Special Shares, if (a) on any twenty (20) trading days within any thirty (30) trading day period, the Common Shares trade on the principal securities exchange or securities market on which Common Shares are then traded for a price that is greater than or equal to $75.00, or (b) there occurs any transaction resulting in a Change of Control with a valuation of the Common Shares that is greater than or equal to $75.00 per Common Share;</w:t>
      </w:r>
    </w:p>
    <w:p>
      <w:pPr>
        <w:spacing w:after="0" w:line="186" w:lineRule="exact"/>
        <w:rPr>
          <w:rFonts w:ascii="Arial" w:cs="Arial" w:eastAsia="Arial" w:hAnsi="Arial"/>
          <w:sz w:val="18"/>
          <w:szCs w:val="18"/>
          <w:color w:val="auto"/>
        </w:rPr>
      </w:pPr>
    </w:p>
    <w:p>
      <w:pPr>
        <w:ind w:left="660" w:right="8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case of the Class F Special Shares, if (a) on any twenty (20) trading days within any thirty (30) trading day period, the Common Shares trade on the principal securities exchange or securities market on which Common Shares are then traded for a price that is greater than or equal to $100.00, or (b) there occurs any transaction resulting in a Change of Control with a valuation of the Common Shares that is greater than or equal to $100.00 per Common Share;</w:t>
      </w:r>
    </w:p>
    <w:p>
      <w:pPr>
        <w:spacing w:after="0" w:line="186" w:lineRule="exact"/>
        <w:rPr>
          <w:rFonts w:ascii="Arial" w:cs="Arial" w:eastAsia="Arial" w:hAnsi="Arial"/>
          <w:sz w:val="18"/>
          <w:szCs w:val="18"/>
          <w:color w:val="auto"/>
        </w:rPr>
      </w:pPr>
    </w:p>
    <w:p>
      <w:pPr>
        <w:ind w:left="660" w:right="8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case of the Class G Special Shares, if (a) on any twenty (20) trading days within any thirty (30) trading day period, the Common Shares trade on the principal securities exchange or securities market on which Common Shares are then traded for a price that is greater than or equal to $150.00, or (b) there occurs any transaction resulting in a Change of Control with a valuation of the Common Shares that is greater than or equal to $150.00 per Common Share;</w:t>
      </w:r>
    </w:p>
    <w:p>
      <w:pPr>
        <w:spacing w:after="0" w:line="186" w:lineRule="exact"/>
        <w:rPr>
          <w:rFonts w:ascii="Arial" w:cs="Arial" w:eastAsia="Arial" w:hAnsi="Arial"/>
          <w:sz w:val="18"/>
          <w:szCs w:val="18"/>
          <w:color w:val="auto"/>
        </w:rPr>
      </w:pPr>
    </w:p>
    <w:p>
      <w:pPr>
        <w:ind w:left="660" w:right="8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case of the Class H Special Shares, if (a) on any twenty (20) trading days within any thirty (30) trading day period, the Common Shares trade on the principal securities exchange or securities market on which Common Shares are then traded for a price that is greater than or equal to $200.00, or (b) there occurs any transaction resulting in a Change of Control with a valuation of the Common Shares that is greater than or equal to $200.00 per Common Share;</w:t>
      </w:r>
    </w:p>
    <w:p>
      <w:pPr>
        <w:spacing w:after="0" w:line="186"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case of the Class I Special Shares, if (a) on any twenty (20) trading days within any thirty (30) 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 and</w:t>
      </w:r>
    </w:p>
    <w:p>
      <w:pPr>
        <w:spacing w:after="0" w:line="186"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case of the Class J Special Shares, if (a) on any twenty (20) trading days within any thirty (30) trading day period, the Common Shares trade on the principal securities exchange or securities market on which Common Shares are then traded for a price that is greater than or equal to $12.00, or (b) there occurs any transaction resulting in a Change of Control with a valuation of the Common Shares that is greater than or equal to $12.00 per Common Share.</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No fractional Common Share will be issued upon the conversion of the Special Shares and no payment will be made to the holders of Special Shares in lieu thereof. Rather, the holders of Special Shares shall be entitled to the number of Common Shares determined by rounding the entitlement down to the nearest whole number.</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5" w:name="page26"/>
    <w:bookmarkEnd w:id="25"/>
    <w:p>
      <w:pPr>
        <w:spacing w:after="0" w:line="263" w:lineRule="auto"/>
        <w:rPr>
          <w:sz w:val="20"/>
          <w:szCs w:val="20"/>
          <w:color w:val="auto"/>
        </w:rPr>
      </w:pPr>
      <w:r>
        <w:rPr>
          <w:rFonts w:ascii="Arial" w:cs="Arial" w:eastAsia="Arial" w:hAnsi="Arial"/>
          <w:sz w:val="18"/>
          <w:szCs w:val="18"/>
          <w:color w:val="auto"/>
        </w:rPr>
        <w:t>In the event that the Common Shares are at any time sub-divided, consolidated, converted or exchanged for a greater or lesser number of shares of the same or another class, then appropriate adjustments will be made in the rights and conditions attaching to the Special Shares so as to preserve in all respects the benefits of the holders of Special Shares.</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event of any merger, amalgamation, consolidation, arrangement, reorganization or other business combination involving the Company with another entity, other than a Change of Control, the holders of Special Shares will be entitled to receive, on conversion, such securities or other property as if on the effective date of the event they were registered holders of the number of Common Shares which such holders of Special Shares were entitled to receive upon conversion of their Special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of January 31, 2023, there were an aggregate of 15,000,000 Public Warrants outstanding held of record by one holder, which entitle the holder to acquire Common Shares. Each whole public warrant entitles the registered holder to purchase one Common Share at an exercise price of $11.50 per share, subject to adjustment as discussed below, beginning on October 9, 2021. Pursuant to the warrant agreement, a warrant holder may exercise its warrants only for a whole number of Common Shares. This means only a whole warrant may be exercised at a given time by a warrant holder. No fractional warrants will be issued upon separation of the units, and only whole warrants will trade. Accordingly, unless you hold at least three units, you will not be able to receive or trade a whole warrant. The warrants will expire on September 9, 2026, at 5:00 p.m., New York City time, or earlier upon redemption or liquidation.</w:t>
      </w:r>
    </w:p>
    <w:p>
      <w:pPr>
        <w:spacing w:after="0" w:line="19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will not be obligated to deliver any Common Shares pursuant to the exercise of a warrant and will have no obligation to settle such warrant exercise unless a registration statement under the Securities Act with respect to the Common Shares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Common Share upon exercise of a warrant unless the Common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Common Share underlying such unit.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Once the warrants become exercisable, we may call the warrants for redemption:</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225" w:lineRule="exact"/>
        <w:rPr>
          <w:rFonts w:ascii="Arial" w:cs="Arial" w:eastAsia="Arial" w:hAnsi="Arial"/>
          <w:sz w:val="18"/>
          <w:szCs w:val="18"/>
          <w:color w:val="auto"/>
        </w:rPr>
      </w:pPr>
    </w:p>
    <w:p>
      <w:pPr>
        <w:ind w:left="660" w:right="18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and only if, the closing price of the Common Shares equals or exceeds $18.00 per share (as adjusted for share splits, share capitalizations, reorganizations, recapitalizations and the like) for any 20 trading days within a 30-trading day period ending on the third trading day prior to the date on which notice of the redemption is given to the warrant holder.</w:t>
      </w:r>
    </w:p>
    <w:p>
      <w:pPr>
        <w:spacing w:after="0" w:line="18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If and when the warrants become redeemable by us, we may exercise our redemption right even if we are unable to register or qualify the underlying securities for sale under all applicable state securities laws.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t>We have established the last of the redemption criterion discussed above to prevent a redemption call unless there is at the time of the call a significant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premium to the warrant exercise price. If the foregoing conditions are satisfied and we issue a notice of redemption of the warrants, each warrant holder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will be entitled to exercise his, her or its warrant prior to the scheduled redemption date. However, the price of the Common Shares may fall below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$18.00 redemption trigger price (as adjusted for share splits, share capitalizations, reorganizations, recapitalizations and the like) as well as the $11.50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whole shares) warrant exercise price after the redemption notice is issued.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Procedures and Cashless Exercise</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If we call the warrants for redemption when the price per share of Common Shares equals or exceeds $18.00, our management will have the option to require any holder that wishes to exercise his, her or its warrant to do so on a “cashless basis” beginning on the third trading day prior to the date on which notice of the redemption is given to the holders of warrants. In determining whether to require all holders to exercise their warrants on a “cashless basis,” our management will consider, among other factors, our cash position, the number of warrants that are outstanding and the dilutive effect on our shareholders of issuing the maximum number of Common Shares issuable upon the exercise of our warrants. If our management takes advantage of this option, all holders of warrants would pay the exercise price by surrendering their warrants for that number of shares equal to the lesser of (A) the quotient obtained by dividing (x) the product of the number of Common Shares underlying the warrants, multiplied by the excess of the “fair market value” (defined below) over the exercise price of the warrants by (y) the fair market value and (B) 0.365. The “fair market value” will mean the average closing price of the Common Shares for the ten (10) trading days ending on the third trading day prior to the date on which the notice of redemption is sent to the holders of warrants. If our management takes advantage of this option, the notice of redemption will contain the information necessary to calculate the number of Common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team does not take advantage of this option, the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7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Common Shares issued and outstanding immediately after giving effect to such exercise.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Anti-dilution Adjustments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the number of outstanding Common Shares is increased by a capitalization or share dividend payable in Common Shares, or by a split-up of common shares or other similar event, then, on the effective date of such capitalization or share dividend, split-up or similar event, the number of Common Shares issuable on exercise of each warrant will be increased in proportion to such increase in the outstanding common shares. A rights offering made to all or substantially all holders of common shares entitling holders to purchase Common Shares at a price less than the “historical fair market value” (as defined below) will be deemed a share dividend of a number of Common Shares equal to the product of (i) the number of Common Shares actually sold in such rights offering (or issuable under any other equity securities sold in such rights offering that are convertible into or exercisable for Common Shares) and (ii) one minus the quotient of (x) the price per Common Shares paid in such rights offering and (y) the historical fair market value. For these purposes, (i) if the rights offering is for securities convertible into or exercisable for Class A ordinary shares, in determining the price payable for Common Shares, there will be taken into account any consideration received for such rights, as well as any additional amount payable upon exercise or conversion and (ii) “historical fair market value” means the volume weighted average price of Common Shares as reported during the 10 trading day period ending on the trading day prior to the first date on which the Common Shares trade on the applicable exchange or in the applicable market, regular way, without the right to receive such rights.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7" w:name="page28"/>
    <w:bookmarkEnd w:id="27"/>
    <w:p>
      <w:pPr>
        <w:ind w:right="120"/>
        <w:spacing w:after="0" w:line="289" w:lineRule="auto"/>
        <w:rPr>
          <w:sz w:val="20"/>
          <w:szCs w:val="20"/>
          <w:color w:val="auto"/>
        </w:rPr>
      </w:pPr>
      <w:r>
        <w:rPr>
          <w:rFonts w:ascii="Arial" w:cs="Arial" w:eastAsia="Arial" w:hAnsi="Arial"/>
          <w:sz w:val="16"/>
          <w:szCs w:val="16"/>
          <w:color w:val="auto"/>
        </w:rPr>
        <w:t>In addition, if we, at any time while the warrants are outstanding and unexpired, pay a dividend or make a distribution in cash, securities or other assets to all or substantially all the holders of Common Shares on account of such shares (or other securities into which the warrants are convertible), other than (a) as described above, (b) any cash dividends or cash distributions which, when combined on a per share basis with all other cash dividends and cash distributions paid on the Common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Common Shares issuable on exercise of each warrant) but only with respect to the amount of the aggregate cash dividends or cash distributions equal to or less than $0.50 per share, or (c) to satisfy the redemption rights of the holders of Common Shares in connection with the Business Combination, then the warrant exercise price will be decreased, effective immediately after the effective date of such event, by the amount of cash and/or the fair market value of any securities or other assets paid on each share of Common Shares in respect of such event.</w:t>
      </w:r>
    </w:p>
    <w:p>
      <w:pPr>
        <w:spacing w:after="0" w:line="166" w:lineRule="exact"/>
        <w:rPr>
          <w:sz w:val="20"/>
          <w:szCs w:val="20"/>
          <w:color w:val="auto"/>
        </w:rPr>
      </w:pPr>
    </w:p>
    <w:p>
      <w:pPr>
        <w:ind w:right="400"/>
        <w:spacing w:after="0" w:line="311" w:lineRule="auto"/>
        <w:rPr>
          <w:sz w:val="20"/>
          <w:szCs w:val="20"/>
          <w:color w:val="auto"/>
        </w:rPr>
      </w:pPr>
      <w:r>
        <w:rPr>
          <w:rFonts w:ascii="Arial" w:cs="Arial" w:eastAsia="Arial" w:hAnsi="Arial"/>
          <w:sz w:val="16"/>
          <w:szCs w:val="16"/>
          <w:color w:val="auto"/>
        </w:rPr>
        <w:t>If the number of outstanding Common Shares is decreased by a consolidation, combination, reverse share split or reclassification of share of Common Shares or other similar event, then, on the effective date of such consolidation, combination, reverse share split, reclassification or similar event, the number of Common Shares issuable on exercise of each warrant will be decreased in proportion to such decrease in outstanding Common Shares.</w:t>
      </w:r>
    </w:p>
    <w:p>
      <w:pPr>
        <w:spacing w:after="0" w:line="14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Whenever the number of Common Shares purchasable upon the exercise of the warrants is adjusted, as described above, the warrant exercise price will be adjusted by multiplying the warrant exercise price immediately prior to such adjustment by a fraction (x) the numerator of which will be the number of Common Shares purchasable upon the exercise of the warrants immediately prior to such adjustment and (y) the denominator of which will be the number of Common Shares so purchasable immediately thereafter.</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case of any reclassification or reorganization of the outstanding Common Shares (other than those described above or that solely affects the par value of such Common Shares), or in the case of any merger or consolidation of with or into another company (other than a consolidation or merger in which we are the continuing company and that does not result in any reclassification or reorganization of our outstanding Common Shares), or in the case of any sale or conveyance to another company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Common Shares immediately theretofore purchasable and receivable upon the exercise of the rights represented thereby, the kind and amount of Common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Common Shares in such a transaction is payable in the form of Common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(30)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warrants are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or correct any mistake, including to conform the provisions of the warrant agreement to the description of the terms of the warrants and the warrant agreement set forth in SOAC’s prospectus for its initial public offering, but requires the approval by the holders of at least 50% of the then outstanding public warrants to make any change that adversely affects the interests of the registered holders. You should review a copy of the warrant agreement, which is filed as an exhibit to the registration statement of which this prospectus is a part, for a complete description of the terms and conditions applicable to the warrants.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8" w:name="page29"/>
    <w:bookmarkEnd w:id="28"/>
    <w:p>
      <w:pPr>
        <w:ind w:right="140"/>
        <w:spacing w:after="0" w:line="277" w:lineRule="auto"/>
        <w:rPr>
          <w:sz w:val="20"/>
          <w:szCs w:val="20"/>
          <w:color w:val="auto"/>
        </w:rPr>
      </w:pPr>
      <w:r>
        <w:rPr>
          <w:rFonts w:ascii="Arial" w:cs="Arial" w:eastAsia="Arial" w:hAnsi="Arial"/>
          <w:sz w:val="18"/>
          <w:szCs w:val="18"/>
          <w:color w:val="auto"/>
        </w:rPr>
        <w:t>The warrant holders do not have the rights or privileges of holders of Common Shares and any voting rights until they exercise their warrants and receive Common Shares.</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No fractional warrants will be issued upon separation of the units and only whole warrants will trade. If, upon exercise of the warrants, a holder would be entitled to receive a fractional interest in a share, we will, upon exercise, round down to the nearest whole number the number of Common Shares to be issued to the warrant holder.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As of January 31, 2023, there were 9,500,000 Private Placement Warrants outstanding held of record by 27 holders. The private placement warrants (including the Common Shares issuable upon exercise of the private placement warrants) were not transferable, assignable or saleable until October 9, 2021, except pursuant to limited exceptions to our officers and directors and other persons or entities affiliates with the initial purchasers of the private placement warrants, and they are not redeemable by us, except as described above when the prices per share of Common Shares equals or exceeds $10.00, so long as they are held by Sponsor or its permitted transferees. The Sponsor, or its permitted transferees, has the option to exercise the private placement warrants on a cashless basis. Except as described below, the private placement warrants have terms and provisions that are identical to those of the public warrants. If the private placement warrants are held by holders other than Sponsor or its permitted transferees, the private placement warrants will be redeemable by us and exercisable by the holders on the same basis as the public warrants. The private placement warrants were transferred to permitted transferees in December 2021.</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Except as described above regarding redemption procedures and cashless exercise in respect of the public warrants, if holders of the private placement warrants elect to exercise them on a cashless basis, they would pay the exercise price by surrendering his, her or its warrants for that number of Common Shares equal to the quotient obtained by dividing (x) the product of the number of Common Shares underlying the warrants, multiplied by the excess of the “fair market value” (defined below) over the exercise price of the warrants by (y) the fair market value. The “fair market value” shall mean the average reported closing price of the Common Shares for the ten (10) trading days ending on the third trading day prior to the date on which the notice of warrant exercise is sent to the warrant agent.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Allseas Warrant</w:t>
      </w:r>
    </w:p>
    <w:p>
      <w:pPr>
        <w:spacing w:after="0" w:line="225"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On March 4, 2021, DeepGreen issued a warrant to Allseas Group S.A., or the Allseas Warrant, which vested as of November 11, 2022 upon our Board of Directors’ determination of the successful completion of a prescribed project, referred to as the PMTS, and is exercisable for 11,578,620 Common Shares (as may be adjusted based on the formula described therein) at a purchase price of $0.01 per share. The Allseas Warrant expires on September 30, 2026.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At the Closing, we, the initial shareholders, including the Sponsor, or Sponsor Group Holders, and certain holders of DeepGreen securities immediately prior to the Closing Date, or the DeepGreen Holders, entered into an amended and restated registration rights agreement, or the Amended and Restated Registration Rights Agreement, pursuant to which, among other things, the Sponsor Group Holders and the DeepGreen Holders were granted certain registration rights with respect to their respective Common Shares on the terms and subject to the conditions therein. Additionally, pursuant to subscription agreements entered into on March 4, 2021, certain investors purchased Common Shares immediately prior to the Closing, which provide these investors with certain registration rights.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9" w:name="page30"/>
    <w:bookmarkEnd w:id="29"/>
    <w:p>
      <w:pPr>
        <w:ind w:right="120"/>
        <w:spacing w:after="0" w:line="282" w:lineRule="auto"/>
        <w:rPr>
          <w:sz w:val="20"/>
          <w:szCs w:val="20"/>
          <w:color w:val="auto"/>
        </w:rPr>
      </w:pPr>
      <w:r>
        <w:rPr>
          <w:rFonts w:ascii="Arial" w:cs="Arial" w:eastAsia="Arial" w:hAnsi="Arial"/>
          <w:sz w:val="18"/>
          <w:szCs w:val="18"/>
          <w:b w:val="1"/>
          <w:bCs w:val="1"/>
          <w:color w:val="auto"/>
        </w:rPr>
        <w:t xml:space="preserve">Transfer Agent, Warrant Agent and Registrar. </w:t>
      </w:r>
      <w:r>
        <w:rPr>
          <w:rFonts w:ascii="Arial" w:cs="Arial" w:eastAsia="Arial" w:hAnsi="Arial"/>
          <w:sz w:val="18"/>
          <w:szCs w:val="18"/>
          <w:color w:val="auto"/>
        </w:rPr>
        <w:t>The transfer agent for our Common Shares and the warrant agent for our Public Warrants is Continental</w:t>
      </w:r>
      <w:r>
        <w:rPr>
          <w:rFonts w:ascii="Arial" w:cs="Arial" w:eastAsia="Arial" w:hAnsi="Arial"/>
          <w:sz w:val="18"/>
          <w:szCs w:val="18"/>
          <w:b w:val="1"/>
          <w:bCs w:val="1"/>
          <w:color w:val="auto"/>
        </w:rPr>
        <w:t xml:space="preserve"> </w:t>
      </w:r>
      <w:r>
        <w:rPr>
          <w:rFonts w:ascii="Arial" w:cs="Arial" w:eastAsia="Arial" w:hAnsi="Arial"/>
          <w:sz w:val="18"/>
          <w:szCs w:val="18"/>
          <w:color w:val="auto"/>
        </w:rPr>
        <w:t>Stock Transfer &amp; Trust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Common Shares and Public Warrants to purchase Common Shares are listed for trading on the Nasdaq Global Select Market under the symbol “TMC” and “TMCWW”, respectively.</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CERTAIN IMPORTANT PROVISIONS OF THE NOTICE OF ARTICLES AND ARTICLES AND THE BCBCA</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following is a summary of certain important provisions of our Articles and certain related sections of the BCBCA. Please note that this is only a summary and is not intended to be exhaustive. This summary is subject to, and is qualified in its entirety by reference to, the provisions of our Articles and the BCBCA.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Stated Objects or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Notice and Articles do not contain stated objects or purposes and do not place any limitations on the business that we may carry 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Power to vote on matters in which a director is materially interested. Under the BCBCA, a director or senior officer of a company is liable to account to the company for any profit that accrues to the director or senior officer under or as a result of a contract or transaction in which the director or officer holds a disclosable interest if the contract or transaction is material to the company, the company has entered, or proposes to enter, into the contract or transaction, and either the director or senior officer has a material interest in the contract or transaction or is a director or senior officer of, or has a material interest in, a person who has a material interest in the contract or transaction, unless otherwise provided for in the BCBCA. A director or senior officer does not hold a disclosable interest in a contract or transaction if the contract or transaction: (i) is an arrangement by way of security granted by the company for money loaned to, or obligations undertaken by, the director or senior officer, or a person in whom the director or senior officer has a material interest, for the benefit the company or for one of our affiliates’ benefit; (ii) relates to an indemnity or insurance permitted under the BCBCA; (iii) relates to the remuneration of the director or senior officer in his or her capacity as director, officer, employee or agent of the company or of one of its affiliates; (iv) relates to a loan to the company and the director or senior officer, or a person in whom the director or senior officer has a material interest, is the guarantor of some or all of the loan; or (v) is with a company that is affiliated to the company and the director or senior officer is also a director or senior officer of that company or an affiliate of that company.</w:t>
      </w:r>
    </w:p>
    <w:p>
      <w:pPr>
        <w:spacing w:after="0" w:line="17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 director or senior officer who holds a disclosable interest may also be liable to account to the company for any profit that accrues to the director or senior officer under or as a result of a contract or transaction in which the director or senior officer holds a disclosable interest, unless the contract or transaction is: (i) approved by the other non-interested directors (unless all directors have a disclosable interest) or by a special resolution of the shareholders, after the nature and extent of the disclosable interest has been disclosed to the directors or shareholders, as applicable, or (ii) the contract or transaction was entered into before the individual became a director or senior officer, the disclosable interest was disclosed to the other directors or shareholders and the director or senior officer who holds the disclosable interest does not vote on any decision or resolution touching on the contract or transaction. Directors and senior officers are also required to comply with certain other relevant provisions of the BCBCA regarding conflicts of interest. A director who holds such disclosable interest in respect of any material contract or transaction into which the company has entered or propose to enter may be required to absent himself or herself from the meeting while discussions and voting with respect to the matter are taking place.</w:t>
      </w:r>
    </w:p>
    <w:p>
      <w:pPr>
        <w:spacing w:after="0" w:line="16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Directors’ power to determine the remuneration of directors. The remuneration of our directors, if any, may be determined by our directors subject to our Articles. The remuneration may be in addition to any salary or other remuneration paid to any of our employees (including executive officers) who are also directors.</w:t>
      </w:r>
    </w:p>
    <w:p>
      <w:pPr>
        <w:spacing w:after="0" w:line="18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Number of shares required to be owned by a director. Our Articles do not and the BCBCA does not provide that a director is required to hold any of Common Shares as a qualification for holding his or her office.</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Shareholder Meetings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Subject to applicable exchange requirements, and the BCBCA, we will have to hold a general meeting of our shareholders at least once every year at a time and place determined by our board of directors, provided that the meeting must not be held later than 15 months after the preceding annual general meeting, unless an extension is obtained. A meeting of our shareholders may be held anywhere in or outside British Columbia. The board of directors may also determine that shareholders may attend a meeting of shareholders by means of telephone, electronic or other communications facilities that permit all participants to communicate with each other during the meeting.</w:t>
      </w:r>
    </w:p>
    <w:p>
      <w:pPr>
        <w:spacing w:after="0" w:line="188"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A notice to convene a meeting, specifying the date, time and location of the meeting, and, where a meeting is to consider special business, the general nature of the special business, among other things, must be sent to each shareholder entitled to attend the meeting and to each director and the auditors, so long that the company is a public company, not less than 21 days and no more than two months prior to the meeting, although, as a result of applicable securities laws, the minimum time for notice is effectively longer in most circumstances. Under the BCBCA, shareholders entitled to notice of a meeting may waive or reduce the period of notice for that meeting, provided applicable securities laws are met. The accidental omission to send notice of any meeting of shareholders to, or the non-receipt of any notice by, any person entitled to notice does not invalidate any proceedings at that meeting.</w:t>
      </w:r>
    </w:p>
    <w:p>
      <w:pPr>
        <w:spacing w:after="0" w:line="1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quorum for meetings of shareholders is present if at least two shareholders who, in the aggregate, hold at least 5% of the issued shares entitled to vote at the meeting, are present in person or represented by proxy at the meeting. If a quorum is not present within one half hour from the time set for the opening of any meeting of shareholders, the meeting stands adjourned to the same day in the next week at the same time and place, unless the meeting was requisitioned by shareholders, in which case the meeting is dissolved.</w:t>
      </w:r>
    </w:p>
    <w:p>
      <w:pPr>
        <w:spacing w:after="0" w:line="18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Holders of Common Shares are entitled to attend and vote at meetings of our shareholders except meetings at which only holders another class of shares are entitled to vote. Except as otherwise provided with respect to any particular series of preferred shares or Special Shares, and except as otherwise required by law, the holders of our preferred shares and/or Special Shares are not entitled to vote at any meetings of our shareholders. Our directors and officers, our auditor and any other persons invited by our directors or the chair of the meeting are entitled to attend any meeting of our shareholders but will not be counted in the quorum or be entitled to vote at the meeting unless he or she is a shareholder or proxyholder entitled to vote at the meeting.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Proposals and Advance Notice Procedures</w:t>
      </w:r>
    </w:p>
    <w:p>
      <w:pPr>
        <w:spacing w:after="0" w:line="22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Under the BCBCA, qualified shareholders holding at least either (i) 1% of the Common Shares or (ii) Common Shares with a fair market value in excess of CAD$2,000 may make proposals for matters to be considered at the annual general meeting of shareholders. Such proposals must be sent to us in advance of any proposed meeting by delivering a timely written notice in proper form to our registered office in accordance with the requirements of the BCBCA. The notice must include information on the business the shareholder intends to bring before the meeting. To be a qualified shareholder, a shareholder must currently be and have been a registered or beneficial owner of at least one Common Share for at least two years before the date of signing the proposal.</w:t>
      </w:r>
    </w:p>
    <w:p>
      <w:pPr>
        <w:spacing w:after="0" w:line="16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Certain advance notice provisions with respect to the election of our directors are included in the Notice and Articles, or the Advance Notice Provisions. The Advance Notice Provisions are intended to: (i) facilitate orderly and efficient annual general meetings or, where the need arises, special meetings; (ii) ensure that all shareholders receive adequate notice of board nominations and sufficient information with respect to all nominees; and (iii) allow shareholders to register an informed vote. Only persons who are nominated in accordance with the Advance Notice Provisions will be eligible for election as directors at any annual meeting of shareholders, or at any special meeting of shareholders if one of the purposes for which the special meeting was called was the election of directors.</w:t>
      </w:r>
    </w:p>
    <w:p>
      <w:pPr>
        <w:spacing w:after="0" w:line="19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Under the Advance Notice Provisions, a shareholder wishing to nominate a director would be required to provide us notice, in the prescribed form, within the prescribed time periods. These time periods include, (i) in the case of an annual meeting of shareholders (including annual and special meetings), not less than 30 days prior to the date of the annual meeting of shareholders; provided, that if the first public announcement of the date of the annual meeting of shareholders, referred to herein as the Notice Date, is less than 50 days before the meeting date, not later than the close of business on the 10th day following the Notice Date; and (ii) in the case of a special meeting (which is not also an annual meeting) of shareholders called for any purpose which includes electing directors, not later than the close of business on the 15th day following the Notice Date.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ind w:right="100"/>
        <w:spacing w:after="0" w:line="277" w:lineRule="auto"/>
        <w:rPr>
          <w:sz w:val="20"/>
          <w:szCs w:val="20"/>
          <w:color w:val="auto"/>
        </w:rPr>
      </w:pPr>
      <w:r>
        <w:rPr>
          <w:rFonts w:ascii="Arial" w:cs="Arial" w:eastAsia="Arial" w:hAnsi="Arial"/>
          <w:sz w:val="18"/>
          <w:szCs w:val="18"/>
          <w:color w:val="auto"/>
        </w:rPr>
        <w:t>These provisions could have the effect of delaying until the next shareholder meeting the nomination of certain persons for director that are favored by the holders of a majority of our outstanding voting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Forum Selection</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Notice and Articles include a forum selection provision that provides that, unless we consent in writing to the selection of an alternative forum, the Supreme Court of British Columbia, Canada and the appellate courts therefrom, are the sole and exclusive forum for (i) any derivative action or proceeding brought on our behalf; (ii) any action or proceeding asserting a claim of breach of a fiduciary duty owed by any of our directors, officers, or other employees to our company; (iii) any action or proceeding asserting a claim arising pursuant to any provision of the BCBCA or the Notice and Articles (as each may be amended from time to time); or (iv) any action or proceeding asserting a claim otherwise related to the relationships among us, our affiliates and our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This provision does not apply to suits brought to enforce any duty or liability created by the Securities Act or the Exchange Act, or the rules and regulations thereunder.</w:t>
      </w:r>
    </w:p>
    <w:p>
      <w:pPr>
        <w:spacing w:after="0" w:line="18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For claims brought under the Securities Act, Section 22 of the Securities Act creates concurrent jurisdiction for federal and state courts over all claims brought to enforce any duty or liability created by the Securities Act or the rules and regulations thereunder and the Notice and Articles provides that the federal district courts of the United States of America, to the fullest extent permitted by law, are the sole and exclusive forum for resolving any complaint asserting a cause of action arising under the Securities Act, referred to herein as the Federal Forum Provision. Application of the Federal Forum Provision means that suits brought by our shareholders to enforce any duty or liability created by the Securities Act must be brought in federal court and cannot be brought in state court.</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spacing w:after="0" w:line="18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Any person or entity purchasing or otherwise acquiring or holding any interest in any of Common Shares shall be deemed to have notice of and consented to the aforementioned forum selection provisions, including the Federal Forum Provision. Additionally, our shareholders cannot waive compliance with the federal securities laws and the rules and regulations thereunder. These provisions may limit our shareholders’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the Notice and Articles to be inapplicable or unenforceable in an action, we may incur additional costs associated with resolving such action in other jurisdictions, which could harm our business, operating results and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of Liability and Indemnification</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Under the BCBCA, a company may indemnify: (i) a current or former director or officer of that company; (ii) a current or former director or officer of another company if, at the time such individual held such office, such company was an affiliate of the company, or if such individual held such office at the company’s request; or (iii) an individual who, at the request of the company, held, or holds, an equivalent position in another entity, or an indemnifiable person, against all judgments, penalties or fines, or amounts paid to settle a proceeding or an action, in respect of any legal proceeding or investigative action (whether current, threatened, pending or completed) in which he or she is involved because of that person’s position as an indemnifiable person, or an eligible proceeding, unless: (i) the individual did not act honestly and in good faith with a view to the best interests of such company or the other entity, as the case may be; or (ii) in the case of a proceeding other than a civil proceeding, the individual did not have reasonable grounds for believing that the individual’s conduct in respect of which proceeding was brought was lawful. A company cannot indemnify an indemnifiable person if it is prohibited from doing so under its articles or by applicable law. A company may pay, as they are incurred in advance of the final disposition of an eligible proceeding, the expenses actually and reasonably incurred, subject to the indemnifiable person providing an undertaking that such person will repay the amounts advanced if it is ultimately determined that the payment of such expenses is prohibited by the BCBCA.</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OWNERSHIP AND EXCHANGE CONTROLS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There is no limitation imposed by Canadian law or by the Notice and Articles on the right of a non-resident to hold or vote Common Shares, other than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Act</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Limitations on the ability to acquire and hold Common Shares may be imposed by the Competition Act (Canada). This legislation permits the Commissioner of Competition, or the Commissioner, to review any acquisition or establishment, directly or indirectly, including through the acquisition of shares, of control over or of a significant interest in us. This legislation grants the Commissioner jurisdiction, for up to one year after the acquisition has been substantially completed, to challenge this type of acquisition by seeking a remedial order, including an order to prohibit the acquisition or require divestitures, from the Canadian Competition Tribunal, which may be granted where the Competition Tribunal finds that the acquisition substantially prevents or lessens, or is likely to substantially prevent or lessen, competition.</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legislation also requires any person or persons who intend to acquire more than 20% of our voting shares or, if such person or persons already own more than 20% of our voting shares prior to the acquisition, more than 50% of our voting shares, to file a notification with the Canadian Competition Bureau if certain financial thresholds are exceeded. Where a notification is required, unless an exemption is available, the legislation prohibits completion of the acquisition until the expiration of the applicable statutory waiting period, unless the Commissioner either waives or terminates such waiting period or issues an advance ruling certificate. The Commissioner’s review of a notifiable transaction for substantive competition law considerations may take longer than the statutory waiting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Canada Act</w:t>
      </w:r>
    </w:p>
    <w:p>
      <w:pPr>
        <w:spacing w:after="0" w:line="22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 Investment Canada Act requires each “non Canadian” (as defined in the Investment Canada Act) who acquires “control” of an existing “Canadian business,” to file a notification in prescribed form with the responsible federal government department or departments not later than 30 days after closing, provided the acquisition of control is not a reviewable transaction under the Investment Canada Act. Subject to certain exemptions, a transaction that is reviewable under the Investment Canada Act may not be implemented until an application for review has been filed and the responsible Minister of the federal cabinet has determined that the investment is likely to be of “net benefit to Canada” taking into account certain factors set out in the Investment Canada Act. Under the Investment Canada Act, an investment in Common Shares by a non-Canadian who is an investor originating from a country with which Canada has a free trade agreement, including a United States investor, and is not a state-owned enterprise, would be reviewable only if it were an investment to acquire control of us pursuant to the Investment Canada Act and our enterprise value (as determined pursuant to the Investment Canada Act and its regulations) was equal to or greater than the amount specified, which is currently CAD$1.931 billion. For most other investors who are not state-owned enterprises the threshold is currently CAD$1.287 billion for 2023.</w:t>
      </w:r>
    </w:p>
    <w:p>
      <w:pPr>
        <w:spacing w:after="0" w:line="16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Investment Canada Act contains various rules to determine if there has been an acquisition of control. Generally, for purposes of determining whether an investor has acquired control of a corporation by acquiring shares, the following general rules apply, subject to certain exceptions: the acquisition of a majority of the undivided ownership interests in the voting shares of the corporation is deemed to be acquisition of control of that corporation; the acquisition of less than a majority, but one-third or more, of the voting shares of a corporation or of an equivalent undivided ownership interest in the voting shares of the corporation is presumed to be acquisition of control of that corporation unless it can be established that, on the acquisition, the corporation is not controlled in fact by the acquirer through the ownership of voting shares; and the acquisition of less than one-third (1/3) of the voting shares of a corporation or of an equivalent undivided ownership interest in the voting shares of the corporation is deemed not to be acquisition of control of that corporation.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4" w:name="page35"/>
    <w:bookmarkEnd w:id="34"/>
    <w:p>
      <w:pPr>
        <w:spacing w:after="0" w:line="255" w:lineRule="auto"/>
        <w:rPr>
          <w:sz w:val="20"/>
          <w:szCs w:val="20"/>
          <w:color w:val="auto"/>
        </w:rPr>
      </w:pPr>
      <w:r>
        <w:rPr>
          <w:rFonts w:ascii="Arial" w:cs="Arial" w:eastAsia="Arial" w:hAnsi="Arial"/>
          <w:sz w:val="18"/>
          <w:szCs w:val="18"/>
          <w:color w:val="auto"/>
        </w:rPr>
        <w:t>Under the national-security-review regime in the Investment Canada Act, review on a discretionary basis may also be undertaken by the federal government in respect to a much broader range of investments by a non-Canadian to “acquire, in whole or part, or to establish an entity carrying on all or any part of its operations in Canada.” No financial threshold applies to a national-security review. The relevant test is whether such investment by a non-Canadian could be “injurious to national security.” The responsible ministers have broad discretion to determine whether an investor is a non-Canadian and therefore subject to national-security review. Review on national-security grounds is at the discretion of the responsible ministers, and may occur on a pre-or post-closing basis.</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Certain transactions relating to Common Shares will generally be exempt from the Investment Canada Act, subject to the federal government’s prerogative to conduct a national-security review, including:</w:t>
      </w:r>
    </w:p>
    <w:p>
      <w:pPr>
        <w:spacing w:after="0" w:line="17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acquisition of Common Shares by a person in the ordinary course of that person’s business as a trader or dealer in securities;</w:t>
      </w:r>
    </w:p>
    <w:p>
      <w:pPr>
        <w:spacing w:after="0" w:line="225"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acquisition of control of us in connection with the realization of security granted for a loan or other financial assistance and not for any purpose related to the provisions of the Investment Canada Act; and</w:t>
      </w:r>
    </w:p>
    <w:p>
      <w:pPr>
        <w:spacing w:after="0" w:line="17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acquisition of control of us by reason of an amalgamation, merger, consolidation or corporate reorganization following which the ultimate direct or indirect control in fact of us, through ownership of Common Shares, remains unchanged.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There is no law, governmental decree or regulation in Canada that restricts the export or import of capital, or that would affect the remittance of dividends (if any) or other payments by us to non-resident holders of Common Shares, other than withholding tax requirements.</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following discussion is a summary of material U.S. federal income tax considerations applicable to you if you are a U.S. Holder (as defined below) of our Common Shares and/or Public Warrants (other than Sponsor or any of its affiliates). This discussion addresses only those U.S. Holders that hold our Common Shares and/or Public Warrants as capital assets within the meaning of Section 1221 of the Internal Revenue Code of 1986, as amended, or the Code (generally property held for investment). This summary does not discuss all aspects of U.S. federal income taxation that may be relevant to particular investors in light of their particular circumstances, or to investors subject to special tax rules, such as:</w:t>
      </w:r>
    </w:p>
    <w:p>
      <w:pPr>
        <w:spacing w:after="0" w:line="17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mutual funds;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 corporations;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traders in securities that elect mark-to-market treatment;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trusts and estates;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tax-exempt organizations (including private foundations);</w:t>
      </w:r>
    </w:p>
    <w:p>
      <w:pPr>
        <w:spacing w:after="0" w:line="225"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investors that hold our Common Shares or Public Warrants as part of a “straddle,” “hedge,” “conversion,” “synthetic security,” “constructive ownership transaction,” “constructive sale” or other integrated transaction for U.S. federal income tax purposes;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investors subject to the alternative minimum tax provisions of the Code;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 Holders that have a functional currency other than the U.S. dollar;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 expatriates or former long-term residents of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investors subject to the U.S. “inversion” rules;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 Holders owning or considered as owning (directly, indirectly, or through attribution) 5% (measured by vote or value) or more of our Common Shares;</w:t>
      </w:r>
    </w:p>
    <w:p>
      <w:pPr>
        <w:spacing w:after="0" w:line="17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persons that acquired our Common Shares or Public Warrants pursuant to an exercise of employee share options, in connection with employee share incentive plans or otherwise as compensation as compensation;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accrual method taxpayers that file applicable financial statements as described in Section 451(b) of the Code;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passive foreign investment companies (except to the limited extent provided herein);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persons who are not U.S. Holders, all of whom may be subject to tax rules that differ materially from those summarized below.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6" w:name="page37"/>
    <w:bookmarkEnd w:id="36"/>
    <w:p>
      <w:pPr>
        <w:spacing w:after="0" w:line="273" w:lineRule="auto"/>
        <w:rPr>
          <w:sz w:val="20"/>
          <w:szCs w:val="20"/>
          <w:color w:val="auto"/>
        </w:rPr>
      </w:pPr>
      <w:r>
        <w:rPr>
          <w:rFonts w:ascii="Arial" w:cs="Arial" w:eastAsia="Arial" w:hAnsi="Arial"/>
          <w:sz w:val="17"/>
          <w:szCs w:val="17"/>
          <w:color w:val="auto"/>
        </w:rPr>
        <w:t>This summary does not discuss any state, local, or non-U.S. tax considerations, any non-income tax (such as gift or estate tax) considerations, the alternative minimum tax or the Medicare tax on net investment income. If a partnership (including an entity or arrangement treated as a partnership for U.S. federal income tax purposes) holds Common Shares or Public Warrants the tax treatment of a partner in such partnership will generally depend upon the status of the partner, the activities of the partnership and the partner and certain determinations made at the partner level. If you are a partner of a partnership holding Common Shares or Public Warrants, you are urged to consult your tax advisor regarding the tax consequences to you of the ownership and disposition of Common Shares or Public Warrants by the partnership.</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This summary is based upon the Code, the U.S. Department of Treasury regulations, or Treasury Regulations, current administrative interpretations and practices of the Internal Revenue Service, or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considerations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discussion, a “U.S. Holder” is a beneficial owner of Common Shares or Public Warrants, as the case may be, that is:</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individual who is a U.S. citizen or resident of the United States;</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225"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trust (A) the administration of which is subject to the primary supervision of a U.S. court and which has one or more U.S. persons (within the meaning of the Code) who have the authority to control all substantial decisions of the trust or (B) that has in effect a valid election under applicable Treasury Regulations to be treated as a U.S. person.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 of Ownership and Disposition of Common Shares and Public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and Other Distributions on Common Shares</w:t>
      </w:r>
    </w:p>
    <w:p>
      <w:pPr>
        <w:spacing w:after="0" w:line="22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Subject to the PFIC rules discussed below under the heading “- </w:t>
      </w:r>
      <w:r>
        <w:rPr>
          <w:rFonts w:ascii="Arial" w:cs="Arial" w:eastAsia="Arial" w:hAnsi="Arial"/>
          <w:sz w:val="17"/>
          <w:szCs w:val="17"/>
          <w:i w:val="1"/>
          <w:iCs w:val="1"/>
          <w:color w:val="auto"/>
        </w:rPr>
        <w:t>Passive Foreign Investment Company Rules</w:t>
      </w:r>
      <w:r>
        <w:rPr>
          <w:rFonts w:ascii="Arial" w:cs="Arial" w:eastAsia="Arial" w:hAnsi="Arial"/>
          <w:sz w:val="17"/>
          <w:szCs w:val="17"/>
          <w:color w:val="auto"/>
        </w:rPr>
        <w:t xml:space="preserve">,” distributions on Common Shares will generally be taxable as a dividend for U.S. federal income tax purposes to the extent paid from the Company’s current or accumulated earnings and profits, as determined under U.S. federal income tax principles. Distributions in excess of the Company’s current and accumulated earnings and profits will constitute a return of capital that will be applied against and reduce (but not below zero) the U.S. Holder’s adjusted tax basis in its Common Shares. Any remaining excess will be treated as gain realized on the sale or other disposition of the Common Shares and will be treated as described below under the heading “- </w:t>
      </w:r>
      <w:r>
        <w:rPr>
          <w:rFonts w:ascii="Arial" w:cs="Arial" w:eastAsia="Arial" w:hAnsi="Arial"/>
          <w:sz w:val="17"/>
          <w:szCs w:val="17"/>
          <w:i w:val="1"/>
          <w:iCs w:val="1"/>
          <w:color w:val="auto"/>
        </w:rPr>
        <w:t>Tax Consequences of Ownership and Disposition of Common Shares and Public Warrants - Sale, Taxable Exchange or Other Taxable</w:t>
      </w:r>
      <w:r>
        <w:rPr>
          <w:rFonts w:ascii="Arial" w:cs="Arial" w:eastAsia="Arial" w:hAnsi="Arial"/>
          <w:sz w:val="17"/>
          <w:szCs w:val="17"/>
          <w:color w:val="auto"/>
        </w:rPr>
        <w:t xml:space="preserve"> </w:t>
      </w:r>
      <w:r>
        <w:rPr>
          <w:rFonts w:ascii="Arial" w:cs="Arial" w:eastAsia="Arial" w:hAnsi="Arial"/>
          <w:sz w:val="17"/>
          <w:szCs w:val="17"/>
          <w:i w:val="1"/>
          <w:iCs w:val="1"/>
          <w:color w:val="auto"/>
        </w:rPr>
        <w:t>Disposition of Common Shares and Public Warrants.</w:t>
      </w:r>
      <w:r>
        <w:rPr>
          <w:rFonts w:ascii="Arial" w:cs="Arial" w:eastAsia="Arial" w:hAnsi="Arial"/>
          <w:sz w:val="17"/>
          <w:szCs w:val="17"/>
          <w:color w:val="auto"/>
        </w:rPr>
        <w:t>” The amount of any such distribution will include any amounts withheld by us (or another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withholding agent) in respect of Canadian income taxes. Any amount treated as dividend income will be treated as foreign-source dividend income. Amounts treated as dividends that the Company pays to a U.S. Holder that is a taxable corporation generally will be taxed at regular rates and will not qualify for the dividends received deduction generally allowed to U.S. corporations in respect of dividends received from other U.S. corporations. 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only if Common Shares are readily tradable on an established securities market in the United States or the Company is eligible for benefits under an applicable tax treaty with the United States, and the Company is not treated as a PFIC with respect to such U.S. Holder at the time the dividend was paid or in the preceding year and provided certain holding period requirements are met. The amount of any dividend distribution paid in Canadian dollars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receipt.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spacing w:after="0" w:line="255" w:lineRule="auto"/>
        <w:rPr>
          <w:sz w:val="20"/>
          <w:szCs w:val="20"/>
          <w:color w:val="auto"/>
        </w:rPr>
      </w:pPr>
      <w:r>
        <w:rPr>
          <w:rFonts w:ascii="Arial" w:cs="Arial" w:eastAsia="Arial" w:hAnsi="Arial"/>
          <w:sz w:val="18"/>
          <w:szCs w:val="18"/>
          <w:color w:val="auto"/>
        </w:rPr>
        <w:t>Subject to applicable limitations, non-refundable Canadian income taxes withheld from dividends on Common Shares at a rate not exceeding the rate provided by the applicable treaty with the United States will be eligible for credit against the U.S. treaty beneficiary’s U.S. federal income tax liability. The rules governing foreign tax credits are complex and U.S. Holders are urged to consult their tax advisers regarding the creditability of foreign taxes in their particular circumstances. In lieu of claiming a foreign tax credit, a U.S. Holder may deduct foreign taxes, including any Canadian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Taxable Exchange or Other Taxable Disposition of Common Shares and Public Warrants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Subject to the PFIC rules discussed below under the heading “- </w:t>
      </w:r>
      <w:r>
        <w:rPr>
          <w:rFonts w:ascii="Arial" w:cs="Arial" w:eastAsia="Arial" w:hAnsi="Arial"/>
          <w:sz w:val="17"/>
          <w:szCs w:val="17"/>
          <w:i w:val="1"/>
          <w:iCs w:val="1"/>
          <w:color w:val="auto"/>
        </w:rPr>
        <w:t>Passive Foreign Investment Company Rules</w:t>
      </w:r>
      <w:r>
        <w:rPr>
          <w:rFonts w:ascii="Arial" w:cs="Arial" w:eastAsia="Arial" w:hAnsi="Arial"/>
          <w:sz w:val="17"/>
          <w:szCs w:val="17"/>
          <w:color w:val="auto"/>
        </w:rPr>
        <w:t>,” upon any sale, exchange or other taxable disposition of Common Shares or Public Warrants, a U.S. Holder generally will recognize gain or loss in an amount equal to the difference between (i) the sum of (x) the amount cash and (y) the fair market value of any other property, received in such sale, exchange or other taxable disposition and (ii) the U.S. Holder’s adjusted tax basis in such Common Shares or Public Warrants, in each case as calculated in U.S. dollars. If a U.S. Holder acquired such Common Shares or Public Warrants as part of a unit, the adjusted tax basis in the Common Shares or Public Warrants will be the portion of the acquisition cost allocated to the shares or warrants, respectively, or if such Common Shares were received upon exercise of Public Warrants, the initial basis of the Common Shares upon exercise of Public Warrants (generally determined as described below in “</w:t>
      </w:r>
      <w:r>
        <w:rPr>
          <w:rFonts w:ascii="Arial" w:cs="Arial" w:eastAsia="Arial" w:hAnsi="Arial"/>
          <w:sz w:val="17"/>
          <w:szCs w:val="17"/>
          <w:i w:val="1"/>
          <w:iCs w:val="1"/>
          <w:color w:val="auto"/>
        </w:rPr>
        <w:t>- Tax Consequences of Ownership and Disposition of</w:t>
      </w:r>
      <w:r>
        <w:rPr>
          <w:rFonts w:ascii="Arial" w:cs="Arial" w:eastAsia="Arial" w:hAnsi="Arial"/>
          <w:sz w:val="17"/>
          <w:szCs w:val="17"/>
          <w:color w:val="auto"/>
        </w:rPr>
        <w:t xml:space="preserve"> </w:t>
      </w:r>
      <w:r>
        <w:rPr>
          <w:rFonts w:ascii="Arial" w:cs="Arial" w:eastAsia="Arial" w:hAnsi="Arial"/>
          <w:sz w:val="17"/>
          <w:szCs w:val="17"/>
          <w:i w:val="1"/>
          <w:iCs w:val="1"/>
          <w:color w:val="auto"/>
        </w:rPr>
        <w:t>Common Shares and Public Warrants - Exercise or Lapse of a Public Warrant</w:t>
      </w:r>
      <w:r>
        <w:rPr>
          <w:rFonts w:ascii="Arial" w:cs="Arial" w:eastAsia="Arial" w:hAnsi="Arial"/>
          <w:sz w:val="17"/>
          <w:szCs w:val="17"/>
          <w:color w:val="auto"/>
        </w:rPr>
        <w:t>”). Any such gain or loss generally will be capital gain or loss and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long-term capital gain or loss if the U.S. Holder’s holding period for such Common Shares exceeds one (1) year. Long-term capital gain realized by a non-corporate U.S. Holder generally will be taxable at a reduced rate. The deduction of capital losses is subject to limitations. This gain or loss generally will be treated as U.S. source gain or loss.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or Lapse of a Public Warrant</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 U.S. Holder generally will not recognize taxable gain or loss on the acquisition of a Common Share upon exercise of a Public Warrant for cash. The U.S. Holder’s tax basis in the Common Share received upon exercise of the Public Warrant generally will be an amount equal to the sum of the U.S. Holder’s initial investment in the Public Warrant (</w:t>
      </w:r>
      <w:r>
        <w:rPr>
          <w:rFonts w:ascii="Arial" w:cs="Arial" w:eastAsia="Arial" w:hAnsi="Arial"/>
          <w:sz w:val="17"/>
          <w:szCs w:val="17"/>
          <w:i w:val="1"/>
          <w:iCs w:val="1"/>
          <w:color w:val="auto"/>
        </w:rPr>
        <w:t>i.e.,</w:t>
      </w:r>
      <w:r>
        <w:rPr>
          <w:rFonts w:ascii="Arial" w:cs="Arial" w:eastAsia="Arial" w:hAnsi="Arial"/>
          <w:sz w:val="17"/>
          <w:szCs w:val="17"/>
          <w:color w:val="auto"/>
        </w:rPr>
        <w:t xml:space="preserve"> its tax basis, calculated in U.S. dollars) and the exercise price. The U.S. Holder’s holding period for a Common Share received upon exercise of the of a Public Warrant will begin on the day following the date of exercise (or possibly the date of exercise) of the Public Warrant and will not include the period during which the U.S. Holder held the Public Warrant. If a Public Warrant is allowed to lapse unexercised, a U.S. Holder generally will recognize a capital loss equal to such U.S. Holder’s tax basis in the warrant (calculated in U.S. dollars). Such loss will be long-term if the warrant has been held for more than one (1) year.</w:t>
      </w:r>
    </w:p>
    <w:p>
      <w:pPr>
        <w:spacing w:after="0" w:line="17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tax consequences of a cashless exercise of a Public Warrant are not clear under current tax law. A cashless exercise may not be taxable, either because the exercise is not a realization event or because the exercise is treated as a recapitalization for U.S. federal income tax purposes. In either situation, a U.S. Holder’s tax basis in the shares of Common Shares received generally should equal the U.S. Holder’s tax basis in the Public Warrants. If the cashless exercise was not a realization event, it is unclear whether a U.S. Holder’s holding period for the Common Shares would be treated as commencing on the date of exercise of the Public Warrant or the day following the date of exercise of the Public Warrant. If the cashless exercise were treated as a recapitalization, the holding period of the shares of Common Shares received would include the holding period of the Public Warrant.</w:t>
      </w:r>
    </w:p>
    <w:p>
      <w:pPr>
        <w:spacing w:after="0" w:line="16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It is also possible that a cashless exercise may be treated in part as a taxable exchange in which gain or loss would be recognized. In such event, a U.S. Holder may be deemed to have surrendered a number of Public Warrants having a value equal to the exercise price for the total number of Public Warrants to be exercised. The U.S. Holder would recognize capital gain or loss in an amount equal to the difference between the fair market value of the Public Warrants deemed surrendered and the U.S. Holder’s tax basis in the Public Warrants deemed surrendered. In this case, a U.S. Holder’s tax basis in the shares of Common Shares received would equal the sum of the U.S. Holder’s tax basis in the Public Warrants exercised, and the exercise price of such Public Warrants. It is unclear whether a U.S. Holder’s holding period for the shares of Common Shares would commence on the date of exercise of the Public Warrant or the day following the date of exercise of the Public Warrant; in either case, the holding period will not include the period during which the U.S. Holder held the Public Warrant.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8" w:name="page39"/>
    <w:bookmarkEnd w:id="38"/>
    <w:p>
      <w:pPr>
        <w:ind w:right="40"/>
        <w:spacing w:after="0" w:line="259" w:lineRule="auto"/>
        <w:rPr>
          <w:sz w:val="20"/>
          <w:szCs w:val="20"/>
          <w:color w:val="auto"/>
        </w:rPr>
      </w:pPr>
      <w:r>
        <w:rPr>
          <w:rFonts w:ascii="Arial" w:cs="Arial" w:eastAsia="Arial" w:hAnsi="Arial"/>
          <w:sz w:val="18"/>
          <w:szCs w:val="18"/>
          <w:color w:val="auto"/>
        </w:rPr>
        <w:t>Due to the absence of authority on the U.S. federal income tax treatment of a cashless exercise, including when a U.S. Holder’s holding period would commence with respect to the shares of Common Shares received, there can be no assurance as to which, if any, of the alternative tax consequences and holding periods described above would be adopted by the IRS or a court of law. Accordingly, U.S. Holders are urged to consult their tax advisors regarding the tax consequences of a cashless exercise.</w:t>
      </w:r>
    </w:p>
    <w:p>
      <w:pPr>
        <w:spacing w:after="0" w:line="187"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 xml:space="preserve">If the Company redeems Public Warrants for cash or if the Company purchases Public Warrants in an open market transaction, such redemption or purchase generally will be treated as a taxable disposition to the U.S. Holder, taxed as described above under “- </w:t>
      </w:r>
      <w:r>
        <w:rPr>
          <w:rFonts w:ascii="Arial" w:cs="Arial" w:eastAsia="Arial" w:hAnsi="Arial"/>
          <w:sz w:val="16"/>
          <w:szCs w:val="16"/>
          <w:i w:val="1"/>
          <w:iCs w:val="1"/>
          <w:color w:val="auto"/>
        </w:rPr>
        <w:t>Tax Consequences of Ownership and</w:t>
      </w:r>
      <w:r>
        <w:rPr>
          <w:rFonts w:ascii="Arial" w:cs="Arial" w:eastAsia="Arial" w:hAnsi="Arial"/>
          <w:sz w:val="16"/>
          <w:szCs w:val="16"/>
          <w:color w:val="auto"/>
        </w:rPr>
        <w:t xml:space="preserve"> </w:t>
      </w:r>
      <w:r>
        <w:rPr>
          <w:rFonts w:ascii="Arial" w:cs="Arial" w:eastAsia="Arial" w:hAnsi="Arial"/>
          <w:sz w:val="16"/>
          <w:szCs w:val="16"/>
          <w:i w:val="1"/>
          <w:iCs w:val="1"/>
          <w:color w:val="auto"/>
        </w:rPr>
        <w:t>Disposition of Common Shares and Public Warrants - Sale, Taxable Exchange or Other Taxable Disposition of Common Shares and Public Warrants</w:t>
      </w:r>
      <w:r>
        <w:rPr>
          <w:rFonts w:ascii="Arial" w:cs="Arial" w:eastAsia="Arial" w:hAnsi="Arial"/>
          <w:sz w:val="16"/>
          <w:szCs w:val="16"/>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Adjustment to Exercise Price</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Under Section 305 of the Code, if certain adjustments are made (or not made) to the number of shares to be issued upon the exercise of a Public Warrant or to the Public Warrant’s exercise price, a U.S. Holder may be deemed to have received a constructive distribution with respect to the warrant, which could result in adverse consequences for the U.S. Holder, including the inclusion of dividend income (with the consequences generally as described above under the heading “- </w:t>
      </w:r>
      <w:r>
        <w:rPr>
          <w:rFonts w:ascii="Arial" w:cs="Arial" w:eastAsia="Arial" w:hAnsi="Arial"/>
          <w:sz w:val="16"/>
          <w:szCs w:val="16"/>
          <w:i w:val="1"/>
          <w:iCs w:val="1"/>
          <w:color w:val="auto"/>
        </w:rPr>
        <w:t>Tax Consequences of Ownership and Disposition of Common Shares and Public Warrants - Dividends and Other Distributions on Common</w:t>
      </w:r>
      <w:r>
        <w:rPr>
          <w:rFonts w:ascii="Arial" w:cs="Arial" w:eastAsia="Arial" w:hAnsi="Arial"/>
          <w:sz w:val="16"/>
          <w:szCs w:val="16"/>
          <w:color w:val="auto"/>
        </w:rPr>
        <w:t xml:space="preserve"> </w:t>
      </w:r>
      <w:r>
        <w:rPr>
          <w:rFonts w:ascii="Arial" w:cs="Arial" w:eastAsia="Arial" w:hAnsi="Arial"/>
          <w:sz w:val="16"/>
          <w:szCs w:val="16"/>
          <w:i w:val="1"/>
          <w:iCs w:val="1"/>
          <w:color w:val="auto"/>
        </w:rPr>
        <w:t>Shares</w:t>
      </w:r>
      <w:r>
        <w:rPr>
          <w:rFonts w:ascii="Arial" w:cs="Arial" w:eastAsia="Arial" w:hAnsi="Arial"/>
          <w:sz w:val="16"/>
          <w:szCs w:val="16"/>
          <w:color w:val="auto"/>
        </w:rPr>
        <w:t>”). The rules governing constructive distributions as a result of certain adjustments with respect to a Public Warrant are complex, and U.S. Holders</w:t>
      </w:r>
      <w:r>
        <w:rPr>
          <w:rFonts w:ascii="Arial" w:cs="Arial" w:eastAsia="Arial" w:hAnsi="Arial"/>
          <w:sz w:val="16"/>
          <w:szCs w:val="16"/>
          <w:i w:val="1"/>
          <w:iCs w:val="1"/>
          <w:color w:val="auto"/>
        </w:rPr>
        <w:t xml:space="preserve"> </w:t>
      </w:r>
      <w:r>
        <w:rPr>
          <w:rFonts w:ascii="Arial" w:cs="Arial" w:eastAsia="Arial" w:hAnsi="Arial"/>
          <w:sz w:val="16"/>
          <w:szCs w:val="16"/>
          <w:color w:val="auto"/>
        </w:rPr>
        <w:t>are urged to consult their tax advisors on the tax consequences any such constructive distribution with respect to a Public Warrant.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treatment of U.S. Holders of Common Shares and Public Warrants could be materially different from that described above if the Company is treated as a PFIC for U.S. federal income tax purposes.</w:t>
      </w:r>
    </w:p>
    <w:p>
      <w:pPr>
        <w:spacing w:after="0" w:line="17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If the Company is a PFIC for any taxable year, U.S. Holders of Common Shares or Public Warrants may be subject to adverse U.S. federal income tax consequences with respect to dispositions of, and distributions with respect to Common Shares, and may be subject to additional reporting requirements.</w:t>
      </w:r>
    </w:p>
    <w:p>
      <w:pPr>
        <w:spacing w:after="0" w:line="12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the Income Test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or the Asset Test. Passive income generally includes dividends, interest, rents and royalties (other than rents or royalties derived from the active conduct of a trade or business) and gains from the disposition of passive assets.</w:t>
      </w:r>
    </w:p>
    <w:p>
      <w:pPr>
        <w:spacing w:after="0" w:line="16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Based on our initial assessment, we do not believe that the Company was classified as a PFIC for U.S. federal income tax purposes for the taxable year ending December 31, 2022. However, the application of the PFIC rules is subject to uncertainty in several respects, and we cannot assure you that the IRS will not take a contrary position. Furthermore, whether the Company is classified as a PFIC is a factual determination that must be made annually after the close of each taxable year. Accordingly, there can be no assurance with respect to the Company’s status as a PFIC for the current or any future taxable year. Although PFIC status is generally determined annually, if the Company is determined to be a PFIC for any taxable year (or portion thereof) that is included in the holding period of a U.S. Holder of Common Shares and the U.S. Holder did not make either a qualifying electing fund, or QEF, election or a mark-to-market election, or collectively, the PFIC Elections, for the first taxable year of the Company in which it was treated as a PFIC, and in which the U.S. Holder held (or was deemed to hold) such shares, or such U.S. Holder does not otherwise make an applicable purging election described below, such U.S. Holder generally will be subject to special and adverse rules with respect to (i) any gain recognized by the U.S. Holder on the sale or other disposition of its Common Shares and (ii) any “excess distribution” made to the U.S. Holder (generally, any distributions to such U.S. Holder during a taxable year of the U.S. Holder that are greater than 125% of the average annual distributions received by such U.S. Holder in respect of the Common Shares during the three preceding taxable years of such U.S. Holder or, if shorter, such U.S. Holder’s holding period for the Common Shares).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Under these rules:</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U.S. Holder’s gain or excess distribution will be allocated ratably over the U.S. Holder’s holding period for the Common Shares;</w:t>
      </w:r>
    </w:p>
    <w:p>
      <w:pPr>
        <w:spacing w:after="0" w:line="225" w:lineRule="exact"/>
        <w:rPr>
          <w:rFonts w:ascii="Arial" w:cs="Arial" w:eastAsia="Arial" w:hAnsi="Arial"/>
          <w:sz w:val="18"/>
          <w:szCs w:val="18"/>
          <w:color w:val="auto"/>
        </w:rPr>
      </w:pPr>
    </w:p>
    <w:p>
      <w:pPr>
        <w:ind w:left="660" w:right="4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allocated to the U.S. Holder’s taxable year in which the U.S. Holder recognized the gain or received the excess distribution, and to any period in the U.S. Holder’s holding period before the first day of the Company’s first taxable year in which the Company is a PFIC, will be taxed as ordinary income;</w:t>
      </w:r>
    </w:p>
    <w:p>
      <w:pPr>
        <w:spacing w:after="0" w:line="183"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PFIC Elections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general, if the Company is determined to be a PFIC, a U.S. Holder may avoid the adverse PFIC tax consequences described above in respect of Common Shares by making and maintaining a timely and valid QEF election (if eligible to do so) to include in income its pro rata share of the Company’s net capital gains (as long-term capital gain) and other earnings and profits (as ordinary income), on a current basis, in each case whether or not distributed, in the first taxable year of the U.S. Holder in which or with which the Company’s taxable year ends and each subsequent taxable year. A U.S. Holder generally may make a separate election to defer the payment of taxes on undistributed income inclusions under the QEF rules, but if deferred, any such taxes will be subject to an interest charge.</w:t>
      </w:r>
    </w:p>
    <w:p>
      <w:pPr>
        <w:spacing w:after="0" w:line="192"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In order to comply with the requirements of a QEF election, a U.S. Holder must receive a PFIC Annual Information Statement from us. If the Company determines that it is a PFIC, the Company intends to provide the information necessary for U.S. Holders to make or maintain a QEF election, including information necessary to determine the appropriate income inclusion amounts for purposes of the QEF election. However, there is also no assurance that the Company will have timely knowledge of its status as a PFIC in the future or of the required information to be provided.</w:t>
      </w:r>
    </w:p>
    <w:p>
      <w:pPr>
        <w:spacing w:after="0" w:line="15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Alternatively, if the Company is a PFIC and Common Shares constitute “marketable stock,” a U.S. Holder may avoid the adverse PFIC tax consequences discussed above if such U.S. Holder makes a mark-to-market election with respect to such shares for the first taxable year in which it holds (or is deemed to hold) Common Shares and each subsequent taxable year. Such U.S. Holder generally will include for each of its taxable years as ordinary income the excess, if any, of the fair market value of its Common Shares at the end of such year over its adjusted basis in its Common Shares. The U.S. Holder also will recognize an ordinary loss in respect of the excess, if any, of its adjusted basis of its Common Shares over the fair market value of its Common Shares at the end of its taxable year (but only to the extent of the net amount of previously included income as a result of the mark-to-market election). The U.S. Holder’s basis in its Common Shares will be adjusted to reflect any such income or loss amounts, and any further gain recognized on a sale or other taxable disposition of its Common Shares will be treated as ordinary income. Currently, a mark-to-market election may not be made with respect to Public Warrants.</w:t>
      </w:r>
    </w:p>
    <w:p>
      <w:pPr>
        <w:spacing w:after="0" w:line="19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mark-to-market election is available only for “marketable stock,” generally, stock that is regularly traded on a national securities exchange that is registered with the SEC, including the Nasdaq (on which Common Shares are intended to be listed),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Common Shares cease to qualify as “marketable stock” for purposes of the PFIC rules or the IRS consents to the revocation of the election. U.S. Holders are urged to consult their tax advisors regarding the availability and tax consequences of a mark-to-market election with respect to Common Shares under their particular circumstances.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ind w:right="40"/>
        <w:spacing w:after="0" w:line="268" w:lineRule="auto"/>
        <w:rPr>
          <w:sz w:val="20"/>
          <w:szCs w:val="20"/>
          <w:color w:val="auto"/>
        </w:rPr>
      </w:pPr>
      <w:r>
        <w:rPr>
          <w:rFonts w:ascii="Arial" w:cs="Arial" w:eastAsia="Arial" w:hAnsi="Arial"/>
          <w:sz w:val="17"/>
          <w:szCs w:val="17"/>
          <w:color w:val="auto"/>
        </w:rPr>
        <w:t>The application of the PFIC rules to Public Warrants is unclear. A proposed Treasury Regulation issued under these rules generally treats an “option” (which would include a Public Warrant) to acquire the stock of a PFIC as stock of the PFIC, while a final Treasury Regulation issued under these rules provides that the holder of an option is not entitled make the PFIC Elections. Another proposed Treasury Regulation provides that for purposes of the PFIC rules, stock acquired upon the exercise of an option will be deemed to have a holding period that includes the period the U.S. Holder held the Public Warrants. As a result, if the proposed Treasury Regulations were to apply, and a U.S. Holder were to sell or otherwise dispose of such Public Warrants (other than upon exercise of such Public Warrants for cash) and the Company was a PFIC at any time during the U.S. Holder’s holding period of such Public Warrants, any gain recognized generally would be treated as an excess distribution, taxed as described above. If a U.S. Holder that exercises such Public Warrants properly makes and maintains a QEF election with respect to the newly acquired Common Shares (or has previously made a QEF election with respect to Common Shares), the QEF election will apply to the newly acquired Common Shares. Notwithstanding such QEF election, if the proposed Treasury Regulations were to apply, the adverse tax consequences relating to PFIC shares, adjusted to take into account the current income inclusions resulting from the QEF election, would continue to apply with respect to such newly acquired Common Shares (which generally will be deemed to have a holding period for purposes of the PFIC rules that includes the period the U.S. Holder held the Public Warrants ), unless the U.S. Holder makes a purging election under the PFIC rules described in the following paragraph.</w:t>
      </w:r>
    </w:p>
    <w:p>
      <w:pPr>
        <w:spacing w:after="0" w:line="18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the Company is treated as a PFIC and a U.S. Holder failed or was unable to timely make a PFIC Election for prior periods, a U.S. Holder might seek make a purging election to rid the Common Shares of the PFIC taint. A purging election might be desirable if, for example, a U.S. Holder misses the deadline for filing a QEF election for a prior period, or if the Common Shares were acquired through the exercise of Public Warrants with a holding period that includes the period the warrants were held, either as a result of the application of the proposed Treasury Regulations, or because the Common Shares are acquired through a cashless exercise that is treated as a recapitalization. Under one type of purging election, the U.S. Holder will be deemed to have sold such shares at their fair market value and any gain recognized on such deemed sale will be treated as an excess distribution, as described above. Under another type of purging election, the Company will be deemed to have made a distribution to the U.S. Holder of such U.S. Holder’s pro rata share of the Company’s earnings and profits as determined for U.S. federal income tax purposes. In order for the U.S. Holder to make the second election, the Company must also be determined to be a “controlled foreign corporation” as defined by the Code (which is not currently expected to be the case). As a result of either purging election, the U.S. Holder will have a new basis and holding period in the Common Shares acquired upon the exercise of the Public Warrants solely for purposes of the PFIC rules.</w:t>
      </w:r>
    </w:p>
    <w:p>
      <w:pPr>
        <w:spacing w:after="0" w:line="18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are urged to consult their tax advisors regarding the availability and tax consequences of a retroactive QEF election under their particular circumstances.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PFIC Rules</w:t>
      </w:r>
    </w:p>
    <w:p>
      <w:pPr>
        <w:spacing w:after="0" w:line="225"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If the Company is a PFIC and, at any time, has a foreign subsidiary that is classified as a PFIC, a U.S. Holder generally would be deemed to own a proportionate amount of the shares of such lower-tier PFIC, and generally could incur liability for the deferred tax and interest charge described above if the Company receives a distribution from, or disposes of all or part of its interest in, the lower-tier PFIC, or the U.S. Holder otherwise was deemed to have disposed of an interest in the lower-tier PFIC. In certain circumstances, a U.S. Holder may make a QEF election with respect to any lower-tier PFIC.</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spacing w:after="0" w:line="311" w:lineRule="auto"/>
        <w:rPr>
          <w:sz w:val="20"/>
          <w:szCs w:val="20"/>
          <w:color w:val="auto"/>
        </w:rPr>
      </w:pPr>
      <w:r>
        <w:rPr>
          <w:rFonts w:ascii="Arial" w:cs="Arial" w:eastAsia="Arial" w:hAnsi="Arial"/>
          <w:sz w:val="16"/>
          <w:szCs w:val="16"/>
          <w:color w:val="auto"/>
        </w:rPr>
        <w:t>A U.S. Holder that owns (or is deemed to own) shares in a PFIC during any taxable year of the U.S. Holder, may have to file an IRS Form 8621 (whether or not a QEF or mark-to-market election is made) and to provide such other information as may be required by the U.S. Treasury Department. Failure to do so, if required, will extend the statute of limitations applicable to such U.S. Holder until such required information is furnished to the IRS.</w:t>
      </w:r>
    </w:p>
    <w:p>
      <w:pPr>
        <w:spacing w:after="0" w:line="14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rules dealing with PFICs and with the QEF and mark-to-market elections are very complex and are affected by various factors in addition to those described above. Accordingly, U.S. Holders of Common Shares and Public Warrants are urged to consult their own tax advisors concerning the application of the PFIC rules to the Company’s securities under their particular circumstances.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U.S. federal income tax discussion set forth above is included for general information only and may not be applicable to you depending upon your particular situation. You are urged to consult your own tax advisor with respect to the tax consequences to you of the ownership and disposition of our Common Shares and Public Warrants including the tax consequences under state, local, estate, foreign and other tax laws and tax treaties and the possible effects of changes in U.S. or other tax laws.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MATERIAL CANADIAN FEDERAL INCOME TAX CONSIDERATIONS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The following is, as of the date of this prospectus, a summary of the principal Canadian federal income tax considerations pursuant to the </w:t>
      </w:r>
      <w:r>
        <w:rPr>
          <w:rFonts w:ascii="Arial" w:cs="Arial" w:eastAsia="Arial" w:hAnsi="Arial"/>
          <w:sz w:val="18"/>
          <w:szCs w:val="18"/>
          <w:i w:val="1"/>
          <w:iCs w:val="1"/>
          <w:color w:val="auto"/>
        </w:rPr>
        <w:t>Income Tax Act</w:t>
      </w:r>
      <w:r>
        <w:rPr>
          <w:rFonts w:ascii="Arial" w:cs="Arial" w:eastAsia="Arial" w:hAnsi="Arial"/>
          <w:sz w:val="18"/>
          <w:szCs w:val="18"/>
          <w:color w:val="auto"/>
        </w:rPr>
        <w:t xml:space="preserve"> (Canada) and the regulations thereunder, or the Tax Act, that generally apply to the acquisition, holding or disposition of Common Shares and Public Warrants by a person who is neither resident nor deemed to be resident in Canada for purposes of the Tax Act and acquires a beneficial interest in Common Shares or Public Warrants (a “Non-Resident Holder”).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This summary applies only to a Non-Resident Holder who, at all relevant times, for purposes of the Tax Act:</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holds Common Shares or Public Warrants as capital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does not, and is not deemed to, use or hold Common Shares or Public Warrants in the course of carrying on a business in Canada;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deals at arm’s length and is not affiliated with us.</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Special rules, which are not discussed in this summary, may apply to a Non-Resident Holder that is an insurer that carries on an insurance business in Canada and elsewhere.</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This summary is based on the current provisions of the Tax Act, all specific proposals to amend the Tax Act publicly announced by or on behalf of the Minister of Finance (Canada) prior to the date hereof, or the Tax Proposals, and an understanding of the current administrative policies and assessing practices of the Canada Revenue Agency, or the CRA, made publicly available prior to the date hereof. This summary assumes the Tax Proposals will be enacted in the form proposed, however, no assurance can be given that the Tax Proposals will be enacted in the form proposed, or at all. Except for the Tax Proposals, this summary does not take into account or anticipate any changes in law or administrative policies or assessing practices of the CRA, whether by legislative, governmental or judicial action, nor does it take into account other federal or any provincial, territorial or foreign income tax legislation or considerations, which may differ significantly from those discussed herein.</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Generally, for the purposes of the Tax Act, all amounts relating to the acquisition, holding or disposition of Common Shares and Public Warrants (including dividends, adjusted cost base and proceeds of disposition) must be expressed in Canadian dollars. Amounts denominated in U.S. dollars must be converted into Canadian dollars using the applicable rate of exchange (for the purposes of the Tax Act) quoted by the Bank of Canada on the date such amounts arose, or such other rate of exchange as is acceptable to the CRA.</w:t>
      </w:r>
    </w:p>
    <w:p>
      <w:pPr>
        <w:spacing w:after="0" w:line="187"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b w:val="1"/>
          <w:bCs w:val="1"/>
          <w:i w:val="1"/>
          <w:iCs w:val="1"/>
          <w:color w:val="auto"/>
        </w:rPr>
        <w:t>This summary is not exhaustive of all possible Canadian federal income tax considerations that apply to an investment in Common Shares and Public Warrants. Moreover, the income and other tax consequences of acquiring, holding or disposing of Common Shares or Public Warrants will vary depending on an investor’s particular circumstances. Accordingly, this summary is of a general nature only and is not intended to be, nor should it be construed to be, legal or tax advice to any investor. Consequently, investors should consult their own tax advisors for advice with respect to the income tax consequences of an investment in Common Shares and Public Warrants based on their particular circumstances.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Cost Base of Common Shares</w:t>
      </w:r>
    </w:p>
    <w:p>
      <w:pPr>
        <w:spacing w:after="0" w:line="229"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The adjusted cost base to a Non-Resident Holder of a Common Share acquired pursuant to this offering will be determined by averaging the cost of that Common Share with the adjusted cost base (determined immediately before the acquisition of the Common Share) of all other Common Shares held as capital property by the Non-Resident Holder immediately prior to such acquisition.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Public Warrants</w:t>
      </w:r>
    </w:p>
    <w:p>
      <w:pPr>
        <w:spacing w:after="0" w:line="22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No gain or loss will be realized by a Non-Resident Holder upon the exercise of a Public Warrant to acquire a Common Share. A Non-Resident Holder’s cost of a Common Share so acquired will equal the aggregate of such Non-Resident Holder’s adjusted cost base of the Public Warrant exercised plus the exercise price paid for such Common Share. The Non-Resident Holder’s adjusted cost base of such Common Share will be determined by averaging the cost of the Common Share with the adjusted cost base (determined immediately before the acquisition of the Common Share) of all other Common Shares held as capital property by such Non-Resident Holder immediately prior to such acquisition.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Dividends on Common Shares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Every Non-Resident Holder is liable to pay a Canadian withholding tax on every dividend that is or is deemed to be paid or credited to the Non-Resident Holder on the Non-Resident Holder’s Common Shares. The statutory rate of withholding tax is 25% of the gross amount of the dividend paid. Generally, the Canada - United States Tax Convention (1980), as amended, or the Treaty, reduces the statutory rate with respect to dividends paid to a Non-Resident Holder who is resident in the U.S. for purposes of the Treaty, the beneficial owner of such dividends, and entitled to benefits under the Treaty, to 15% of the gross amount of the dividend. The Company is required to withhold the applicable tax from dividends payable to the Non-Resident Holder, and to remit the tax to the Receiver General of Canada for the account of the Non-Resident Holder.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Dispositions of Common Shares and Public Warrants</w:t>
      </w: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 Non-Resident Holder will not be subject to tax under the Tax Act on any capital gain realized on a disposition or deemed disposition of Common Shares (other than a disposition to us, which may result in a deemed dividend, unless purchased by us in the open market in the manner in which Common Shares are normally purchased by any member of the public in the open market, in which case other considerations may arise) or Public Warrants, unless the Common Shares or Public Warrants are “taxable Canadian property” of the Non-Resident Holder for purposes of the Tax Act and the Non-Resident Holder is not entitled to relief under the Treaty or any other applicable income tax treaty or convention.</w:t>
      </w:r>
    </w:p>
    <w:p>
      <w:pPr>
        <w:spacing w:after="0" w:line="176"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Generally, the Common Shares and Public Warrants will not constitute “taxable Canadian property” of a Non-Resident Holder at a particular time provided that the Common Shares are listed at that time on a “designated stock exchange” for purposes of the Tax Act (which currently includes the Nasdaq), unless, at any particular time during the 60-month period that ends at that time, both of the following are true:</w:t>
      </w:r>
    </w:p>
    <w:p>
      <w:pPr>
        <w:spacing w:after="0" w:line="184" w:lineRule="exact"/>
        <w:rPr>
          <w:sz w:val="20"/>
          <w:szCs w:val="20"/>
          <w:color w:val="auto"/>
        </w:rPr>
      </w:pPr>
    </w:p>
    <w:p>
      <w:pPr>
        <w:ind w:left="980" w:right="240" w:hanging="324"/>
        <w:spacing w:after="0" w:line="286"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the Non-Resident Holder, (b) persons with whom the Non-Resident Holder does not deal with at arm’s length, (c) partnerships in which the Non-Resident Holder or a person described in (b) holds an interest directly or indirectly through one or more partnerships, or (d) any combination of (a) to (c), owned 25% or more of the issued shares of any class or series of our capital stock; and</w:t>
      </w:r>
    </w:p>
    <w:p>
      <w:pPr>
        <w:spacing w:after="0" w:line="165" w:lineRule="exact"/>
        <w:rPr>
          <w:rFonts w:ascii="Arial" w:cs="Arial" w:eastAsia="Arial" w:hAnsi="Arial"/>
          <w:sz w:val="17"/>
          <w:szCs w:val="17"/>
          <w:color w:val="auto"/>
        </w:rPr>
      </w:pPr>
    </w:p>
    <w:p>
      <w:pPr>
        <w:jc w:val="both"/>
        <w:ind w:left="980" w:right="100" w:hanging="324"/>
        <w:spacing w:after="0" w:line="259"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more than 50% of the fair market value of the Common Shares was derived directly or indirectly from one or any combination of: (a) real or immovable properties situated in Canada, (b) “Canadian resource properties” (as defined in the Tax Act), (c) “timber resource properties” (as defined in the Tax Act), and (d) options in respect of, or interests in, or for civil law rights in, property in any of the foregoing whether or not the property exists.</w:t>
      </w:r>
    </w:p>
    <w:p>
      <w:pPr>
        <w:spacing w:after="0" w:line="18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color w:val="auto"/>
        </w:rPr>
        <w:t>NOTWITHSTANDING THE FOREGOING, IN CERTAIN CIRCUMSTANCES SET OUT IN THE TAX ACT, COMMON SHARES AND PUBLIC WARRANTS MAY BE DEEMED TO BE TAXABLE CANADIAN PROPERTY. NON-RESIDENT HOLDERS WHOSE COMMON SHARES OR PUBLIC WARRANTS MAY CONSTITUTE TAXABLE CANADIAN PROPERTY SHOULD CONSULT THEIR OWN TAX ADVISORS.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Fasken Martineau DuMoulin LLP, or Fasken, has passed upon the validity of the Common Shares offered by this prospectus and certain other legal matters related to Canadian law. Mintz, Levin, Cohn, Ferris, Glovsky and Popeo, P.C., or Mintz, has passed upon the validity of the Warrants and certain other legal matters. Fasken and Mintz own 14,630 and 36,361 Common Shares, respectively.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financial statements of TMC the metals company Inc. as of December 31, 2022 and 2021, and for the years then ended audited by Ernst &amp; Young LLP, independent registered public accounting firm, have been incorporated by reference herein and in the registration statement in reliance on the authority of their report as experts in accounting and auditing.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We have filed a registration statement on Form S-3, including exhibits, under the Securities Act with respect to the securities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addition, we file annual, quarterly and current reports, proxy statements and other information with the SEC. Our SEC filings are available to the public on a website maintained by the SEC located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We also maintain a website at </w:t>
      </w:r>
      <w:r>
        <w:rPr>
          <w:rFonts w:ascii="Arial" w:cs="Arial" w:eastAsia="Arial" w:hAnsi="Arial"/>
          <w:sz w:val="17"/>
          <w:szCs w:val="17"/>
          <w:i w:val="1"/>
          <w:iCs w:val="1"/>
          <w:color w:val="auto"/>
        </w:rPr>
        <w:t>www.metals.co</w:t>
      </w:r>
      <w:r>
        <w:rPr>
          <w:rFonts w:ascii="Arial" w:cs="Arial" w:eastAsia="Arial" w:hAnsi="Arial"/>
          <w:sz w:val="17"/>
          <w:szCs w:val="17"/>
          <w:color w:val="auto"/>
        </w:rPr>
        <w:t>.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 We include our website address in this prospectus only as an inactive textual reference. Information contained in our website does not constitute a part of this prospectus or our other filings with the SEC.</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w:t>
      </w:r>
    </w:p>
    <w:p>
      <w:pPr>
        <w:spacing w:after="0" w:line="166"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u w:val="single" w:color="auto"/>
          <w:color w:val="0000EE"/>
        </w:rPr>
      </w:pPr>
      <w:hyperlink r:id="rId66">
        <w:r>
          <w:rPr>
            <w:rFonts w:ascii="Arial" w:cs="Arial" w:eastAsia="Arial" w:hAnsi="Arial"/>
            <w:sz w:val="18"/>
            <w:szCs w:val="18"/>
            <w:u w:val="single" w:color="auto"/>
            <w:color w:val="0000EE"/>
          </w:rPr>
          <w:t>our Annual Report on Form 10-K for the fiscal year ended December 31, 2022 that we filed with the SEC on March 27, 2023;</w:t>
        </w:r>
      </w:hyperlink>
    </w:p>
    <w:p>
      <w:pPr>
        <w:spacing w:after="0" w:line="225" w:lineRule="exact"/>
        <w:rPr>
          <w:rFonts w:ascii="Arial" w:cs="Arial" w:eastAsia="Arial" w:hAnsi="Arial"/>
          <w:sz w:val="18"/>
          <w:szCs w:val="18"/>
          <w:u w:val="single" w:color="auto"/>
          <w:color w:val="0000EE"/>
        </w:rPr>
      </w:pPr>
    </w:p>
    <w:p>
      <w:pPr>
        <w:ind w:left="660" w:right="120" w:hanging="328"/>
        <w:spacing w:after="0" w:line="277" w:lineRule="auto"/>
        <w:tabs>
          <w:tab w:leader="none" w:pos="660" w:val="left"/>
        </w:tabs>
        <w:numPr>
          <w:ilvl w:val="0"/>
          <w:numId w:val="24"/>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and amendments thereto that we filed with the SEC on </w:t>
      </w:r>
      <w:hyperlink r:id="rId67">
        <w:r>
          <w:rPr>
            <w:rFonts w:ascii="Arial" w:cs="Arial" w:eastAsia="Arial" w:hAnsi="Arial"/>
            <w:sz w:val="18"/>
            <w:szCs w:val="18"/>
            <w:u w:val="single" w:color="auto"/>
            <w:color w:val="0000EE"/>
          </w:rPr>
          <w:t>February 16</w:t>
        </w:r>
      </w:hyperlink>
      <w:r>
        <w:rPr>
          <w:rFonts w:ascii="Arial" w:cs="Arial" w:eastAsia="Arial" w:hAnsi="Arial"/>
          <w:sz w:val="18"/>
          <w:szCs w:val="18"/>
          <w:color w:val="auto"/>
        </w:rPr>
        <w:t xml:space="preserve">, </w:t>
      </w:r>
      <w:hyperlink r:id="rId67">
        <w:r>
          <w:rPr>
            <w:rFonts w:ascii="Arial" w:cs="Arial" w:eastAsia="Arial" w:hAnsi="Arial"/>
            <w:sz w:val="18"/>
            <w:szCs w:val="18"/>
            <w:u w:val="single" w:color="auto"/>
            <w:color w:val="0000EE"/>
          </w:rPr>
          <w:t>2023</w:t>
        </w:r>
      </w:hyperlink>
      <w:r>
        <w:rPr>
          <w:rFonts w:ascii="Arial" w:cs="Arial" w:eastAsia="Arial" w:hAnsi="Arial"/>
          <w:sz w:val="18"/>
          <w:szCs w:val="18"/>
          <w:color w:val="auto"/>
        </w:rPr>
        <w:t xml:space="preserve">, </w:t>
      </w:r>
      <w:hyperlink r:id="rId68">
        <w:r>
          <w:rPr>
            <w:rFonts w:ascii="Arial" w:cs="Arial" w:eastAsia="Arial" w:hAnsi="Arial"/>
            <w:sz w:val="18"/>
            <w:szCs w:val="18"/>
            <w:u w:val="single" w:color="auto"/>
            <w:color w:val="0000EE"/>
          </w:rPr>
          <w:t>February 17</w:t>
        </w:r>
      </w:hyperlink>
      <w:r>
        <w:rPr>
          <w:rFonts w:ascii="Arial" w:cs="Arial" w:eastAsia="Arial" w:hAnsi="Arial"/>
          <w:sz w:val="18"/>
          <w:szCs w:val="18"/>
          <w:color w:val="auto"/>
        </w:rPr>
        <w:t xml:space="preserve">, </w:t>
      </w:r>
      <w:hyperlink r:id="rId68">
        <w:r>
          <w:rPr>
            <w:rFonts w:ascii="Arial" w:cs="Arial" w:eastAsia="Arial" w:hAnsi="Arial"/>
            <w:sz w:val="18"/>
            <w:szCs w:val="18"/>
            <w:u w:val="single" w:color="auto"/>
            <w:color w:val="0000EE"/>
          </w:rPr>
          <w:t>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69">
        <w:r>
          <w:rPr>
            <w:rFonts w:ascii="Arial" w:cs="Arial" w:eastAsia="Arial" w:hAnsi="Arial"/>
            <w:sz w:val="18"/>
            <w:szCs w:val="18"/>
            <w:u w:val="single" w:color="auto"/>
            <w:color w:val="0000EE"/>
          </w:rPr>
          <w:t>February 22</w:t>
        </w:r>
      </w:hyperlink>
      <w:r>
        <w:rPr>
          <w:rFonts w:ascii="Arial" w:cs="Arial" w:eastAsia="Arial" w:hAnsi="Arial"/>
          <w:sz w:val="18"/>
          <w:szCs w:val="18"/>
          <w:color w:val="auto"/>
        </w:rPr>
        <w:t xml:space="preserve">, </w:t>
      </w:r>
      <w:hyperlink r:id="rId69">
        <w:r>
          <w:rPr>
            <w:rFonts w:ascii="Arial" w:cs="Arial" w:eastAsia="Arial" w:hAnsi="Arial"/>
            <w:sz w:val="18"/>
            <w:szCs w:val="18"/>
            <w:u w:val="single" w:color="auto"/>
            <w:color w:val="0000EE"/>
          </w:rPr>
          <w:t>2023</w:t>
        </w:r>
        <w:r>
          <w:rPr>
            <w:rFonts w:ascii="Arial" w:cs="Arial" w:eastAsia="Arial" w:hAnsi="Arial"/>
            <w:sz w:val="18"/>
            <w:szCs w:val="18"/>
            <w:color w:val="0000EE"/>
          </w:rPr>
          <w:t xml:space="preserve"> </w:t>
        </w:r>
      </w:hyperlink>
      <w:r>
        <w:rPr>
          <w:rFonts w:ascii="Arial" w:cs="Arial" w:eastAsia="Arial" w:hAnsi="Arial"/>
          <w:sz w:val="18"/>
          <w:szCs w:val="18"/>
          <w:color w:val="000000"/>
        </w:rPr>
        <w:t>(other</w:t>
      </w:r>
      <w:r>
        <w:rPr>
          <w:rFonts w:ascii="Arial" w:cs="Arial" w:eastAsia="Arial" w:hAnsi="Arial"/>
          <w:sz w:val="18"/>
          <w:szCs w:val="18"/>
          <w:color w:val="0000EE"/>
        </w:rPr>
        <w:t xml:space="preserve"> </w:t>
      </w:r>
      <w:r>
        <w:rPr>
          <w:rFonts w:ascii="Arial" w:cs="Arial" w:eastAsia="Arial" w:hAnsi="Arial"/>
          <w:sz w:val="18"/>
          <w:szCs w:val="18"/>
          <w:color w:val="000000"/>
        </w:rPr>
        <w:t>than any portion of such filings that are furnished under applicable SEC rules rather than filed);</w:t>
      </w:r>
    </w:p>
    <w:p>
      <w:pPr>
        <w:spacing w:after="0" w:line="170" w:lineRule="exact"/>
        <w:rPr>
          <w:rFonts w:ascii="Arial" w:cs="Arial" w:eastAsia="Arial" w:hAnsi="Arial"/>
          <w:sz w:val="18"/>
          <w:szCs w:val="18"/>
          <w:color w:val="0000EE"/>
        </w:rPr>
      </w:pPr>
    </w:p>
    <w:p>
      <w:pPr>
        <w:ind w:left="660" w:right="720" w:hanging="328"/>
        <w:spacing w:after="0" w:line="277" w:lineRule="auto"/>
        <w:tabs>
          <w:tab w:leader="none" w:pos="660" w:val="left"/>
        </w:tabs>
        <w:numPr>
          <w:ilvl w:val="0"/>
          <w:numId w:val="24"/>
        </w:numPr>
        <w:rPr>
          <w:rFonts w:ascii="Arial" w:cs="Arial" w:eastAsia="Arial" w:hAnsi="Arial"/>
          <w:sz w:val="18"/>
          <w:szCs w:val="18"/>
          <w:color w:val="0000EE"/>
        </w:rPr>
      </w:pPr>
      <w:hyperlink r:id="rId70">
        <w:r>
          <w:rPr>
            <w:rFonts w:ascii="Arial" w:cs="Arial" w:eastAsia="Arial" w:hAnsi="Arial"/>
            <w:sz w:val="18"/>
            <w:szCs w:val="18"/>
            <w:u w:val="single" w:color="auto"/>
            <w:color w:val="0000EE"/>
          </w:rPr>
          <w:t>the description of our Common Shares contained in our Registration Statement on Form 8-A filed on September 10, 2021, including any</w:t>
        </w:r>
      </w:hyperlink>
      <w:r>
        <w:rPr>
          <w:rFonts w:ascii="Arial" w:cs="Arial" w:eastAsia="Arial" w:hAnsi="Arial"/>
          <w:sz w:val="18"/>
          <w:szCs w:val="18"/>
          <w:u w:val="single" w:color="auto"/>
          <w:color w:val="0000EE"/>
        </w:rPr>
        <w:t xml:space="preserve"> </w:t>
      </w:r>
      <w:hyperlink r:id="rId70">
        <w:r>
          <w:rPr>
            <w:rFonts w:ascii="Arial" w:cs="Arial" w:eastAsia="Arial" w:hAnsi="Arial"/>
            <w:sz w:val="18"/>
            <w:szCs w:val="18"/>
            <w:u w:val="single" w:color="auto"/>
            <w:color w:val="0000EE"/>
          </w:rPr>
          <w:t>amendment or report filed for the purpose of updating such description</w:t>
        </w:r>
        <w:r>
          <w:rPr>
            <w:rFonts w:ascii="Arial" w:cs="Arial" w:eastAsia="Arial" w:hAnsi="Arial"/>
            <w:sz w:val="18"/>
            <w:szCs w:val="18"/>
            <w:color w:val="000000"/>
          </w:rPr>
          <w:t>; and</w:t>
        </w:r>
      </w:hyperlink>
    </w:p>
    <w:p>
      <w:pPr>
        <w:spacing w:after="0" w:line="170" w:lineRule="exact"/>
        <w:rPr>
          <w:rFonts w:ascii="Arial" w:cs="Arial" w:eastAsia="Arial" w:hAnsi="Arial"/>
          <w:sz w:val="18"/>
          <w:szCs w:val="18"/>
          <w:color w:val="0000EE"/>
        </w:rPr>
      </w:pPr>
    </w:p>
    <w:p>
      <w:pPr>
        <w:ind w:left="660" w:hanging="328"/>
        <w:spacing w:after="0" w:line="25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reports and other documents subsequently filed by us with the SEC (other than any portion of such filings that are furnished under applicable SEC rules rather than filed)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8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The SEC file number for each of the documents listed above is 001-39281.</w:t>
      </w:r>
    </w:p>
    <w:p>
      <w:pPr>
        <w:spacing w:after="0" w:line="225" w:lineRule="exact"/>
        <w:rPr>
          <w:rFonts w:ascii="Arial" w:cs="Arial" w:eastAsia="Arial" w:hAnsi="Arial"/>
          <w:sz w:val="18"/>
          <w:szCs w:val="18"/>
          <w:color w:val="auto"/>
        </w:rPr>
      </w:pPr>
    </w:p>
    <w:p>
      <w:pPr>
        <w:ind w:right="40"/>
        <w:spacing w:after="0" w:line="279" w:lineRule="auto"/>
        <w:rPr>
          <w:sz w:val="20"/>
          <w:szCs w:val="20"/>
          <w:color w:val="auto"/>
        </w:rPr>
      </w:pPr>
      <w:r>
        <w:rPr>
          <w:rFonts w:ascii="Arial" w:cs="Arial" w:eastAsia="Arial" w:hAnsi="Arial"/>
          <w:sz w:val="17"/>
          <w:szCs w:val="17"/>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71" w:lineRule="exact"/>
        <w:rPr>
          <w:rFonts w:ascii="Arial" w:cs="Arial" w:eastAsia="Arial" w:hAnsi="Arial"/>
          <w:sz w:val="18"/>
          <w:szCs w:val="18"/>
          <w:color w:val="auto"/>
        </w:rPr>
      </w:pPr>
    </w:p>
    <w:p>
      <w:pPr>
        <w:ind w:right="140"/>
        <w:spacing w:after="0" w:line="277" w:lineRule="auto"/>
        <w:rPr>
          <w:sz w:val="20"/>
          <w:szCs w:val="20"/>
          <w:color w:val="auto"/>
        </w:rPr>
      </w:pPr>
      <w:r>
        <w:rPr>
          <w:rFonts w:ascii="Arial" w:cs="Arial" w:eastAsia="Arial" w:hAnsi="Arial"/>
          <w:sz w:val="18"/>
          <w:szCs w:val="18"/>
          <w:color w:val="auto"/>
        </w:rPr>
        <w:t>You may request, orally or in writing, a copy of any or all of the documents incorporated herein by reference. These documents will be provided to you at no cost, by contacting:</w:t>
      </w:r>
    </w:p>
    <w:p>
      <w:pPr>
        <w:spacing w:after="0" w:line="170"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TMC the metals company Inc.</w:t>
      </w:r>
    </w:p>
    <w:p>
      <w:pPr>
        <w:spacing w:after="0" w:line="23"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595 Howe Street, 10 Floor</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Vancouver, British Columbia</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V6C 2T5</w:t>
      </w:r>
    </w:p>
    <w:p>
      <w:pPr>
        <w:spacing w:after="0" w:line="9" w:lineRule="exact"/>
        <w:rPr>
          <w:rFonts w:ascii="Arial" w:cs="Arial" w:eastAsia="Arial" w:hAnsi="Arial"/>
          <w:sz w:val="18"/>
          <w:szCs w:val="18"/>
          <w:color w:val="auto"/>
        </w:rPr>
      </w:pPr>
    </w:p>
    <w:p>
      <w:pPr>
        <w:ind w:left="5500" w:hanging="438"/>
        <w:spacing w:after="0"/>
        <w:tabs>
          <w:tab w:leader="none" w:pos="5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252-9333</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6" w:name="page47"/>
    <w:bookmarkEnd w:id="46"/>
    <w:p>
      <w:pPr>
        <w:ind w:right="20"/>
        <w:spacing w:after="0" w:line="308" w:lineRule="auto"/>
        <w:rPr>
          <w:sz w:val="20"/>
          <w:szCs w:val="20"/>
          <w:color w:val="auto"/>
        </w:rPr>
      </w:pPr>
      <w:r>
        <w:rPr>
          <w:rFonts w:ascii="Arial" w:cs="Arial" w:eastAsia="Arial" w:hAnsi="Arial"/>
          <w:sz w:val="17"/>
          <w:szCs w:val="17"/>
          <w:color w:val="auto"/>
        </w:rPr>
        <w:t xml:space="preserve">You may also access these documents on our website, </w:t>
      </w:r>
      <w:r>
        <w:rPr>
          <w:rFonts w:ascii="Arial" w:cs="Arial" w:eastAsia="Arial" w:hAnsi="Arial"/>
          <w:sz w:val="17"/>
          <w:szCs w:val="17"/>
          <w:i w:val="1"/>
          <w:iCs w:val="1"/>
          <w:color w:val="auto"/>
        </w:rPr>
        <w:t>www.metals.co</w:t>
      </w:r>
      <w:r>
        <w:rPr>
          <w:rFonts w:ascii="Arial" w:cs="Arial" w:eastAsia="Arial" w:hAnsi="Arial"/>
          <w:sz w:val="17"/>
          <w:szCs w:val="17"/>
          <w:color w:val="auto"/>
        </w:rPr>
        <w:t>. The information contained on, or that can be accessed through, our website is not a part of this prospectus. We have included our website address in this prospectus solely as an inactive textual reference.</w:t>
      </w:r>
    </w:p>
    <w:p>
      <w:pPr>
        <w:spacing w:after="0" w:line="1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3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908" w:right="49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2694305</wp:posOffset>
            </wp:positionH>
            <wp:positionV relativeFrom="page">
              <wp:posOffset>586105</wp:posOffset>
            </wp:positionV>
            <wp:extent cx="2168525" cy="7886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216852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ectPr>
          <w:pgSz w:w="11900" w:h="16838" w:orient="portrait"/>
          <w:cols w:equalWidth="0" w:num="1">
            <w:col w:w="9019"/>
          </w:cols>
          <w:pgMar w:left="1440" w:top="1440"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Up to 248,779,861 Common Shares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Up to 9,500,000 Warrants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48" w:name="page49"/>
    <w:bookmarkEnd w:id="48"/>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sets forth an itemization of the various expenses, all of which we will pay, in connection with the issuance and distribution of the securities being registered. All of the amounts shown are estimated except the SEC registration fee.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101,486</w:t>
            </w:r>
          </w:p>
        </w:tc>
        <w:tc>
          <w:tcPr>
            <w:tcW w:w="8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Financial printing and miscellaneous expenses</w:t>
            </w:r>
          </w:p>
        </w:tc>
        <w:tc>
          <w:tcPr>
            <w:tcW w:w="20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r>
      <w:tr>
        <w:trPr>
          <w:trHeight w:val="209"/>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432"/>
        </w:trPr>
        <w:tc>
          <w:tcPr>
            <w:tcW w:w="3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720" w:type="dxa"/>
            <w:vAlign w:val="bottom"/>
            <w:gridSpan w:val="2"/>
          </w:tcPr>
          <w:p>
            <w:pPr>
              <w:ind w:left="200"/>
              <w:spacing w:after="0"/>
              <w:rPr>
                <w:sz w:val="20"/>
                <w:szCs w:val="20"/>
                <w:color w:val="auto"/>
              </w:rPr>
            </w:pPr>
            <w:r>
              <w:rPr>
                <w:rFonts w:ascii="Arial" w:cs="Arial" w:eastAsia="Arial" w:hAnsi="Arial"/>
                <w:sz w:val="18"/>
                <w:szCs w:val="18"/>
                <w:color w:val="auto"/>
              </w:rPr>
              <w:t>These fees cannot be defined at this time.</w:t>
            </w:r>
          </w:p>
        </w:tc>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Under the BCBCA, a company may indemnify a director or officer, a former director or officer, or a person who acts or acted at the company’s request as a director or officer, or an individual acting in a similar capacity, of another entity, which we refer to as an eligible party, against all costs, charges and expenses, including an amount paid to settle an action or satisfy a judgment, reasonably incurred by him or her in respect of any civil, criminal, administrative, investigative or other proceeding in which he or she is involved because of that association with the company or other entity, if: (1) the individual acted honestly and in good faith with a view to the best interests of such company or the other entity, as the case may be; and (2) in the case of a proceeding other than a civil proceeding, the individual had reasonable grounds for believing that the individual’s conduct was lawful. A company cannot indemnify an eligible party if it is prohibited from doing so under its articles, even if it had agreed to do so by an indemnification agreement (provided that the articles prohibited indemnification when the indemnification agreement was made). A company may advance the expenses of an eligible party as they are incurred in an eligible proceeding only if the eligible party has provided an undertaking that, if it is ultimately determined that the payment of expenses was prohibited, the eligible party will repay any amounts advanced. On application from an eligible party, a court may make any order the court considers appropriate in respect of an eligible proceeding, including the indemnification of penalties imposed or expenses incurred in any such proceedings and the enforcement of an indemnification agreement.</w:t>
      </w:r>
    </w:p>
    <w:p>
      <w:pPr>
        <w:spacing w:after="0" w:line="1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Subject to the BCBCA, our Articles require us to indemnify a director or former director and his or her heirs and legal personal representatives against all eligible penalties to which such person is or may be liable, and we must after final disposition of an eligible proceeding, pay the expenses actually and reasonably incurred by such person in respect of that proceeding. Each director is deemed to have contracted with us on the terms of the indemnity contained in our Articles. In addition, our Articles specify that failure of a director or former director to comply with the provisions of the BCBCA or our Articles will not invalidate any indemnity to which he or she is entitled. Our Articles also allow for us to purchase and maintain insurance for the benefit of specified eligible parties.</w:t>
      </w:r>
    </w:p>
    <w:p>
      <w:pPr>
        <w:spacing w:after="0" w:line="192"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We entered into indemnity agreements with our directors and certain officers. Each indemnity agreement provides for indemnification and advancements by us of certain expenses and costs relating to claims, suits or proceedings arising from his or her service to us, or, at our request, service to other entities, as officers or directors to the maximum extent permitted by applicable law and subject to the terms and conditions of such indemnity agreement.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We have also purchased insurance policies relating to certain liabilities that our directors and officers may incur in such capacity.</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16.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exhibits are filed herewith or incorporated herein by reference: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91"/>
              </w:rPr>
              <w:t>Incorporated by</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89"/>
              </w:rPr>
              <w:t>Reference Herein</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0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3"/>
              </w:rPr>
              <w:t>Exhibit</w:t>
            </w: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Filed</w:t>
            </w:r>
          </w:p>
        </w:tc>
        <w:tc>
          <w:tcPr>
            <w:tcW w:w="158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95"/>
              </w:rPr>
              <w:t>from Form or</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SEC File/Reg.</w:t>
            </w:r>
          </w:p>
        </w:tc>
      </w:tr>
      <w:tr>
        <w:trPr>
          <w:trHeight w:val="234"/>
        </w:trPr>
        <w:tc>
          <w:tcPr>
            <w:tcW w:w="10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800" w:type="dxa"/>
            <w:vAlign w:val="bottom"/>
          </w:tcPr>
          <w:p>
            <w:pPr>
              <w:spacing w:after="0"/>
              <w:rPr>
                <w:sz w:val="20"/>
                <w:szCs w:val="20"/>
                <w:color w:val="auto"/>
              </w:rPr>
            </w:pPr>
          </w:p>
        </w:tc>
        <w:tc>
          <w:tcPr>
            <w:tcW w:w="3820" w:type="dxa"/>
            <w:vAlign w:val="bottom"/>
            <w:gridSpan w:val="17"/>
          </w:tcPr>
          <w:p>
            <w:pPr>
              <w:ind w:left="680"/>
              <w:spacing w:after="0"/>
              <w:rPr>
                <w:sz w:val="20"/>
                <w:szCs w:val="20"/>
                <w:color w:val="auto"/>
              </w:rPr>
            </w:pPr>
            <w:r>
              <w:rPr>
                <w:rFonts w:ascii="Arial" w:cs="Arial" w:eastAsia="Arial" w:hAnsi="Arial"/>
                <w:sz w:val="18"/>
                <w:szCs w:val="18"/>
                <w:b w:val="1"/>
                <w:bCs w:val="1"/>
                <w:color w:val="auto"/>
              </w:rPr>
              <w:t>Exhibit Description</w:t>
            </w: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Herewith</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auto"/>
                <w:w w:val="84"/>
              </w:rPr>
              <w:t>Schedule</w:t>
            </w:r>
          </w:p>
        </w:tc>
        <w:tc>
          <w:tcPr>
            <w:tcW w:w="1560" w:type="dxa"/>
            <w:vAlign w:val="bottom"/>
            <w:gridSpan w:val="4"/>
          </w:tcPr>
          <w:p>
            <w:pPr>
              <w:ind w:left="300"/>
              <w:spacing w:after="0"/>
              <w:rPr>
                <w:sz w:val="20"/>
                <w:szCs w:val="20"/>
                <w:color w:val="auto"/>
              </w:rPr>
            </w:pPr>
            <w:r>
              <w:rPr>
                <w:rFonts w:ascii="Arial" w:cs="Arial" w:eastAsia="Arial" w:hAnsi="Arial"/>
                <w:sz w:val="18"/>
                <w:szCs w:val="18"/>
                <w:b w:val="1"/>
                <w:bCs w:val="1"/>
                <w:color w:val="auto"/>
              </w:rPr>
              <w:t>Filing Date</w:t>
            </w:r>
          </w:p>
        </w:tc>
        <w:tc>
          <w:tcPr>
            <w:tcW w:w="34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Number</w:t>
            </w:r>
          </w:p>
        </w:tc>
      </w:tr>
      <w:tr>
        <w:trPr>
          <w:trHeight w:val="169"/>
        </w:trPr>
        <w:tc>
          <w:tcPr>
            <w:tcW w:w="3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jc w:val="center"/>
              <w:spacing w:after="0" w:line="169" w:lineRule="exact"/>
              <w:rPr>
                <w:rFonts w:ascii="Arial" w:cs="Arial" w:eastAsia="Arial" w:hAnsi="Arial"/>
                <w:sz w:val="18"/>
                <w:szCs w:val="18"/>
                <w:color w:val="0000EE"/>
                <w:w w:val="79"/>
              </w:rPr>
            </w:pPr>
            <w:hyperlink r:id="rId76">
              <w:r>
                <w:rPr>
                  <w:rFonts w:ascii="Arial" w:cs="Arial" w:eastAsia="Arial" w:hAnsi="Arial"/>
                  <w:sz w:val="18"/>
                  <w:szCs w:val="18"/>
                  <w:color w:val="0000EE"/>
                  <w:w w:val="79"/>
                </w:rPr>
                <w:t>2.</w:t>
              </w:r>
              <w:r>
                <w:rPr>
                  <w:rFonts w:ascii="Arial" w:cs="Arial" w:eastAsia="Arial" w:hAnsi="Arial"/>
                  <w:sz w:val="18"/>
                  <w:szCs w:val="18"/>
                  <w:u w:val="single" w:color="auto"/>
                  <w:color w:val="0000EE"/>
                  <w:w w:val="79"/>
                </w:rPr>
                <w:t>1†</w:t>
              </w:r>
            </w:hyperlink>
          </w:p>
        </w:tc>
        <w:tc>
          <w:tcPr>
            <w:tcW w:w="3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500" w:type="dxa"/>
            <w:vAlign w:val="bottom"/>
            <w:tcBorders>
              <w:top w:val="single" w:sz="8" w:color="auto"/>
            </w:tcBorders>
            <w:gridSpan w:val="16"/>
          </w:tcPr>
          <w:p>
            <w:pPr>
              <w:spacing w:after="0" w:line="169" w:lineRule="exact"/>
              <w:rPr>
                <w:rFonts w:ascii="Arial" w:cs="Arial" w:eastAsia="Arial" w:hAnsi="Arial"/>
                <w:sz w:val="18"/>
                <w:szCs w:val="18"/>
                <w:color w:val="0000EE"/>
                <w:w w:val="89"/>
              </w:rPr>
            </w:pPr>
            <w:hyperlink r:id="rId76">
              <w:r>
                <w:rPr>
                  <w:rFonts w:ascii="Arial" w:cs="Arial" w:eastAsia="Arial" w:hAnsi="Arial"/>
                  <w:sz w:val="18"/>
                  <w:szCs w:val="18"/>
                  <w:color w:val="0000EE"/>
                  <w:w w:val="89"/>
                </w:rPr>
                <w:t>Business Combination Agreement, dated as of March 4, 2021,</w:t>
              </w:r>
            </w:hyperlink>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center"/>
              <w:spacing w:after="0" w:line="169" w:lineRule="exact"/>
              <w:rPr>
                <w:rFonts w:ascii="Arial" w:cs="Arial" w:eastAsia="Arial" w:hAnsi="Arial"/>
                <w:sz w:val="18"/>
                <w:szCs w:val="18"/>
                <w:color w:val="0000EE"/>
                <w:w w:val="93"/>
              </w:rPr>
            </w:pPr>
            <w:hyperlink r:id="rId76">
              <w:r>
                <w:rPr>
                  <w:rFonts w:ascii="Arial" w:cs="Arial" w:eastAsia="Arial" w:hAnsi="Arial"/>
                  <w:sz w:val="18"/>
                  <w:szCs w:val="18"/>
                  <w:color w:val="0000EE"/>
                  <w:w w:val="93"/>
                </w:rPr>
                <w:t>Form 8-K</w:t>
              </w:r>
            </w:hyperlink>
          </w:p>
        </w:tc>
        <w:tc>
          <w:tcPr>
            <w:tcW w:w="380" w:type="dxa"/>
            <w:vAlign w:val="bottom"/>
            <w:tcBorders>
              <w:top w:val="single" w:sz="8" w:color="auto"/>
            </w:tcBorders>
            <w:gridSpan w:val="4"/>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center"/>
              <w:spacing w:after="0" w:line="169"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3/4/2021</w:t>
              </w:r>
            </w:hyperlink>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top w:val="single" w:sz="8" w:color="auto"/>
            </w:tcBorders>
            <w:gridSpan w:val="2"/>
          </w:tcPr>
          <w:p>
            <w:pPr>
              <w:jc w:val="center"/>
              <w:ind w:left="250"/>
              <w:spacing w:after="0" w:line="169" w:lineRule="exact"/>
              <w:rPr>
                <w:rFonts w:ascii="Arial" w:cs="Arial" w:eastAsia="Arial" w:hAnsi="Arial"/>
                <w:sz w:val="18"/>
                <w:szCs w:val="18"/>
                <w:color w:val="0000EE"/>
                <w:w w:val="90"/>
              </w:rPr>
            </w:pPr>
            <w:hyperlink r:id="rId76">
              <w:r>
                <w:rPr>
                  <w:rFonts w:ascii="Arial" w:cs="Arial" w:eastAsia="Arial" w:hAnsi="Arial"/>
                  <w:sz w:val="18"/>
                  <w:szCs w:val="18"/>
                  <w:color w:val="0000EE"/>
                  <w:w w:val="90"/>
                </w:rPr>
                <w:t>001-39281</w:t>
              </w:r>
            </w:hyperlink>
          </w:p>
        </w:tc>
        <w:tc>
          <w:tcPr>
            <w:tcW w:w="340" w:type="dxa"/>
            <w:vAlign w:val="bottom"/>
            <w:tcBorders>
              <w:top w:val="single" w:sz="8" w:color="auto"/>
            </w:tcBorders>
          </w:tcPr>
          <w:p>
            <w:pPr>
              <w:spacing w:after="0"/>
              <w:rPr>
                <w:sz w:val="14"/>
                <w:szCs w:val="14"/>
                <w:color w:val="auto"/>
              </w:rPr>
            </w:pP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00" w:type="dxa"/>
            <w:vAlign w:val="bottom"/>
            <w:gridSpan w:val="16"/>
          </w:tcPr>
          <w:p>
            <w:pPr>
              <w:spacing w:after="0" w:line="196" w:lineRule="exact"/>
              <w:rPr>
                <w:rFonts w:ascii="Arial" w:cs="Arial" w:eastAsia="Arial" w:hAnsi="Arial"/>
                <w:sz w:val="18"/>
                <w:szCs w:val="18"/>
                <w:color w:val="0000EE"/>
                <w:w w:val="94"/>
              </w:rPr>
            </w:pPr>
            <w:hyperlink r:id="rId76">
              <w:r>
                <w:rPr>
                  <w:rFonts w:ascii="Arial" w:cs="Arial" w:eastAsia="Arial" w:hAnsi="Arial"/>
                  <w:sz w:val="18"/>
                  <w:szCs w:val="18"/>
                  <w:color w:val="0000EE"/>
                  <w:w w:val="94"/>
                </w:rPr>
                <w:t>by and among Sustainable Opportunities Acquisition Corp.,</w:t>
              </w:r>
            </w:hyperlink>
          </w:p>
        </w:tc>
        <w:tc>
          <w:tcPr>
            <w:tcW w:w="12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7"/>
          </w:tcPr>
          <w:p>
            <w:pPr>
              <w:jc w:val="center"/>
              <w:ind w:right="380"/>
              <w:spacing w:after="0" w:line="196" w:lineRule="exact"/>
              <w:rPr>
                <w:rFonts w:ascii="Arial" w:cs="Arial" w:eastAsia="Arial" w:hAnsi="Arial"/>
                <w:sz w:val="18"/>
                <w:szCs w:val="18"/>
                <w:color w:val="0000EE"/>
                <w:w w:val="93"/>
              </w:rPr>
            </w:pPr>
            <w:hyperlink r:id="rId76">
              <w:r>
                <w:rPr>
                  <w:rFonts w:ascii="Arial" w:cs="Arial" w:eastAsia="Arial" w:hAnsi="Arial"/>
                  <w:sz w:val="18"/>
                  <w:szCs w:val="18"/>
                  <w:color w:val="0000EE"/>
                  <w:w w:val="93"/>
                </w:rPr>
                <w:t>(Exhibit 2.1)</w:t>
              </w:r>
            </w:hyperlink>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76">
              <w:r>
                <w:rPr>
                  <w:rFonts w:ascii="Arial" w:cs="Arial" w:eastAsia="Arial" w:hAnsi="Arial"/>
                  <w:sz w:val="18"/>
                  <w:szCs w:val="18"/>
                  <w:color w:val="0000EE"/>
                  <w:w w:val="92"/>
                </w:rPr>
                <w:t>1291924 B.C. Unlimited Liability Company and DeepGreen</w:t>
              </w:r>
            </w:hyperlink>
          </w:p>
        </w:tc>
        <w:tc>
          <w:tcPr>
            <w:tcW w:w="260" w:type="dxa"/>
            <w:vAlign w:val="bottom"/>
            <w:gridSpan w:val="5"/>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20" w:type="dxa"/>
            <w:vAlign w:val="bottom"/>
            <w:gridSpan w:val="18"/>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Metals Inc.</w:t>
              </w:r>
            </w:hyperlink>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77">
              <w:r>
                <w:rPr>
                  <w:rFonts w:ascii="Arial" w:cs="Arial" w:eastAsia="Arial" w:hAnsi="Arial"/>
                  <w:sz w:val="18"/>
                  <w:szCs w:val="18"/>
                  <w:color w:val="0000EE"/>
                  <w:w w:val="95"/>
                </w:rPr>
                <w:t>4.</w:t>
              </w:r>
              <w:r>
                <w:rPr>
                  <w:rFonts w:ascii="Arial" w:cs="Arial" w:eastAsia="Arial" w:hAnsi="Arial"/>
                  <w:sz w:val="18"/>
                  <w:szCs w:val="18"/>
                  <w:u w:val="single" w:color="auto"/>
                  <w:color w:val="0000EE"/>
                  <w:w w:val="95"/>
                </w:rPr>
                <w:t>1</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7"/>
          </w:tcPr>
          <w:p>
            <w:pPr>
              <w:spacing w:after="0"/>
              <w:rPr>
                <w:rFonts w:ascii="Arial" w:cs="Arial" w:eastAsia="Arial" w:hAnsi="Arial"/>
                <w:sz w:val="18"/>
                <w:szCs w:val="18"/>
                <w:color w:val="0000EE"/>
                <w:w w:val="92"/>
              </w:rPr>
            </w:pPr>
            <w:hyperlink r:id="rId77">
              <w:r>
                <w:rPr>
                  <w:rFonts w:ascii="Arial" w:cs="Arial" w:eastAsia="Arial" w:hAnsi="Arial"/>
                  <w:sz w:val="18"/>
                  <w:szCs w:val="18"/>
                  <w:color w:val="0000EE"/>
                  <w:w w:val="92"/>
                </w:rPr>
                <w:t>Notice of Articles of TMC the metals company Inc.</w:t>
              </w:r>
            </w:hyperlink>
          </w:p>
        </w:tc>
        <w:tc>
          <w:tcPr>
            <w:tcW w:w="900" w:type="dxa"/>
            <w:vAlign w:val="bottom"/>
            <w:gridSpan w:val="11"/>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rFonts w:ascii="Arial" w:cs="Arial" w:eastAsia="Arial" w:hAnsi="Arial"/>
                <w:sz w:val="18"/>
                <w:szCs w:val="18"/>
                <w:color w:val="0000EE"/>
                <w:w w:val="93"/>
              </w:rPr>
            </w:pPr>
            <w:hyperlink r:id="rId77">
              <w:r>
                <w:rPr>
                  <w:rFonts w:ascii="Arial" w:cs="Arial" w:eastAsia="Arial" w:hAnsi="Arial"/>
                  <w:sz w:val="18"/>
                  <w:szCs w:val="18"/>
                  <w:color w:val="0000EE"/>
                  <w:w w:val="93"/>
                </w:rPr>
                <w:t>Form 8-K</w:t>
              </w:r>
            </w:hyperlink>
          </w:p>
        </w:tc>
        <w:tc>
          <w:tcPr>
            <w:tcW w:w="500" w:type="dxa"/>
            <w:vAlign w:val="bottom"/>
            <w:gridSpan w:val="5"/>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gridSpan w:val="2"/>
          </w:tcPr>
          <w:p>
            <w:pPr>
              <w:jc w:val="center"/>
              <w:ind w:right="380"/>
              <w:spacing w:after="0"/>
              <w:rPr>
                <w:rFonts w:ascii="Arial" w:cs="Arial" w:eastAsia="Arial" w:hAnsi="Arial"/>
                <w:sz w:val="18"/>
                <w:szCs w:val="18"/>
                <w:color w:val="0000EE"/>
                <w:w w:val="84"/>
              </w:rPr>
            </w:pPr>
            <w:hyperlink r:id="rId77">
              <w:r>
                <w:rPr>
                  <w:rFonts w:ascii="Arial" w:cs="Arial" w:eastAsia="Arial" w:hAnsi="Arial"/>
                  <w:sz w:val="18"/>
                  <w:szCs w:val="18"/>
                  <w:color w:val="0000EE"/>
                  <w:w w:val="84"/>
                </w:rPr>
                <w:t>9/15/2021</w:t>
              </w:r>
            </w:hyperlink>
          </w:p>
        </w:tc>
        <w:tc>
          <w:tcPr>
            <w:tcW w:w="100" w:type="dxa"/>
            <w:vAlign w:val="bottom"/>
          </w:tcPr>
          <w:p>
            <w:pPr>
              <w:spacing w:after="0"/>
              <w:rPr>
                <w:sz w:val="24"/>
                <w:szCs w:val="24"/>
                <w:color w:val="auto"/>
              </w:rPr>
            </w:pPr>
          </w:p>
        </w:tc>
        <w:tc>
          <w:tcPr>
            <w:tcW w:w="1120" w:type="dxa"/>
            <w:vAlign w:val="bottom"/>
            <w:gridSpan w:val="2"/>
          </w:tcPr>
          <w:p>
            <w:pPr>
              <w:jc w:val="center"/>
              <w:ind w:left="250"/>
              <w:spacing w:after="0"/>
              <w:rPr>
                <w:rFonts w:ascii="Arial" w:cs="Arial" w:eastAsia="Arial" w:hAnsi="Arial"/>
                <w:sz w:val="18"/>
                <w:szCs w:val="18"/>
                <w:color w:val="0000EE"/>
                <w:w w:val="90"/>
              </w:rPr>
            </w:pPr>
            <w:hyperlink r:id="rId77">
              <w:r>
                <w:rPr>
                  <w:rFonts w:ascii="Arial" w:cs="Arial" w:eastAsia="Arial" w:hAnsi="Arial"/>
                  <w:sz w:val="18"/>
                  <w:szCs w:val="18"/>
                  <w:color w:val="0000EE"/>
                  <w:w w:val="90"/>
                </w:rPr>
                <w:t>001-39281</w:t>
              </w:r>
            </w:hyperlink>
          </w:p>
        </w:tc>
        <w:tc>
          <w:tcPr>
            <w:tcW w:w="34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Borders>
              <w:bottom w:val="single" w:sz="8" w:color="0000EE"/>
            </w:tcBorders>
            <w:gridSpan w:val="3"/>
          </w:tcPr>
          <w:p>
            <w:pPr>
              <w:jc w:val="center"/>
              <w:spacing w:after="0" w:line="196" w:lineRule="exact"/>
              <w:rPr>
                <w:rFonts w:ascii="Arial" w:cs="Arial" w:eastAsia="Arial" w:hAnsi="Arial"/>
                <w:sz w:val="18"/>
                <w:szCs w:val="18"/>
                <w:color w:val="0000EE"/>
                <w:w w:val="93"/>
              </w:rPr>
            </w:pPr>
            <w:hyperlink r:id="rId77">
              <w:r>
                <w:rPr>
                  <w:rFonts w:ascii="Arial" w:cs="Arial" w:eastAsia="Arial" w:hAnsi="Arial"/>
                  <w:sz w:val="18"/>
                  <w:szCs w:val="18"/>
                  <w:color w:val="0000EE"/>
                  <w:w w:val="93"/>
                </w:rPr>
                <w:t>(Exhibit 3.1)</w:t>
              </w:r>
            </w:hyperlink>
          </w:p>
        </w:tc>
        <w:tc>
          <w:tcPr>
            <w:tcW w:w="400" w:type="dxa"/>
            <w:vAlign w:val="bottom"/>
            <w:gridSpan w:val="4"/>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78">
              <w:r>
                <w:rPr>
                  <w:rFonts w:ascii="Arial" w:cs="Arial" w:eastAsia="Arial" w:hAnsi="Arial"/>
                  <w:sz w:val="18"/>
                  <w:szCs w:val="18"/>
                  <w:color w:val="0000EE"/>
                  <w:w w:val="95"/>
                </w:rPr>
                <w:t>4.</w:t>
              </w:r>
              <w:r>
                <w:rPr>
                  <w:rFonts w:ascii="Arial" w:cs="Arial" w:eastAsia="Arial" w:hAnsi="Arial"/>
                  <w:sz w:val="18"/>
                  <w:szCs w:val="18"/>
                  <w:u w:val="single" w:color="auto"/>
                  <w:color w:val="0000EE"/>
                  <w:w w:val="95"/>
                </w:rPr>
                <w:t>2</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gridSpan w:val="6"/>
          </w:tcPr>
          <w:p>
            <w:pPr>
              <w:spacing w:after="0"/>
              <w:rPr>
                <w:rFonts w:ascii="Arial" w:cs="Arial" w:eastAsia="Arial" w:hAnsi="Arial"/>
                <w:sz w:val="18"/>
                <w:szCs w:val="18"/>
                <w:color w:val="0000EE"/>
                <w:w w:val="92"/>
              </w:rPr>
            </w:pPr>
            <w:hyperlink r:id="rId78">
              <w:r>
                <w:rPr>
                  <w:rFonts w:ascii="Arial" w:cs="Arial" w:eastAsia="Arial" w:hAnsi="Arial"/>
                  <w:sz w:val="18"/>
                  <w:szCs w:val="18"/>
                  <w:color w:val="0000EE"/>
                  <w:w w:val="92"/>
                </w:rPr>
                <w:t>Articles of TMC the metals company Inc.</w:t>
              </w:r>
            </w:hyperlink>
          </w:p>
        </w:tc>
        <w:tc>
          <w:tcPr>
            <w:tcW w:w="1620" w:type="dxa"/>
            <w:vAlign w:val="bottom"/>
            <w:gridSpan w:val="12"/>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rFonts w:ascii="Arial" w:cs="Arial" w:eastAsia="Arial" w:hAnsi="Arial"/>
                <w:sz w:val="18"/>
                <w:szCs w:val="18"/>
                <w:color w:val="0000EE"/>
                <w:w w:val="93"/>
              </w:rPr>
            </w:pPr>
            <w:hyperlink r:id="rId78">
              <w:r>
                <w:rPr>
                  <w:rFonts w:ascii="Arial" w:cs="Arial" w:eastAsia="Arial" w:hAnsi="Arial"/>
                  <w:sz w:val="18"/>
                  <w:szCs w:val="18"/>
                  <w:color w:val="0000EE"/>
                  <w:w w:val="93"/>
                </w:rPr>
                <w:t>Form 8-K</w:t>
              </w:r>
            </w:hyperlink>
          </w:p>
        </w:tc>
        <w:tc>
          <w:tcPr>
            <w:tcW w:w="500" w:type="dxa"/>
            <w:vAlign w:val="bottom"/>
            <w:gridSpan w:val="5"/>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gridSpan w:val="2"/>
          </w:tcPr>
          <w:p>
            <w:pPr>
              <w:jc w:val="center"/>
              <w:ind w:right="380"/>
              <w:spacing w:after="0"/>
              <w:rPr>
                <w:rFonts w:ascii="Arial" w:cs="Arial" w:eastAsia="Arial" w:hAnsi="Arial"/>
                <w:sz w:val="18"/>
                <w:szCs w:val="18"/>
                <w:color w:val="0000EE"/>
                <w:w w:val="84"/>
              </w:rPr>
            </w:pPr>
            <w:hyperlink r:id="rId78">
              <w:r>
                <w:rPr>
                  <w:rFonts w:ascii="Arial" w:cs="Arial" w:eastAsia="Arial" w:hAnsi="Arial"/>
                  <w:sz w:val="18"/>
                  <w:szCs w:val="18"/>
                  <w:color w:val="0000EE"/>
                  <w:w w:val="84"/>
                </w:rPr>
                <w:t>9/15/2021</w:t>
              </w:r>
            </w:hyperlink>
          </w:p>
        </w:tc>
        <w:tc>
          <w:tcPr>
            <w:tcW w:w="100" w:type="dxa"/>
            <w:vAlign w:val="bottom"/>
          </w:tcPr>
          <w:p>
            <w:pPr>
              <w:spacing w:after="0"/>
              <w:rPr>
                <w:sz w:val="24"/>
                <w:szCs w:val="24"/>
                <w:color w:val="auto"/>
              </w:rPr>
            </w:pPr>
          </w:p>
        </w:tc>
        <w:tc>
          <w:tcPr>
            <w:tcW w:w="1120" w:type="dxa"/>
            <w:vAlign w:val="bottom"/>
            <w:gridSpan w:val="2"/>
          </w:tcPr>
          <w:p>
            <w:pPr>
              <w:jc w:val="center"/>
              <w:ind w:left="250"/>
              <w:spacing w:after="0"/>
              <w:rPr>
                <w:rFonts w:ascii="Arial" w:cs="Arial" w:eastAsia="Arial" w:hAnsi="Arial"/>
                <w:sz w:val="18"/>
                <w:szCs w:val="18"/>
                <w:color w:val="0000EE"/>
                <w:w w:val="90"/>
              </w:rPr>
            </w:pPr>
            <w:hyperlink r:id="rId78">
              <w:r>
                <w:rPr>
                  <w:rFonts w:ascii="Arial" w:cs="Arial" w:eastAsia="Arial" w:hAnsi="Arial"/>
                  <w:sz w:val="18"/>
                  <w:szCs w:val="18"/>
                  <w:color w:val="0000EE"/>
                  <w:w w:val="90"/>
                </w:rPr>
                <w:t>001-39281</w:t>
              </w:r>
            </w:hyperlink>
          </w:p>
        </w:tc>
        <w:tc>
          <w:tcPr>
            <w:tcW w:w="34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Borders>
              <w:bottom w:val="single" w:sz="8" w:color="0000EE"/>
            </w:tcBorders>
            <w:gridSpan w:val="3"/>
          </w:tcPr>
          <w:p>
            <w:pPr>
              <w:jc w:val="center"/>
              <w:spacing w:after="0" w:line="196" w:lineRule="exact"/>
              <w:rPr>
                <w:rFonts w:ascii="Arial" w:cs="Arial" w:eastAsia="Arial" w:hAnsi="Arial"/>
                <w:sz w:val="18"/>
                <w:szCs w:val="18"/>
                <w:color w:val="0000EE"/>
                <w:w w:val="93"/>
              </w:rPr>
            </w:pPr>
            <w:hyperlink r:id="rId78">
              <w:r>
                <w:rPr>
                  <w:rFonts w:ascii="Arial" w:cs="Arial" w:eastAsia="Arial" w:hAnsi="Arial"/>
                  <w:sz w:val="18"/>
                  <w:szCs w:val="18"/>
                  <w:color w:val="0000EE"/>
                  <w:w w:val="93"/>
                </w:rPr>
                <w:t>(Exhibit 3.2)</w:t>
              </w:r>
            </w:hyperlink>
          </w:p>
        </w:tc>
        <w:tc>
          <w:tcPr>
            <w:tcW w:w="400" w:type="dxa"/>
            <w:vAlign w:val="bottom"/>
            <w:gridSpan w:val="4"/>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79">
              <w:r>
                <w:rPr>
                  <w:rFonts w:ascii="Arial" w:cs="Arial" w:eastAsia="Arial" w:hAnsi="Arial"/>
                  <w:sz w:val="18"/>
                  <w:szCs w:val="18"/>
                  <w:color w:val="0000EE"/>
                  <w:w w:val="95"/>
                </w:rPr>
                <w:t>4.</w:t>
              </w:r>
              <w:r>
                <w:rPr>
                  <w:rFonts w:ascii="Arial" w:cs="Arial" w:eastAsia="Arial" w:hAnsi="Arial"/>
                  <w:sz w:val="18"/>
                  <w:szCs w:val="18"/>
                  <w:u w:val="single" w:color="auto"/>
                  <w:color w:val="0000EE"/>
                  <w:w w:val="95"/>
                </w:rPr>
                <w:t>3</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18"/>
          </w:tcPr>
          <w:p>
            <w:pPr>
              <w:spacing w:after="0"/>
              <w:rPr>
                <w:rFonts w:ascii="Arial" w:cs="Arial" w:eastAsia="Arial" w:hAnsi="Arial"/>
                <w:sz w:val="18"/>
                <w:szCs w:val="18"/>
                <w:color w:val="0000EE"/>
              </w:rPr>
            </w:pPr>
            <w:hyperlink r:id="rId79">
              <w:r>
                <w:rPr>
                  <w:rFonts w:ascii="Arial" w:cs="Arial" w:eastAsia="Arial" w:hAnsi="Arial"/>
                  <w:sz w:val="18"/>
                  <w:szCs w:val="18"/>
                  <w:color w:val="0000EE"/>
                </w:rPr>
                <w:t>TMC the metals company Inc. Common Share Certificate</w:t>
              </w:r>
            </w:hyperlink>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7"/>
          </w:tcPr>
          <w:p>
            <w:pPr>
              <w:jc w:val="center"/>
              <w:ind w:right="400"/>
              <w:spacing w:after="0"/>
              <w:rPr>
                <w:rFonts w:ascii="Arial" w:cs="Arial" w:eastAsia="Arial" w:hAnsi="Arial"/>
                <w:sz w:val="18"/>
                <w:szCs w:val="18"/>
                <w:color w:val="0000EE"/>
                <w:w w:val="95"/>
              </w:rPr>
            </w:pPr>
            <w:hyperlink r:id="rId79">
              <w:r>
                <w:rPr>
                  <w:rFonts w:ascii="Arial" w:cs="Arial" w:eastAsia="Arial" w:hAnsi="Arial"/>
                  <w:sz w:val="18"/>
                  <w:szCs w:val="18"/>
                  <w:color w:val="0000EE"/>
                  <w:w w:val="95"/>
                </w:rPr>
                <w:t>Form 8-K</w:t>
              </w:r>
            </w:hyperlink>
          </w:p>
        </w:tc>
        <w:tc>
          <w:tcPr>
            <w:tcW w:w="1460" w:type="dxa"/>
            <w:vAlign w:val="bottom"/>
            <w:gridSpan w:val="3"/>
          </w:tcPr>
          <w:p>
            <w:pPr>
              <w:jc w:val="center"/>
              <w:ind w:right="20"/>
              <w:spacing w:after="0"/>
              <w:rPr>
                <w:rFonts w:ascii="Arial" w:cs="Arial" w:eastAsia="Arial" w:hAnsi="Arial"/>
                <w:sz w:val="18"/>
                <w:szCs w:val="18"/>
                <w:color w:val="0000EE"/>
                <w:w w:val="89"/>
              </w:rPr>
            </w:pPr>
            <w:hyperlink r:id="rId79">
              <w:r>
                <w:rPr>
                  <w:rFonts w:ascii="Arial" w:cs="Arial" w:eastAsia="Arial" w:hAnsi="Arial"/>
                  <w:sz w:val="18"/>
                  <w:szCs w:val="18"/>
                  <w:color w:val="0000EE"/>
                  <w:w w:val="89"/>
                </w:rPr>
                <w:t>9/15/2021</w:t>
              </w:r>
            </w:hyperlink>
          </w:p>
        </w:tc>
        <w:tc>
          <w:tcPr>
            <w:tcW w:w="100" w:type="dxa"/>
            <w:vAlign w:val="bottom"/>
          </w:tcPr>
          <w:p>
            <w:pPr>
              <w:spacing w:after="0"/>
              <w:rPr>
                <w:sz w:val="24"/>
                <w:szCs w:val="24"/>
                <w:color w:val="auto"/>
              </w:rPr>
            </w:pPr>
          </w:p>
        </w:tc>
        <w:tc>
          <w:tcPr>
            <w:tcW w:w="1120" w:type="dxa"/>
            <w:vAlign w:val="bottom"/>
            <w:gridSpan w:val="2"/>
          </w:tcPr>
          <w:p>
            <w:pPr>
              <w:jc w:val="center"/>
              <w:ind w:left="250"/>
              <w:spacing w:after="0"/>
              <w:rPr>
                <w:rFonts w:ascii="Arial" w:cs="Arial" w:eastAsia="Arial" w:hAnsi="Arial"/>
                <w:sz w:val="18"/>
                <w:szCs w:val="18"/>
                <w:color w:val="0000EE"/>
                <w:w w:val="90"/>
              </w:rPr>
            </w:pPr>
            <w:hyperlink r:id="rId79">
              <w:r>
                <w:rPr>
                  <w:rFonts w:ascii="Arial" w:cs="Arial" w:eastAsia="Arial" w:hAnsi="Arial"/>
                  <w:sz w:val="18"/>
                  <w:szCs w:val="18"/>
                  <w:color w:val="0000EE"/>
                  <w:w w:val="90"/>
                </w:rPr>
                <w:t>001-39281</w:t>
              </w:r>
            </w:hyperlink>
          </w:p>
        </w:tc>
        <w:tc>
          <w:tcPr>
            <w:tcW w:w="34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Borders>
              <w:bottom w:val="single" w:sz="8" w:color="0000EE"/>
            </w:tcBorders>
            <w:gridSpan w:val="3"/>
          </w:tcPr>
          <w:p>
            <w:pPr>
              <w:jc w:val="center"/>
              <w:spacing w:after="0" w:line="196" w:lineRule="exact"/>
              <w:rPr>
                <w:rFonts w:ascii="Arial" w:cs="Arial" w:eastAsia="Arial" w:hAnsi="Arial"/>
                <w:sz w:val="18"/>
                <w:szCs w:val="18"/>
                <w:color w:val="0000EE"/>
                <w:w w:val="93"/>
              </w:rPr>
            </w:pPr>
            <w:hyperlink r:id="rId79">
              <w:r>
                <w:rPr>
                  <w:rFonts w:ascii="Arial" w:cs="Arial" w:eastAsia="Arial" w:hAnsi="Arial"/>
                  <w:sz w:val="18"/>
                  <w:szCs w:val="18"/>
                  <w:color w:val="0000EE"/>
                  <w:w w:val="93"/>
                </w:rPr>
                <w:t>(Exhibit 4.1)</w:t>
              </w:r>
            </w:hyperlink>
          </w:p>
        </w:tc>
        <w:tc>
          <w:tcPr>
            <w:tcW w:w="400" w:type="dxa"/>
            <w:vAlign w:val="bottom"/>
            <w:gridSpan w:val="4"/>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80">
              <w:r>
                <w:rPr>
                  <w:rFonts w:ascii="Arial" w:cs="Arial" w:eastAsia="Arial" w:hAnsi="Arial"/>
                  <w:sz w:val="18"/>
                  <w:szCs w:val="18"/>
                  <w:color w:val="0000EE"/>
                  <w:w w:val="95"/>
                </w:rPr>
                <w:t>4.</w:t>
              </w:r>
              <w:r>
                <w:rPr>
                  <w:rFonts w:ascii="Arial" w:cs="Arial" w:eastAsia="Arial" w:hAnsi="Arial"/>
                  <w:sz w:val="18"/>
                  <w:szCs w:val="18"/>
                  <w:u w:val="single" w:color="auto"/>
                  <w:color w:val="0000EE"/>
                  <w:w w:val="95"/>
                </w:rPr>
                <w:t>4</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80" w:type="dxa"/>
            <w:vAlign w:val="bottom"/>
            <w:gridSpan w:val="11"/>
          </w:tcPr>
          <w:p>
            <w:pPr>
              <w:spacing w:after="0"/>
              <w:rPr>
                <w:rFonts w:ascii="Arial" w:cs="Arial" w:eastAsia="Arial" w:hAnsi="Arial"/>
                <w:sz w:val="18"/>
                <w:szCs w:val="18"/>
                <w:color w:val="0000EE"/>
                <w:w w:val="88"/>
              </w:rPr>
            </w:pPr>
            <w:hyperlink r:id="rId80">
              <w:r>
                <w:rPr>
                  <w:rFonts w:ascii="Arial" w:cs="Arial" w:eastAsia="Arial" w:hAnsi="Arial"/>
                  <w:sz w:val="18"/>
                  <w:szCs w:val="18"/>
                  <w:color w:val="0000EE"/>
                  <w:w w:val="88"/>
                </w:rPr>
                <w:t>Warrant Agreement between Continental Stock Transfer &amp;</w:t>
              </w:r>
            </w:hyperlink>
          </w:p>
        </w:tc>
        <w:tc>
          <w:tcPr>
            <w:tcW w:w="440" w:type="dxa"/>
            <w:vAlign w:val="bottom"/>
            <w:gridSpan w:val="7"/>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rFonts w:ascii="Arial" w:cs="Arial" w:eastAsia="Arial" w:hAnsi="Arial"/>
                <w:sz w:val="18"/>
                <w:szCs w:val="18"/>
                <w:color w:val="0000EE"/>
                <w:w w:val="93"/>
              </w:rPr>
            </w:pPr>
            <w:hyperlink r:id="rId80">
              <w:r>
                <w:rPr>
                  <w:rFonts w:ascii="Arial" w:cs="Arial" w:eastAsia="Arial" w:hAnsi="Arial"/>
                  <w:sz w:val="18"/>
                  <w:szCs w:val="18"/>
                  <w:color w:val="0000EE"/>
                  <w:w w:val="93"/>
                </w:rPr>
                <w:t>Form 8-K</w:t>
              </w:r>
            </w:hyperlink>
          </w:p>
        </w:tc>
        <w:tc>
          <w:tcPr>
            <w:tcW w:w="500" w:type="dxa"/>
            <w:vAlign w:val="bottom"/>
            <w:gridSpan w:val="5"/>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jc w:val="center"/>
              <w:spacing w:after="0"/>
              <w:rPr>
                <w:rFonts w:ascii="Arial" w:cs="Arial" w:eastAsia="Arial" w:hAnsi="Arial"/>
                <w:sz w:val="18"/>
                <w:szCs w:val="18"/>
                <w:color w:val="0000EE"/>
                <w:w w:val="91"/>
              </w:rPr>
            </w:pPr>
            <w:hyperlink r:id="rId80">
              <w:r>
                <w:rPr>
                  <w:rFonts w:ascii="Arial" w:cs="Arial" w:eastAsia="Arial" w:hAnsi="Arial"/>
                  <w:sz w:val="18"/>
                  <w:szCs w:val="18"/>
                  <w:color w:val="0000EE"/>
                  <w:w w:val="91"/>
                </w:rPr>
                <w:t>5/8/2020</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left="250"/>
              <w:spacing w:after="0"/>
              <w:rPr>
                <w:rFonts w:ascii="Arial" w:cs="Arial" w:eastAsia="Arial" w:hAnsi="Arial"/>
                <w:sz w:val="18"/>
                <w:szCs w:val="18"/>
                <w:color w:val="0000EE"/>
                <w:w w:val="90"/>
              </w:rPr>
            </w:pPr>
            <w:hyperlink r:id="rId80">
              <w:r>
                <w:rPr>
                  <w:rFonts w:ascii="Arial" w:cs="Arial" w:eastAsia="Arial" w:hAnsi="Arial"/>
                  <w:sz w:val="18"/>
                  <w:szCs w:val="18"/>
                  <w:color w:val="0000EE"/>
                  <w:w w:val="90"/>
                </w:rPr>
                <w:t>001-39281</w:t>
              </w:r>
            </w:hyperlink>
          </w:p>
        </w:tc>
        <w:tc>
          <w:tcPr>
            <w:tcW w:w="34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80">
              <w:r>
                <w:rPr>
                  <w:rFonts w:ascii="Arial" w:cs="Arial" w:eastAsia="Arial" w:hAnsi="Arial"/>
                  <w:sz w:val="18"/>
                  <w:szCs w:val="18"/>
                  <w:color w:val="0000EE"/>
                  <w:w w:val="89"/>
                </w:rPr>
                <w:t>Trust Company and Sustainable Opportunities Acquisition</w:t>
              </w:r>
            </w:hyperlink>
          </w:p>
        </w:tc>
        <w:tc>
          <w:tcPr>
            <w:tcW w:w="440" w:type="dxa"/>
            <w:vAlign w:val="bottom"/>
            <w:gridSpan w:val="7"/>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Borders>
              <w:bottom w:val="single" w:sz="8" w:color="0000EE"/>
            </w:tcBorders>
            <w:gridSpan w:val="3"/>
          </w:tcPr>
          <w:p>
            <w:pPr>
              <w:jc w:val="center"/>
              <w:spacing w:after="0" w:line="196" w:lineRule="exact"/>
              <w:rPr>
                <w:rFonts w:ascii="Arial" w:cs="Arial" w:eastAsia="Arial" w:hAnsi="Arial"/>
                <w:sz w:val="18"/>
                <w:szCs w:val="18"/>
                <w:color w:val="0000EE"/>
                <w:w w:val="93"/>
              </w:rPr>
            </w:pPr>
            <w:hyperlink r:id="rId80">
              <w:r>
                <w:rPr>
                  <w:rFonts w:ascii="Arial" w:cs="Arial" w:eastAsia="Arial" w:hAnsi="Arial"/>
                  <w:sz w:val="18"/>
                  <w:szCs w:val="18"/>
                  <w:color w:val="0000EE"/>
                  <w:w w:val="93"/>
                </w:rPr>
                <w:t>(Exhibit 4.1)</w:t>
              </w:r>
            </w:hyperlink>
          </w:p>
        </w:tc>
        <w:tc>
          <w:tcPr>
            <w:tcW w:w="400" w:type="dxa"/>
            <w:vAlign w:val="bottom"/>
            <w:gridSpan w:val="4"/>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80">
              <w:r>
                <w:rPr>
                  <w:rFonts w:ascii="Arial" w:cs="Arial" w:eastAsia="Arial" w:hAnsi="Arial"/>
                  <w:sz w:val="18"/>
                  <w:szCs w:val="18"/>
                  <w:color w:val="0000EE"/>
                  <w:w w:val="89"/>
                </w:rPr>
                <w:t>Corp., dated May 8, 2020</w:t>
              </w:r>
            </w:hyperlink>
          </w:p>
        </w:tc>
        <w:tc>
          <w:tcPr>
            <w:tcW w:w="2780" w:type="dxa"/>
            <w:vAlign w:val="bottom"/>
            <w:gridSpan w:val="15"/>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81">
              <w:r>
                <w:rPr>
                  <w:rFonts w:ascii="Arial" w:cs="Arial" w:eastAsia="Arial" w:hAnsi="Arial"/>
                  <w:sz w:val="18"/>
                  <w:szCs w:val="18"/>
                  <w:color w:val="0000EE"/>
                  <w:w w:val="95"/>
                </w:rPr>
                <w:t>4.</w:t>
              </w:r>
              <w:r>
                <w:rPr>
                  <w:rFonts w:ascii="Arial" w:cs="Arial" w:eastAsia="Arial" w:hAnsi="Arial"/>
                  <w:sz w:val="18"/>
                  <w:szCs w:val="18"/>
                  <w:u w:val="single" w:color="auto"/>
                  <w:color w:val="0000EE"/>
                  <w:w w:val="95"/>
                </w:rPr>
                <w:t>5</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80" w:type="dxa"/>
            <w:vAlign w:val="bottom"/>
            <w:gridSpan w:val="12"/>
          </w:tcPr>
          <w:p>
            <w:pPr>
              <w:spacing w:after="0"/>
              <w:rPr>
                <w:rFonts w:ascii="Arial" w:cs="Arial" w:eastAsia="Arial" w:hAnsi="Arial"/>
                <w:sz w:val="18"/>
                <w:szCs w:val="18"/>
                <w:color w:val="0000EE"/>
                <w:w w:val="87"/>
              </w:rPr>
            </w:pPr>
            <w:hyperlink r:id="rId81">
              <w:r>
                <w:rPr>
                  <w:rFonts w:ascii="Arial" w:cs="Arial" w:eastAsia="Arial" w:hAnsi="Arial"/>
                  <w:sz w:val="18"/>
                  <w:szCs w:val="18"/>
                  <w:color w:val="0000EE"/>
                  <w:w w:val="87"/>
                </w:rPr>
                <w:t>Warrant to Purchase Common Shares issued by DeepGreen</w:t>
              </w:r>
            </w:hyperlink>
          </w:p>
        </w:tc>
        <w:tc>
          <w:tcPr>
            <w:tcW w:w="340" w:type="dxa"/>
            <w:vAlign w:val="bottom"/>
            <w:gridSpan w:val="6"/>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6"/>
          </w:tcPr>
          <w:p>
            <w:pPr>
              <w:jc w:val="center"/>
              <w:ind w:right="500"/>
              <w:spacing w:after="0"/>
              <w:rPr>
                <w:rFonts w:ascii="Arial" w:cs="Arial" w:eastAsia="Arial" w:hAnsi="Arial"/>
                <w:sz w:val="18"/>
                <w:szCs w:val="18"/>
                <w:color w:val="0000EE"/>
                <w:w w:val="90"/>
              </w:rPr>
            </w:pPr>
            <w:hyperlink r:id="rId81">
              <w:r>
                <w:rPr>
                  <w:rFonts w:ascii="Arial" w:cs="Arial" w:eastAsia="Arial" w:hAnsi="Arial"/>
                  <w:sz w:val="18"/>
                  <w:szCs w:val="18"/>
                  <w:color w:val="0000EE"/>
                  <w:w w:val="90"/>
                </w:rPr>
                <w:t>Form S-4</w:t>
              </w:r>
            </w:hyperlink>
          </w:p>
        </w:tc>
        <w:tc>
          <w:tcPr>
            <w:tcW w:w="1040" w:type="dxa"/>
            <w:vAlign w:val="bottom"/>
            <w:gridSpan w:val="2"/>
          </w:tcPr>
          <w:p>
            <w:pPr>
              <w:jc w:val="center"/>
              <w:ind w:left="310"/>
              <w:spacing w:after="0"/>
              <w:rPr>
                <w:rFonts w:ascii="Arial" w:cs="Arial" w:eastAsia="Arial" w:hAnsi="Arial"/>
                <w:sz w:val="18"/>
                <w:szCs w:val="18"/>
                <w:color w:val="0000EE"/>
                <w:w w:val="91"/>
              </w:rPr>
            </w:pPr>
            <w:hyperlink r:id="rId81">
              <w:r>
                <w:rPr>
                  <w:rFonts w:ascii="Arial" w:cs="Arial" w:eastAsia="Arial" w:hAnsi="Arial"/>
                  <w:sz w:val="18"/>
                  <w:szCs w:val="18"/>
                  <w:color w:val="0000EE"/>
                  <w:w w:val="91"/>
                </w:rPr>
                <w:t>4/8/2021</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3"/>
          </w:tcPr>
          <w:p>
            <w:pPr>
              <w:jc w:val="center"/>
              <w:spacing w:after="0"/>
              <w:rPr>
                <w:rFonts w:ascii="Arial" w:cs="Arial" w:eastAsia="Arial" w:hAnsi="Arial"/>
                <w:sz w:val="18"/>
                <w:szCs w:val="18"/>
                <w:color w:val="0000EE"/>
                <w:w w:val="89"/>
              </w:rPr>
            </w:pPr>
            <w:hyperlink r:id="rId81">
              <w:r>
                <w:rPr>
                  <w:rFonts w:ascii="Arial" w:cs="Arial" w:eastAsia="Arial" w:hAnsi="Arial"/>
                  <w:sz w:val="18"/>
                  <w:szCs w:val="18"/>
                  <w:color w:val="0000EE"/>
                  <w:w w:val="89"/>
                </w:rPr>
                <w:t>333-255118</w:t>
              </w:r>
            </w:hyperlink>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81">
              <w:r>
                <w:rPr>
                  <w:rFonts w:ascii="Arial" w:cs="Arial" w:eastAsia="Arial" w:hAnsi="Arial"/>
                  <w:sz w:val="18"/>
                  <w:szCs w:val="18"/>
                  <w:color w:val="0000EE"/>
                  <w:w w:val="91"/>
                </w:rPr>
                <w:t>Metals Inc. to Allseas Group S.A. on March 4, 2021</w:t>
              </w:r>
            </w:hyperlink>
          </w:p>
        </w:tc>
        <w:tc>
          <w:tcPr>
            <w:tcW w:w="520" w:type="dxa"/>
            <w:vAlign w:val="bottom"/>
            <w:gridSpan w:val="4"/>
          </w:tcPr>
          <w:p>
            <w:pPr>
              <w:spacing w:after="0"/>
              <w:rPr>
                <w:sz w:val="17"/>
                <w:szCs w:val="17"/>
                <w:color w:val="auto"/>
              </w:rPr>
            </w:pPr>
          </w:p>
        </w:tc>
        <w:tc>
          <w:tcPr>
            <w:tcW w:w="340" w:type="dxa"/>
            <w:vAlign w:val="bottom"/>
            <w:gridSpan w:val="6"/>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Borders>
              <w:bottom w:val="single" w:sz="8" w:color="0000EE"/>
            </w:tcBorders>
            <w:gridSpan w:val="4"/>
          </w:tcPr>
          <w:p>
            <w:pPr>
              <w:jc w:val="center"/>
              <w:ind w:right="40"/>
              <w:spacing w:after="0" w:line="196" w:lineRule="exact"/>
              <w:rPr>
                <w:rFonts w:ascii="Arial" w:cs="Arial" w:eastAsia="Arial" w:hAnsi="Arial"/>
                <w:sz w:val="18"/>
                <w:szCs w:val="18"/>
                <w:color w:val="0000EE"/>
                <w:w w:val="91"/>
              </w:rPr>
            </w:pPr>
            <w:hyperlink r:id="rId81">
              <w:r>
                <w:rPr>
                  <w:rFonts w:ascii="Arial" w:cs="Arial" w:eastAsia="Arial" w:hAnsi="Arial"/>
                  <w:sz w:val="18"/>
                  <w:szCs w:val="18"/>
                  <w:color w:val="0000EE"/>
                  <w:w w:val="91"/>
                </w:rPr>
                <w:t>(Exhibit 4.5)</w:t>
              </w:r>
            </w:hyperlink>
          </w:p>
        </w:tc>
        <w:tc>
          <w:tcPr>
            <w:tcW w:w="360" w:type="dxa"/>
            <w:vAlign w:val="bottom"/>
            <w:gridSpan w:val="3"/>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82">
              <w:r>
                <w:rPr>
                  <w:rFonts w:ascii="Arial" w:cs="Arial" w:eastAsia="Arial" w:hAnsi="Arial"/>
                  <w:sz w:val="18"/>
                  <w:szCs w:val="18"/>
                  <w:color w:val="0000EE"/>
                  <w:w w:val="95"/>
                </w:rPr>
                <w:t>4.</w:t>
              </w:r>
              <w:r>
                <w:rPr>
                  <w:rFonts w:ascii="Arial" w:cs="Arial" w:eastAsia="Arial" w:hAnsi="Arial"/>
                  <w:sz w:val="18"/>
                  <w:szCs w:val="18"/>
                  <w:u w:val="single" w:color="auto"/>
                  <w:color w:val="0000EE"/>
                  <w:w w:val="95"/>
                </w:rPr>
                <w:t>6</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80" w:type="dxa"/>
            <w:vAlign w:val="bottom"/>
            <w:gridSpan w:val="11"/>
          </w:tcPr>
          <w:p>
            <w:pPr>
              <w:spacing w:after="0"/>
              <w:rPr>
                <w:rFonts w:ascii="Arial" w:cs="Arial" w:eastAsia="Arial" w:hAnsi="Arial"/>
                <w:sz w:val="18"/>
                <w:szCs w:val="18"/>
                <w:color w:val="0000EE"/>
                <w:w w:val="88"/>
              </w:rPr>
            </w:pPr>
            <w:hyperlink r:id="rId82">
              <w:r>
                <w:rPr>
                  <w:rFonts w:ascii="Arial" w:cs="Arial" w:eastAsia="Arial" w:hAnsi="Arial"/>
                  <w:sz w:val="18"/>
                  <w:szCs w:val="18"/>
                  <w:color w:val="0000EE"/>
                  <w:w w:val="88"/>
                </w:rPr>
                <w:t>Amended and Restated Registration Rights Agreement, by</w:t>
              </w:r>
            </w:hyperlink>
          </w:p>
        </w:tc>
        <w:tc>
          <w:tcPr>
            <w:tcW w:w="440" w:type="dxa"/>
            <w:vAlign w:val="bottom"/>
            <w:gridSpan w:val="7"/>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3"/>
          </w:tcPr>
          <w:p>
            <w:pPr>
              <w:jc w:val="center"/>
              <w:spacing w:after="0"/>
              <w:rPr>
                <w:rFonts w:ascii="Arial" w:cs="Arial" w:eastAsia="Arial" w:hAnsi="Arial"/>
                <w:sz w:val="18"/>
                <w:szCs w:val="18"/>
                <w:color w:val="0000EE"/>
                <w:w w:val="95"/>
              </w:rPr>
            </w:pPr>
            <w:hyperlink r:id="rId82">
              <w:r>
                <w:rPr>
                  <w:rFonts w:ascii="Arial" w:cs="Arial" w:eastAsia="Arial" w:hAnsi="Arial"/>
                  <w:sz w:val="18"/>
                  <w:szCs w:val="18"/>
                  <w:color w:val="0000EE"/>
                  <w:w w:val="95"/>
                </w:rPr>
                <w:t>Form S-4/A</w:t>
              </w:r>
            </w:hyperlink>
          </w:p>
        </w:tc>
        <w:tc>
          <w:tcPr>
            <w:tcW w:w="400" w:type="dxa"/>
            <w:vAlign w:val="bottom"/>
            <w:gridSpan w:val="4"/>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jc w:val="center"/>
              <w:spacing w:after="0"/>
              <w:rPr>
                <w:rFonts w:ascii="Arial" w:cs="Arial" w:eastAsia="Arial" w:hAnsi="Arial"/>
                <w:sz w:val="18"/>
                <w:szCs w:val="18"/>
                <w:color w:val="0000EE"/>
                <w:w w:val="91"/>
              </w:rPr>
            </w:pPr>
            <w:hyperlink r:id="rId82">
              <w:r>
                <w:rPr>
                  <w:rFonts w:ascii="Arial" w:cs="Arial" w:eastAsia="Arial" w:hAnsi="Arial"/>
                  <w:sz w:val="18"/>
                  <w:szCs w:val="18"/>
                  <w:color w:val="0000EE"/>
                  <w:w w:val="91"/>
                </w:rPr>
                <w:t>8/5/2021</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3"/>
          </w:tcPr>
          <w:p>
            <w:pPr>
              <w:jc w:val="center"/>
              <w:spacing w:after="0"/>
              <w:rPr>
                <w:rFonts w:ascii="Arial" w:cs="Arial" w:eastAsia="Arial" w:hAnsi="Arial"/>
                <w:sz w:val="18"/>
                <w:szCs w:val="18"/>
                <w:color w:val="0000EE"/>
                <w:w w:val="89"/>
              </w:rPr>
            </w:pPr>
            <w:hyperlink r:id="rId82">
              <w:r>
                <w:rPr>
                  <w:rFonts w:ascii="Arial" w:cs="Arial" w:eastAsia="Arial" w:hAnsi="Arial"/>
                  <w:sz w:val="18"/>
                  <w:szCs w:val="18"/>
                  <w:color w:val="0000EE"/>
                  <w:w w:val="89"/>
                </w:rPr>
                <w:t>333-255118</w:t>
              </w:r>
            </w:hyperlink>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80" w:type="dxa"/>
            <w:vAlign w:val="bottom"/>
            <w:gridSpan w:val="11"/>
          </w:tcPr>
          <w:p>
            <w:pPr>
              <w:spacing w:after="0" w:line="196" w:lineRule="exact"/>
              <w:rPr>
                <w:rFonts w:ascii="Arial" w:cs="Arial" w:eastAsia="Arial" w:hAnsi="Arial"/>
                <w:sz w:val="18"/>
                <w:szCs w:val="18"/>
                <w:color w:val="0000EE"/>
                <w:w w:val="89"/>
              </w:rPr>
            </w:pPr>
            <w:hyperlink r:id="rId82">
              <w:r>
                <w:rPr>
                  <w:rFonts w:ascii="Arial" w:cs="Arial" w:eastAsia="Arial" w:hAnsi="Arial"/>
                  <w:sz w:val="18"/>
                  <w:szCs w:val="18"/>
                  <w:color w:val="0000EE"/>
                  <w:w w:val="89"/>
                </w:rPr>
                <w:t>and between Sustainable Opportunities Acquisition Corp.,</w:t>
              </w:r>
            </w:hyperlink>
          </w:p>
        </w:tc>
        <w:tc>
          <w:tcPr>
            <w:tcW w:w="440" w:type="dxa"/>
            <w:vAlign w:val="bottom"/>
            <w:gridSpan w:val="7"/>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8"/>
          </w:tcPr>
          <w:p>
            <w:pPr>
              <w:jc w:val="center"/>
              <w:ind w:right="100"/>
              <w:spacing w:after="0" w:line="196" w:lineRule="exact"/>
              <w:rPr>
                <w:rFonts w:ascii="Arial" w:cs="Arial" w:eastAsia="Arial" w:hAnsi="Arial"/>
                <w:sz w:val="18"/>
                <w:szCs w:val="18"/>
                <w:color w:val="0000EE"/>
                <w:w w:val="93"/>
              </w:rPr>
            </w:pPr>
            <w:hyperlink r:id="rId82">
              <w:r>
                <w:rPr>
                  <w:rFonts w:ascii="Arial" w:cs="Arial" w:eastAsia="Arial" w:hAnsi="Arial"/>
                  <w:sz w:val="18"/>
                  <w:szCs w:val="18"/>
                  <w:color w:val="0000EE"/>
                  <w:w w:val="93"/>
                </w:rPr>
                <w:t>(Exhibit 10.5 -</w:t>
              </w:r>
            </w:hyperlink>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82">
              <w:r>
                <w:rPr>
                  <w:rFonts w:ascii="Arial" w:cs="Arial" w:eastAsia="Arial" w:hAnsi="Arial"/>
                  <w:sz w:val="18"/>
                  <w:szCs w:val="18"/>
                  <w:color w:val="0000EE"/>
                  <w:w w:val="89"/>
                </w:rPr>
                <w:t>Sustainable Opportunities Holdings LLC, the parties listed</w:t>
              </w:r>
            </w:hyperlink>
          </w:p>
        </w:tc>
        <w:tc>
          <w:tcPr>
            <w:tcW w:w="440" w:type="dxa"/>
            <w:vAlign w:val="bottom"/>
            <w:gridSpan w:val="7"/>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bottom w:val="single" w:sz="8" w:color="0000EE"/>
            </w:tcBorders>
          </w:tcPr>
          <w:p>
            <w:pPr>
              <w:jc w:val="center"/>
              <w:spacing w:after="0" w:line="196" w:lineRule="exact"/>
              <w:rPr>
                <w:rFonts w:ascii="Arial" w:cs="Arial" w:eastAsia="Arial" w:hAnsi="Arial"/>
                <w:sz w:val="18"/>
                <w:szCs w:val="18"/>
                <w:color w:val="0000EE"/>
                <w:w w:val="93"/>
              </w:rPr>
            </w:pPr>
            <w:hyperlink r:id="rId82">
              <w:r>
                <w:rPr>
                  <w:rFonts w:ascii="Arial" w:cs="Arial" w:eastAsia="Arial" w:hAnsi="Arial"/>
                  <w:sz w:val="18"/>
                  <w:szCs w:val="18"/>
                  <w:color w:val="0000EE"/>
                  <w:w w:val="93"/>
                </w:rPr>
                <w:t>Annex H)</w:t>
              </w:r>
            </w:hyperlink>
          </w:p>
        </w:tc>
        <w:tc>
          <w:tcPr>
            <w:tcW w:w="500" w:type="dxa"/>
            <w:vAlign w:val="bottom"/>
            <w:gridSpan w:val="5"/>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0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r:id="rId82">
              <w:r>
                <w:rPr>
                  <w:rFonts w:ascii="Arial" w:cs="Arial" w:eastAsia="Arial" w:hAnsi="Arial"/>
                  <w:sz w:val="18"/>
                  <w:szCs w:val="18"/>
                  <w:color w:val="0000EE"/>
                  <w:w w:val="88"/>
                </w:rPr>
                <w:t>under Sponsor Group Holders on the signature page(s) thereto</w:t>
              </w:r>
            </w:hyperlink>
          </w:p>
        </w:tc>
        <w:tc>
          <w:tcPr>
            <w:tcW w:w="12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20" w:type="dxa"/>
            <w:vAlign w:val="bottom"/>
            <w:gridSpan w:val="18"/>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and the parties listed under DeepGreen Holders on the</w:t>
              </w:r>
            </w:hyperlink>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82">
              <w:r>
                <w:rPr>
                  <w:rFonts w:ascii="Arial" w:cs="Arial" w:eastAsia="Arial" w:hAnsi="Arial"/>
                  <w:sz w:val="18"/>
                  <w:szCs w:val="18"/>
                  <w:color w:val="0000EE"/>
                  <w:w w:val="87"/>
                </w:rPr>
                <w:t>signature page(s) thereto</w:t>
              </w:r>
            </w:hyperlink>
          </w:p>
        </w:tc>
        <w:tc>
          <w:tcPr>
            <w:tcW w:w="2120" w:type="dxa"/>
            <w:vAlign w:val="bottom"/>
            <w:tcBorders>
              <w:top w:val="single" w:sz="8" w:color="0000EE"/>
            </w:tcBorders>
            <w:gridSpan w:val="7"/>
          </w:tcPr>
          <w:p>
            <w:pPr>
              <w:spacing w:after="0"/>
              <w:rPr>
                <w:sz w:val="17"/>
                <w:szCs w:val="17"/>
                <w:color w:val="auto"/>
              </w:rPr>
            </w:pPr>
          </w:p>
        </w:tc>
        <w:tc>
          <w:tcPr>
            <w:tcW w:w="720" w:type="dxa"/>
            <w:vAlign w:val="bottom"/>
            <w:gridSpan w:val="9"/>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83">
              <w:r>
                <w:rPr>
                  <w:rFonts w:ascii="Arial" w:cs="Arial" w:eastAsia="Arial" w:hAnsi="Arial"/>
                  <w:sz w:val="18"/>
                  <w:szCs w:val="18"/>
                  <w:color w:val="0000EE"/>
                  <w:w w:val="95"/>
                </w:rPr>
                <w:t>4.</w:t>
              </w:r>
              <w:r>
                <w:rPr>
                  <w:rFonts w:ascii="Arial" w:cs="Arial" w:eastAsia="Arial" w:hAnsi="Arial"/>
                  <w:sz w:val="18"/>
                  <w:szCs w:val="18"/>
                  <w:u w:val="single" w:color="auto"/>
                  <w:color w:val="0000EE"/>
                  <w:w w:val="95"/>
                </w:rPr>
                <w:t>7</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80" w:type="dxa"/>
            <w:vAlign w:val="bottom"/>
            <w:gridSpan w:val="12"/>
          </w:tcPr>
          <w:p>
            <w:pPr>
              <w:spacing w:after="0"/>
              <w:rPr>
                <w:rFonts w:ascii="Arial" w:cs="Arial" w:eastAsia="Arial" w:hAnsi="Arial"/>
                <w:sz w:val="18"/>
                <w:szCs w:val="18"/>
                <w:color w:val="0000EE"/>
                <w:w w:val="91"/>
              </w:rPr>
            </w:pPr>
            <w:hyperlink r:id="rId83">
              <w:r>
                <w:rPr>
                  <w:rFonts w:ascii="Arial" w:cs="Arial" w:eastAsia="Arial" w:hAnsi="Arial"/>
                  <w:sz w:val="18"/>
                  <w:szCs w:val="18"/>
                  <w:color w:val="0000EE"/>
                  <w:w w:val="91"/>
                </w:rPr>
                <w:t>Form of Subscription Agreement for institutional investors,</w:t>
              </w:r>
            </w:hyperlink>
          </w:p>
        </w:tc>
        <w:tc>
          <w:tcPr>
            <w:tcW w:w="340" w:type="dxa"/>
            <w:vAlign w:val="bottom"/>
            <w:gridSpan w:val="6"/>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3"/>
          </w:tcPr>
          <w:p>
            <w:pPr>
              <w:jc w:val="center"/>
              <w:spacing w:after="0"/>
              <w:rPr>
                <w:rFonts w:ascii="Arial" w:cs="Arial" w:eastAsia="Arial" w:hAnsi="Arial"/>
                <w:sz w:val="18"/>
                <w:szCs w:val="18"/>
                <w:color w:val="0000EE"/>
                <w:w w:val="95"/>
              </w:rPr>
            </w:pPr>
            <w:hyperlink r:id="rId83">
              <w:r>
                <w:rPr>
                  <w:rFonts w:ascii="Arial" w:cs="Arial" w:eastAsia="Arial" w:hAnsi="Arial"/>
                  <w:sz w:val="18"/>
                  <w:szCs w:val="18"/>
                  <w:color w:val="0000EE"/>
                  <w:w w:val="95"/>
                </w:rPr>
                <w:t>Form S-4/A</w:t>
              </w:r>
            </w:hyperlink>
          </w:p>
        </w:tc>
        <w:tc>
          <w:tcPr>
            <w:tcW w:w="400" w:type="dxa"/>
            <w:vAlign w:val="bottom"/>
            <w:gridSpan w:val="4"/>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jc w:val="center"/>
              <w:spacing w:after="0"/>
              <w:rPr>
                <w:rFonts w:ascii="Arial" w:cs="Arial" w:eastAsia="Arial" w:hAnsi="Arial"/>
                <w:sz w:val="18"/>
                <w:szCs w:val="18"/>
                <w:color w:val="0000EE"/>
                <w:w w:val="91"/>
              </w:rPr>
            </w:pPr>
            <w:hyperlink r:id="rId83">
              <w:r>
                <w:rPr>
                  <w:rFonts w:ascii="Arial" w:cs="Arial" w:eastAsia="Arial" w:hAnsi="Arial"/>
                  <w:sz w:val="18"/>
                  <w:szCs w:val="18"/>
                  <w:color w:val="0000EE"/>
                  <w:w w:val="91"/>
                </w:rPr>
                <w:t>8/5/2021</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3"/>
          </w:tcPr>
          <w:p>
            <w:pPr>
              <w:jc w:val="center"/>
              <w:spacing w:after="0"/>
              <w:rPr>
                <w:rFonts w:ascii="Arial" w:cs="Arial" w:eastAsia="Arial" w:hAnsi="Arial"/>
                <w:sz w:val="18"/>
                <w:szCs w:val="18"/>
                <w:color w:val="0000EE"/>
                <w:w w:val="89"/>
              </w:rPr>
            </w:pPr>
            <w:hyperlink r:id="rId83">
              <w:r>
                <w:rPr>
                  <w:rFonts w:ascii="Arial" w:cs="Arial" w:eastAsia="Arial" w:hAnsi="Arial"/>
                  <w:sz w:val="18"/>
                  <w:szCs w:val="18"/>
                  <w:color w:val="0000EE"/>
                  <w:w w:val="89"/>
                </w:rPr>
                <w:t>333-255118</w:t>
              </w:r>
            </w:hyperlink>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00" w:type="dxa"/>
            <w:vAlign w:val="bottom"/>
            <w:gridSpan w:val="7"/>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20" w:type="dxa"/>
            <w:vAlign w:val="bottom"/>
            <w:gridSpan w:val="18"/>
          </w:tcPr>
          <w:p>
            <w:pPr>
              <w:spacing w:after="0" w:line="196" w:lineRule="exact"/>
              <w:rPr>
                <w:rFonts w:ascii="Arial" w:cs="Arial" w:eastAsia="Arial" w:hAnsi="Arial"/>
                <w:sz w:val="18"/>
                <w:szCs w:val="18"/>
                <w:color w:val="0000EE"/>
                <w:w w:val="95"/>
              </w:rPr>
            </w:pPr>
            <w:hyperlink r:id="rId83">
              <w:r>
                <w:rPr>
                  <w:rFonts w:ascii="Arial" w:cs="Arial" w:eastAsia="Arial" w:hAnsi="Arial"/>
                  <w:sz w:val="18"/>
                  <w:szCs w:val="18"/>
                  <w:color w:val="0000EE"/>
                  <w:w w:val="95"/>
                </w:rPr>
                <w:t>by and between Sustainable Opportunities Acquisition Corp.</w:t>
              </w:r>
            </w:hyperlink>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7"/>
          </w:tcPr>
          <w:p>
            <w:pPr>
              <w:jc w:val="center"/>
              <w:ind w:right="340"/>
              <w:spacing w:after="0" w:line="196" w:lineRule="exact"/>
              <w:rPr>
                <w:rFonts w:ascii="Arial" w:cs="Arial" w:eastAsia="Arial" w:hAnsi="Arial"/>
                <w:sz w:val="18"/>
                <w:szCs w:val="18"/>
                <w:color w:val="0000EE"/>
                <w:w w:val="88"/>
              </w:rPr>
            </w:pPr>
            <w:hyperlink r:id="rId83">
              <w:r>
                <w:rPr>
                  <w:rFonts w:ascii="Arial" w:cs="Arial" w:eastAsia="Arial" w:hAnsi="Arial"/>
                  <w:sz w:val="18"/>
                  <w:szCs w:val="18"/>
                  <w:color w:val="0000EE"/>
                  <w:w w:val="88"/>
                </w:rPr>
                <w:t>(Exhibit 10.1)</w:t>
              </w:r>
            </w:hyperlink>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r:id="rId83">
              <w:r>
                <w:rPr>
                  <w:rFonts w:ascii="Arial" w:cs="Arial" w:eastAsia="Arial" w:hAnsi="Arial"/>
                  <w:sz w:val="18"/>
                  <w:szCs w:val="18"/>
                  <w:color w:val="0000EE"/>
                  <w:w w:val="87"/>
                </w:rPr>
                <w:t>and the subscriber parties thereto</w:t>
              </w:r>
            </w:hyperlink>
          </w:p>
        </w:tc>
        <w:tc>
          <w:tcPr>
            <w:tcW w:w="1980" w:type="dxa"/>
            <w:vAlign w:val="bottom"/>
            <w:tcBorders>
              <w:top w:val="single" w:sz="8" w:color="0000EE"/>
            </w:tcBorders>
            <w:gridSpan w:val="8"/>
          </w:tcPr>
          <w:p>
            <w:pPr>
              <w:spacing w:after="0"/>
              <w:rPr>
                <w:sz w:val="17"/>
                <w:szCs w:val="17"/>
                <w:color w:val="auto"/>
              </w:rPr>
            </w:pPr>
          </w:p>
        </w:tc>
        <w:tc>
          <w:tcPr>
            <w:tcW w:w="260" w:type="dxa"/>
            <w:vAlign w:val="bottom"/>
            <w:gridSpan w:val="5"/>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84">
              <w:r>
                <w:rPr>
                  <w:rFonts w:ascii="Arial" w:cs="Arial" w:eastAsia="Arial" w:hAnsi="Arial"/>
                  <w:sz w:val="18"/>
                  <w:szCs w:val="18"/>
                  <w:color w:val="0000EE"/>
                  <w:w w:val="95"/>
                </w:rPr>
                <w:t>4.</w:t>
              </w:r>
              <w:r>
                <w:rPr>
                  <w:rFonts w:ascii="Arial" w:cs="Arial" w:eastAsia="Arial" w:hAnsi="Arial"/>
                  <w:sz w:val="18"/>
                  <w:szCs w:val="18"/>
                  <w:u w:val="single" w:color="auto"/>
                  <w:color w:val="0000EE"/>
                  <w:w w:val="95"/>
                </w:rPr>
                <w:t>8</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18"/>
          </w:tcPr>
          <w:p>
            <w:pPr>
              <w:spacing w:after="0"/>
              <w:rPr>
                <w:rFonts w:ascii="Arial" w:cs="Arial" w:eastAsia="Arial" w:hAnsi="Arial"/>
                <w:sz w:val="18"/>
                <w:szCs w:val="18"/>
                <w:color w:val="0000EE"/>
                <w:w w:val="95"/>
              </w:rPr>
            </w:pPr>
            <w:hyperlink r:id="rId84">
              <w:r>
                <w:rPr>
                  <w:rFonts w:ascii="Arial" w:cs="Arial" w:eastAsia="Arial" w:hAnsi="Arial"/>
                  <w:sz w:val="18"/>
                  <w:szCs w:val="18"/>
                  <w:color w:val="0000EE"/>
                  <w:w w:val="95"/>
                </w:rPr>
                <w:t>Form of Subscription Agreement for accredited investors, by</w:t>
              </w:r>
            </w:hyperlink>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7"/>
          </w:tcPr>
          <w:p>
            <w:pPr>
              <w:jc w:val="center"/>
              <w:ind w:right="400"/>
              <w:spacing w:after="0"/>
              <w:rPr>
                <w:rFonts w:ascii="Arial" w:cs="Arial" w:eastAsia="Arial" w:hAnsi="Arial"/>
                <w:sz w:val="18"/>
                <w:szCs w:val="18"/>
                <w:color w:val="0000EE"/>
                <w:w w:val="95"/>
              </w:rPr>
            </w:pPr>
            <w:hyperlink r:id="rId84">
              <w:r>
                <w:rPr>
                  <w:rFonts w:ascii="Arial" w:cs="Arial" w:eastAsia="Arial" w:hAnsi="Arial"/>
                  <w:sz w:val="18"/>
                  <w:szCs w:val="18"/>
                  <w:color w:val="0000EE"/>
                  <w:w w:val="95"/>
                </w:rPr>
                <w:t>Form S-4/A</w:t>
              </w:r>
            </w:hyperlink>
          </w:p>
        </w:tc>
        <w:tc>
          <w:tcPr>
            <w:tcW w:w="1040" w:type="dxa"/>
            <w:vAlign w:val="bottom"/>
            <w:gridSpan w:val="2"/>
          </w:tcPr>
          <w:p>
            <w:pPr>
              <w:jc w:val="center"/>
              <w:ind w:left="310"/>
              <w:spacing w:after="0"/>
              <w:rPr>
                <w:rFonts w:ascii="Arial" w:cs="Arial" w:eastAsia="Arial" w:hAnsi="Arial"/>
                <w:sz w:val="18"/>
                <w:szCs w:val="18"/>
                <w:color w:val="0000EE"/>
                <w:w w:val="91"/>
              </w:rPr>
            </w:pPr>
            <w:hyperlink r:id="rId84">
              <w:r>
                <w:rPr>
                  <w:rFonts w:ascii="Arial" w:cs="Arial" w:eastAsia="Arial" w:hAnsi="Arial"/>
                  <w:sz w:val="18"/>
                  <w:szCs w:val="18"/>
                  <w:color w:val="0000EE"/>
                  <w:w w:val="91"/>
                </w:rPr>
                <w:t>8/5/2021</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3"/>
          </w:tcPr>
          <w:p>
            <w:pPr>
              <w:jc w:val="center"/>
              <w:spacing w:after="0"/>
              <w:rPr>
                <w:rFonts w:ascii="Arial" w:cs="Arial" w:eastAsia="Arial" w:hAnsi="Arial"/>
                <w:sz w:val="18"/>
                <w:szCs w:val="18"/>
                <w:color w:val="0000EE"/>
                <w:w w:val="89"/>
              </w:rPr>
            </w:pPr>
            <w:hyperlink r:id="rId84">
              <w:r>
                <w:rPr>
                  <w:rFonts w:ascii="Arial" w:cs="Arial" w:eastAsia="Arial" w:hAnsi="Arial"/>
                  <w:sz w:val="18"/>
                  <w:szCs w:val="18"/>
                  <w:color w:val="0000EE"/>
                  <w:w w:val="89"/>
                </w:rPr>
                <w:t>333-255118</w:t>
              </w:r>
            </w:hyperlink>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2320" w:type="dxa"/>
            <w:vAlign w:val="bottom"/>
            <w:gridSpan w:val="10"/>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20" w:type="dxa"/>
            <w:vAlign w:val="bottom"/>
            <w:gridSpan w:val="18"/>
          </w:tcPr>
          <w:p>
            <w:pPr>
              <w:spacing w:after="0" w:line="196" w:lineRule="exact"/>
              <w:rPr>
                <w:rFonts w:ascii="Arial" w:cs="Arial" w:eastAsia="Arial" w:hAnsi="Arial"/>
                <w:sz w:val="18"/>
                <w:szCs w:val="18"/>
                <w:color w:val="0000EE"/>
                <w:w w:val="93"/>
              </w:rPr>
            </w:pPr>
            <w:hyperlink r:id="rId84">
              <w:r>
                <w:rPr>
                  <w:rFonts w:ascii="Arial" w:cs="Arial" w:eastAsia="Arial" w:hAnsi="Arial"/>
                  <w:sz w:val="18"/>
                  <w:szCs w:val="18"/>
                  <w:color w:val="0000EE"/>
                  <w:w w:val="93"/>
                </w:rPr>
                <w:t>and between Sustainable Opportunities Acquisition Corp. and</w:t>
              </w:r>
            </w:hyperlink>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7"/>
          </w:tcPr>
          <w:p>
            <w:pPr>
              <w:jc w:val="center"/>
              <w:ind w:right="340"/>
              <w:spacing w:after="0" w:line="196" w:lineRule="exact"/>
              <w:rPr>
                <w:rFonts w:ascii="Arial" w:cs="Arial" w:eastAsia="Arial" w:hAnsi="Arial"/>
                <w:sz w:val="18"/>
                <w:szCs w:val="18"/>
                <w:color w:val="0000EE"/>
                <w:w w:val="88"/>
              </w:rPr>
            </w:pPr>
            <w:hyperlink r:id="rId84">
              <w:r>
                <w:rPr>
                  <w:rFonts w:ascii="Arial" w:cs="Arial" w:eastAsia="Arial" w:hAnsi="Arial"/>
                  <w:sz w:val="18"/>
                  <w:szCs w:val="18"/>
                  <w:color w:val="0000EE"/>
                  <w:w w:val="88"/>
                </w:rPr>
                <w:t>(Exhibit 10.2)</w:t>
              </w:r>
            </w:hyperlink>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the subscriber parties thereto</w:t>
              </w:r>
            </w:hyperlink>
          </w:p>
        </w:tc>
        <w:tc>
          <w:tcPr>
            <w:tcW w:w="18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91"/>
              </w:rPr>
              <w:t>Incorporated by</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89"/>
              </w:rPr>
              <w:t>Reference Herein</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10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3"/>
              </w:rPr>
              <w:t>Exhibit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5"/>
              </w:rPr>
              <w:t>Filed</w:t>
            </w:r>
          </w:p>
        </w:tc>
        <w:tc>
          <w:tcPr>
            <w:tcW w:w="140" w:type="dxa"/>
            <w:vAlign w:val="bottom"/>
          </w:tcPr>
          <w:p>
            <w:pPr>
              <w:spacing w:after="0"/>
              <w:rPr>
                <w:sz w:val="18"/>
                <w:szCs w:val="18"/>
                <w:color w:val="auto"/>
              </w:rPr>
            </w:pPr>
          </w:p>
        </w:tc>
        <w:tc>
          <w:tcPr>
            <w:tcW w:w="144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w w:val="95"/>
              </w:rPr>
              <w:t>from Form or</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SEC File/Reg.</w:t>
            </w:r>
          </w:p>
        </w:tc>
      </w:tr>
      <w:tr>
        <w:trPr>
          <w:trHeight w:val="234"/>
        </w:trPr>
        <w:tc>
          <w:tcPr>
            <w:tcW w:w="10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80" w:type="dxa"/>
            <w:vAlign w:val="bottom"/>
            <w:gridSpan w:val="21"/>
          </w:tcPr>
          <w:p>
            <w:pPr>
              <w:ind w:left="340"/>
              <w:spacing w:after="0"/>
              <w:rPr>
                <w:sz w:val="20"/>
                <w:szCs w:val="20"/>
                <w:color w:val="auto"/>
              </w:rPr>
            </w:pPr>
            <w:r>
              <w:rPr>
                <w:rFonts w:ascii="Arial" w:cs="Arial" w:eastAsia="Arial" w:hAnsi="Arial"/>
                <w:sz w:val="18"/>
                <w:szCs w:val="18"/>
                <w:b w:val="1"/>
                <w:bCs w:val="1"/>
                <w:color w:val="auto"/>
              </w:rPr>
              <w:t>Exhibit Description</w:t>
            </w:r>
          </w:p>
        </w:tc>
        <w:tc>
          <w:tcPr>
            <w:tcW w:w="9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4"/>
              </w:rPr>
              <w:t>Herewith</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84"/>
              </w:rPr>
              <w:t>Schedule</w:t>
            </w:r>
          </w:p>
        </w:tc>
        <w:tc>
          <w:tcPr>
            <w:tcW w:w="1560" w:type="dxa"/>
            <w:vAlign w:val="bottom"/>
            <w:gridSpan w:val="5"/>
          </w:tcPr>
          <w:p>
            <w:pPr>
              <w:ind w:left="300"/>
              <w:spacing w:after="0"/>
              <w:rPr>
                <w:sz w:val="20"/>
                <w:szCs w:val="20"/>
                <w:color w:val="auto"/>
              </w:rPr>
            </w:pPr>
            <w:r>
              <w:rPr>
                <w:rFonts w:ascii="Arial" w:cs="Arial" w:eastAsia="Arial" w:hAnsi="Arial"/>
                <w:sz w:val="18"/>
                <w:szCs w:val="18"/>
                <w:b w:val="1"/>
                <w:bCs w:val="1"/>
                <w:color w:val="auto"/>
              </w:rPr>
              <w:t>Filing Date</w:t>
            </w:r>
          </w:p>
        </w:tc>
        <w:tc>
          <w:tcPr>
            <w:tcW w:w="30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Number</w:t>
            </w:r>
          </w:p>
        </w:tc>
      </w:tr>
      <w:tr>
        <w:trPr>
          <w:trHeight w:val="169"/>
        </w:trPr>
        <w:tc>
          <w:tcPr>
            <w:tcW w:w="3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0000EE"/>
                <w:w w:val="95"/>
              </w:rPr>
              <w:t>5.</w:t>
            </w:r>
            <w:r>
              <w:rPr>
                <w:rFonts w:ascii="Arial" w:cs="Arial" w:eastAsia="Arial" w:hAnsi="Arial"/>
                <w:sz w:val="18"/>
                <w:szCs w:val="18"/>
                <w:u w:val="single" w:color="auto"/>
                <w:color w:val="0000EE"/>
                <w:w w:val="95"/>
              </w:rPr>
              <w:t>1</w:t>
            </w:r>
          </w:p>
        </w:tc>
        <w:tc>
          <w:tcPr>
            <w:tcW w:w="3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80" w:type="dxa"/>
            <w:vAlign w:val="bottom"/>
            <w:tcBorders>
              <w:top w:val="single" w:sz="8" w:color="auto"/>
            </w:tcBorders>
            <w:gridSpan w:val="11"/>
          </w:tcPr>
          <w:p>
            <w:pPr>
              <w:spacing w:after="0" w:line="169" w:lineRule="exact"/>
              <w:rPr>
                <w:sz w:val="20"/>
                <w:szCs w:val="20"/>
                <w:color w:val="auto"/>
              </w:rPr>
            </w:pPr>
            <w:r>
              <w:rPr>
                <w:rFonts w:ascii="Arial" w:cs="Arial" w:eastAsia="Arial" w:hAnsi="Arial"/>
                <w:sz w:val="18"/>
                <w:szCs w:val="18"/>
                <w:color w:val="0000EE"/>
                <w:w w:val="93"/>
              </w:rPr>
              <w:t>Opinion of Fasken Martineau DuMoulin LLP</w:t>
            </w:r>
          </w:p>
        </w:tc>
        <w:tc>
          <w:tcPr>
            <w:tcW w:w="1200" w:type="dxa"/>
            <w:vAlign w:val="bottom"/>
            <w:tcBorders>
              <w:top w:val="single" w:sz="8" w:color="auto"/>
            </w:tcBorders>
            <w:gridSpan w:val="13"/>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gridSpan w:val="2"/>
          </w:tcPr>
          <w:p>
            <w:pPr>
              <w:jc w:val="center"/>
              <w:ind w:right="380"/>
              <w:spacing w:after="0" w:line="169" w:lineRule="exact"/>
              <w:rPr>
                <w:sz w:val="20"/>
                <w:szCs w:val="20"/>
                <w:color w:val="auto"/>
              </w:rPr>
            </w:pPr>
            <w:r>
              <w:rPr>
                <w:rFonts w:ascii="Arial" w:cs="Arial" w:eastAsia="Arial" w:hAnsi="Arial"/>
                <w:sz w:val="18"/>
                <w:szCs w:val="18"/>
                <w:color w:val="0000EE"/>
                <w:w w:val="99"/>
              </w:rPr>
              <w:t>X</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Arial" w:cs="Arial" w:eastAsia="Arial" w:hAnsi="Arial"/>
                <w:sz w:val="18"/>
                <w:szCs w:val="18"/>
                <w:color w:val="0000EE"/>
                <w:w w:val="95"/>
              </w:rPr>
              <w:t>5.</w:t>
            </w:r>
            <w:r>
              <w:rPr>
                <w:rFonts w:ascii="Arial" w:cs="Arial" w:eastAsia="Arial" w:hAnsi="Arial"/>
                <w:sz w:val="18"/>
                <w:szCs w:val="18"/>
                <w:u w:val="single" w:color="auto"/>
                <w:color w:val="0000EE"/>
                <w:w w:val="95"/>
              </w:rPr>
              <w:t>2</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00" w:type="dxa"/>
            <w:vAlign w:val="bottom"/>
            <w:gridSpan w:val="20"/>
          </w:tcPr>
          <w:p>
            <w:pPr>
              <w:spacing w:after="0"/>
              <w:rPr>
                <w:sz w:val="20"/>
                <w:szCs w:val="20"/>
                <w:color w:val="auto"/>
              </w:rPr>
            </w:pPr>
            <w:r>
              <w:rPr>
                <w:rFonts w:ascii="Arial" w:cs="Arial" w:eastAsia="Arial" w:hAnsi="Arial"/>
                <w:sz w:val="18"/>
                <w:szCs w:val="18"/>
                <w:color w:val="0000EE"/>
                <w:w w:val="91"/>
              </w:rPr>
              <w:t>Opinion of Mintz, Levin, Cohn, Ferris, Glovsky and Popeo,</w:t>
            </w:r>
          </w:p>
        </w:tc>
        <w:tc>
          <w:tcPr>
            <w:tcW w:w="320" w:type="dxa"/>
            <w:vAlign w:val="bottom"/>
            <w:gridSpan w:val="5"/>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gridSpan w:val="3"/>
          </w:tcPr>
          <w:p>
            <w:pPr>
              <w:jc w:val="center"/>
              <w:ind w:right="480"/>
              <w:spacing w:after="0"/>
              <w:rPr>
                <w:sz w:val="20"/>
                <w:szCs w:val="20"/>
                <w:color w:val="auto"/>
              </w:rPr>
            </w:pPr>
            <w:r>
              <w:rPr>
                <w:rFonts w:ascii="Arial" w:cs="Arial" w:eastAsia="Arial" w:hAnsi="Arial"/>
                <w:sz w:val="18"/>
                <w:szCs w:val="18"/>
                <w:color w:val="0000EE"/>
                <w:w w:val="99"/>
              </w:rPr>
              <w:t>X</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00" w:type="dxa"/>
            <w:vAlign w:val="bottom"/>
            <w:tcBorders>
              <w:top w:val="single" w:sz="8" w:color="0000EE"/>
            </w:tcBorders>
            <w:gridSpan w:val="20"/>
          </w:tcPr>
          <w:p>
            <w:pPr>
              <w:spacing w:after="0" w:line="196" w:lineRule="exact"/>
              <w:rPr>
                <w:sz w:val="20"/>
                <w:szCs w:val="20"/>
                <w:color w:val="auto"/>
              </w:rPr>
            </w:pPr>
            <w:r>
              <w:rPr>
                <w:rFonts w:ascii="Arial" w:cs="Arial" w:eastAsia="Arial" w:hAnsi="Arial"/>
                <w:sz w:val="18"/>
                <w:szCs w:val="18"/>
                <w:color w:val="0000EE"/>
              </w:rPr>
              <w:t>P.C.</w:t>
            </w:r>
          </w:p>
        </w:tc>
        <w:tc>
          <w:tcPr>
            <w:tcW w:w="320" w:type="dxa"/>
            <w:vAlign w:val="bottom"/>
            <w:gridSpan w:val="5"/>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1</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25"/>
          </w:tcPr>
          <w:p>
            <w:pPr>
              <w:spacing w:after="0"/>
              <w:rPr>
                <w:sz w:val="20"/>
                <w:szCs w:val="20"/>
                <w:color w:val="auto"/>
              </w:rPr>
            </w:pPr>
            <w:r>
              <w:rPr>
                <w:rFonts w:ascii="Arial" w:cs="Arial" w:eastAsia="Arial" w:hAnsi="Arial"/>
                <w:sz w:val="18"/>
                <w:szCs w:val="18"/>
                <w:color w:val="0000EE"/>
                <w:w w:val="93"/>
              </w:rPr>
              <w:t>Consent of Ernst &amp; Young LLP, independent registered public</w:t>
            </w:r>
          </w:p>
        </w:tc>
        <w:tc>
          <w:tcPr>
            <w:tcW w:w="380" w:type="dxa"/>
            <w:vAlign w:val="bottom"/>
          </w:tcPr>
          <w:p>
            <w:pPr>
              <w:spacing w:after="0"/>
              <w:rPr>
                <w:sz w:val="24"/>
                <w:szCs w:val="24"/>
                <w:color w:val="auto"/>
              </w:rPr>
            </w:pPr>
          </w:p>
        </w:tc>
        <w:tc>
          <w:tcPr>
            <w:tcW w:w="600" w:type="dxa"/>
            <w:vAlign w:val="bottom"/>
            <w:gridSpan w:val="3"/>
          </w:tcPr>
          <w:p>
            <w:pPr>
              <w:jc w:val="center"/>
              <w:ind w:right="480"/>
              <w:spacing w:after="0"/>
              <w:rPr>
                <w:sz w:val="20"/>
                <w:szCs w:val="20"/>
                <w:color w:val="auto"/>
              </w:rPr>
            </w:pPr>
            <w:r>
              <w:rPr>
                <w:rFonts w:ascii="Arial" w:cs="Arial" w:eastAsia="Arial" w:hAnsi="Arial"/>
                <w:sz w:val="18"/>
                <w:szCs w:val="18"/>
                <w:color w:val="0000EE"/>
                <w:w w:val="99"/>
              </w:rPr>
              <w:t>X</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accounting firm</w:t>
            </w:r>
          </w:p>
        </w:tc>
        <w:tc>
          <w:tcPr>
            <w:tcW w:w="3320" w:type="dxa"/>
            <w:vAlign w:val="bottom"/>
            <w:tcBorders>
              <w:top w:val="single" w:sz="8" w:color="0000EE"/>
            </w:tcBorders>
            <w:gridSpan w:val="19"/>
          </w:tcPr>
          <w:p>
            <w:pPr>
              <w:spacing w:after="0"/>
              <w:rPr>
                <w:sz w:val="17"/>
                <w:szCs w:val="17"/>
                <w:color w:val="auto"/>
              </w:rPr>
            </w:pPr>
          </w:p>
        </w:tc>
        <w:tc>
          <w:tcPr>
            <w:tcW w:w="16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2</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25"/>
          </w:tcPr>
          <w:p>
            <w:pPr>
              <w:spacing w:after="0"/>
              <w:rPr>
                <w:sz w:val="20"/>
                <w:szCs w:val="20"/>
                <w:color w:val="auto"/>
              </w:rPr>
            </w:pPr>
            <w:r>
              <w:rPr>
                <w:rFonts w:ascii="Arial" w:cs="Arial" w:eastAsia="Arial" w:hAnsi="Arial"/>
                <w:sz w:val="18"/>
                <w:szCs w:val="18"/>
                <w:color w:val="0000EE"/>
              </w:rPr>
              <w:t>Consent of Fasken Martineau DuMoulin LLP (included in</w:t>
            </w:r>
          </w:p>
        </w:tc>
        <w:tc>
          <w:tcPr>
            <w:tcW w:w="380" w:type="dxa"/>
            <w:vAlign w:val="bottom"/>
          </w:tcPr>
          <w:p>
            <w:pPr>
              <w:spacing w:after="0"/>
              <w:rPr>
                <w:sz w:val="24"/>
                <w:szCs w:val="24"/>
                <w:color w:val="auto"/>
              </w:rPr>
            </w:pPr>
          </w:p>
        </w:tc>
        <w:tc>
          <w:tcPr>
            <w:tcW w:w="600" w:type="dxa"/>
            <w:vAlign w:val="bottom"/>
            <w:gridSpan w:val="3"/>
          </w:tcPr>
          <w:p>
            <w:pPr>
              <w:jc w:val="center"/>
              <w:ind w:right="480"/>
              <w:spacing w:after="0"/>
              <w:rPr>
                <w:sz w:val="20"/>
                <w:szCs w:val="20"/>
                <w:color w:val="auto"/>
              </w:rPr>
            </w:pPr>
            <w:r>
              <w:rPr>
                <w:rFonts w:ascii="Arial" w:cs="Arial" w:eastAsia="Arial" w:hAnsi="Arial"/>
                <w:sz w:val="18"/>
                <w:szCs w:val="18"/>
                <w:color w:val="0000EE"/>
                <w:w w:val="99"/>
              </w:rPr>
              <w:t>X</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3"/>
              </w:rPr>
              <w:t>Exhibit 5.1)</w:t>
            </w:r>
          </w:p>
        </w:tc>
        <w:tc>
          <w:tcPr>
            <w:tcW w:w="3320" w:type="dxa"/>
            <w:vAlign w:val="bottom"/>
            <w:tcBorders>
              <w:top w:val="single" w:sz="8" w:color="0000EE"/>
            </w:tcBorders>
            <w:gridSpan w:val="15"/>
          </w:tcPr>
          <w:p>
            <w:pPr>
              <w:spacing w:after="0"/>
              <w:rPr>
                <w:sz w:val="17"/>
                <w:szCs w:val="17"/>
                <w:color w:val="auto"/>
              </w:rPr>
            </w:pPr>
          </w:p>
        </w:tc>
        <w:tc>
          <w:tcPr>
            <w:tcW w:w="440" w:type="dxa"/>
            <w:vAlign w:val="bottom"/>
            <w:gridSpan w:val="7"/>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3</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00" w:type="dxa"/>
            <w:vAlign w:val="bottom"/>
            <w:gridSpan w:val="20"/>
          </w:tcPr>
          <w:p>
            <w:pPr>
              <w:spacing w:after="0"/>
              <w:rPr>
                <w:sz w:val="20"/>
                <w:szCs w:val="20"/>
                <w:color w:val="auto"/>
              </w:rPr>
            </w:pPr>
            <w:r>
              <w:rPr>
                <w:rFonts w:ascii="Arial" w:cs="Arial" w:eastAsia="Arial" w:hAnsi="Arial"/>
                <w:sz w:val="18"/>
                <w:szCs w:val="18"/>
                <w:color w:val="0000EE"/>
                <w:w w:val="90"/>
              </w:rPr>
              <w:t>Consent of Mintz, Levin, Cohn, Ferris, Glovsky and Popeo,</w:t>
            </w:r>
          </w:p>
        </w:tc>
        <w:tc>
          <w:tcPr>
            <w:tcW w:w="320" w:type="dxa"/>
            <w:vAlign w:val="bottom"/>
            <w:gridSpan w:val="5"/>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gridSpan w:val="3"/>
          </w:tcPr>
          <w:p>
            <w:pPr>
              <w:jc w:val="center"/>
              <w:ind w:right="480"/>
              <w:spacing w:after="0"/>
              <w:rPr>
                <w:sz w:val="20"/>
                <w:szCs w:val="20"/>
                <w:color w:val="auto"/>
              </w:rPr>
            </w:pPr>
            <w:r>
              <w:rPr>
                <w:rFonts w:ascii="Arial" w:cs="Arial" w:eastAsia="Arial" w:hAnsi="Arial"/>
                <w:sz w:val="18"/>
                <w:szCs w:val="18"/>
                <w:color w:val="0000EE"/>
                <w:w w:val="99"/>
              </w:rPr>
              <w:t>X</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1"/>
              </w:rPr>
              <w:t>P.C. (included in Exhibit 5.2)</w:t>
            </w:r>
          </w:p>
        </w:tc>
        <w:tc>
          <w:tcPr>
            <w:tcW w:w="2200" w:type="dxa"/>
            <w:vAlign w:val="bottom"/>
            <w:tcBorders>
              <w:top w:val="single" w:sz="8" w:color="0000EE"/>
            </w:tcBorders>
            <w:gridSpan w:val="15"/>
          </w:tcPr>
          <w:p>
            <w:pPr>
              <w:spacing w:after="0"/>
              <w:rPr>
                <w:sz w:val="17"/>
                <w:szCs w:val="17"/>
                <w:color w:val="auto"/>
              </w:rPr>
            </w:pPr>
          </w:p>
        </w:tc>
        <w:tc>
          <w:tcPr>
            <w:tcW w:w="320" w:type="dxa"/>
            <w:vAlign w:val="bottom"/>
            <w:gridSpan w:val="5"/>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4</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gridSpan w:val="9"/>
          </w:tcPr>
          <w:p>
            <w:pPr>
              <w:spacing w:after="0"/>
              <w:rPr>
                <w:sz w:val="20"/>
                <w:szCs w:val="20"/>
                <w:color w:val="auto"/>
              </w:rPr>
            </w:pPr>
            <w:r>
              <w:rPr>
                <w:rFonts w:ascii="Arial" w:cs="Arial" w:eastAsia="Arial" w:hAnsi="Arial"/>
                <w:sz w:val="18"/>
                <w:szCs w:val="18"/>
                <w:color w:val="0000EE"/>
                <w:w w:val="91"/>
              </w:rPr>
              <w:t>Consent of AMC Consultants Pty Ltd.</w:t>
            </w:r>
          </w:p>
        </w:tc>
        <w:tc>
          <w:tcPr>
            <w:tcW w:w="1860" w:type="dxa"/>
            <w:vAlign w:val="bottom"/>
            <w:gridSpan w:val="16"/>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gridSpan w:val="3"/>
          </w:tcPr>
          <w:p>
            <w:pPr>
              <w:jc w:val="center"/>
              <w:ind w:right="440"/>
              <w:spacing w:after="0"/>
              <w:rPr>
                <w:sz w:val="20"/>
                <w:szCs w:val="20"/>
                <w:color w:val="auto"/>
              </w:rPr>
            </w:pPr>
            <w:r>
              <w:rPr>
                <w:rFonts w:ascii="Arial" w:cs="Arial" w:eastAsia="Arial" w:hAnsi="Arial"/>
                <w:sz w:val="18"/>
                <w:szCs w:val="18"/>
                <w:color w:val="0000EE"/>
                <w:w w:val="99"/>
              </w:rPr>
              <w:t>X</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5</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gridSpan w:val="9"/>
          </w:tcPr>
          <w:p>
            <w:pPr>
              <w:spacing w:after="0"/>
              <w:rPr>
                <w:sz w:val="20"/>
                <w:szCs w:val="20"/>
                <w:color w:val="auto"/>
              </w:rPr>
            </w:pPr>
            <w:r>
              <w:rPr>
                <w:rFonts w:ascii="Arial" w:cs="Arial" w:eastAsia="Arial" w:hAnsi="Arial"/>
                <w:sz w:val="18"/>
                <w:szCs w:val="18"/>
                <w:color w:val="0000EE"/>
                <w:w w:val="91"/>
              </w:rPr>
              <w:t>Consent of AMC Consultants Pty Ltd.</w:t>
            </w:r>
          </w:p>
        </w:tc>
        <w:tc>
          <w:tcPr>
            <w:tcW w:w="1860" w:type="dxa"/>
            <w:vAlign w:val="bottom"/>
            <w:gridSpan w:val="16"/>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gridSpan w:val="3"/>
          </w:tcPr>
          <w:p>
            <w:pPr>
              <w:jc w:val="center"/>
              <w:ind w:right="440"/>
              <w:spacing w:after="0"/>
              <w:rPr>
                <w:sz w:val="20"/>
                <w:szCs w:val="20"/>
                <w:color w:val="auto"/>
              </w:rPr>
            </w:pPr>
            <w:r>
              <w:rPr>
                <w:rFonts w:ascii="Arial" w:cs="Arial" w:eastAsia="Arial" w:hAnsi="Arial"/>
                <w:sz w:val="18"/>
                <w:szCs w:val="18"/>
                <w:color w:val="0000EE"/>
                <w:w w:val="99"/>
              </w:rPr>
              <w:t>X</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6</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25"/>
          </w:tcPr>
          <w:p>
            <w:pPr>
              <w:spacing w:after="0"/>
              <w:rPr>
                <w:sz w:val="20"/>
                <w:szCs w:val="20"/>
                <w:color w:val="auto"/>
              </w:rPr>
            </w:pPr>
            <w:r>
              <w:rPr>
                <w:rFonts w:ascii="Arial" w:cs="Arial" w:eastAsia="Arial" w:hAnsi="Arial"/>
                <w:sz w:val="18"/>
                <w:szCs w:val="18"/>
                <w:color w:val="0000EE"/>
              </w:rPr>
              <w:t>Consent of Canadian Engineering Associates Ltd.</w:t>
            </w:r>
          </w:p>
        </w:tc>
        <w:tc>
          <w:tcPr>
            <w:tcW w:w="380" w:type="dxa"/>
            <w:vAlign w:val="bottom"/>
          </w:tcPr>
          <w:p>
            <w:pPr>
              <w:spacing w:after="0"/>
              <w:rPr>
                <w:sz w:val="24"/>
                <w:szCs w:val="24"/>
                <w:color w:val="auto"/>
              </w:rPr>
            </w:pPr>
          </w:p>
        </w:tc>
        <w:tc>
          <w:tcPr>
            <w:tcW w:w="600" w:type="dxa"/>
            <w:vAlign w:val="bottom"/>
            <w:gridSpan w:val="3"/>
          </w:tcPr>
          <w:p>
            <w:pPr>
              <w:jc w:val="center"/>
              <w:ind w:right="440"/>
              <w:spacing w:after="0"/>
              <w:rPr>
                <w:sz w:val="20"/>
                <w:szCs w:val="20"/>
                <w:color w:val="auto"/>
              </w:rPr>
            </w:pPr>
            <w:r>
              <w:rPr>
                <w:rFonts w:ascii="Arial" w:cs="Arial" w:eastAsia="Arial" w:hAnsi="Arial"/>
                <w:sz w:val="18"/>
                <w:szCs w:val="18"/>
                <w:color w:val="0000EE"/>
                <w:w w:val="99"/>
              </w:rPr>
              <w:t>X</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7</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gridSpan w:val="13"/>
          </w:tcPr>
          <w:p>
            <w:pPr>
              <w:spacing w:after="0"/>
              <w:rPr>
                <w:sz w:val="20"/>
                <w:szCs w:val="20"/>
                <w:color w:val="auto"/>
              </w:rPr>
            </w:pPr>
            <w:r>
              <w:rPr>
                <w:rFonts w:ascii="Arial" w:cs="Arial" w:eastAsia="Arial" w:hAnsi="Arial"/>
                <w:sz w:val="18"/>
                <w:szCs w:val="18"/>
                <w:color w:val="0000EE"/>
              </w:rPr>
              <w:t>Consent of Deep Reach Technology Inc.</w:t>
            </w:r>
          </w:p>
        </w:tc>
        <w:tc>
          <w:tcPr>
            <w:tcW w:w="1040" w:type="dxa"/>
            <w:vAlign w:val="bottom"/>
            <w:gridSpan w:val="12"/>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gridSpan w:val="3"/>
          </w:tcPr>
          <w:p>
            <w:pPr>
              <w:jc w:val="center"/>
              <w:ind w:right="440"/>
              <w:spacing w:after="0"/>
              <w:rPr>
                <w:sz w:val="20"/>
                <w:szCs w:val="20"/>
                <w:color w:val="auto"/>
              </w:rPr>
            </w:pPr>
            <w:r>
              <w:rPr>
                <w:rFonts w:ascii="Arial" w:cs="Arial" w:eastAsia="Arial" w:hAnsi="Arial"/>
                <w:sz w:val="18"/>
                <w:szCs w:val="18"/>
                <w:color w:val="0000EE"/>
                <w:w w:val="99"/>
              </w:rPr>
              <w:t>X</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8</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gridSpan w:val="14"/>
          </w:tcPr>
          <w:p>
            <w:pPr>
              <w:spacing w:after="0"/>
              <w:rPr>
                <w:sz w:val="20"/>
                <w:szCs w:val="20"/>
                <w:color w:val="auto"/>
              </w:rPr>
            </w:pPr>
            <w:r>
              <w:rPr>
                <w:rFonts w:ascii="Arial" w:cs="Arial" w:eastAsia="Arial" w:hAnsi="Arial"/>
                <w:sz w:val="18"/>
                <w:szCs w:val="18"/>
                <w:color w:val="0000EE"/>
                <w:w w:val="90"/>
              </w:rPr>
              <w:t>Consent of Margin — Marine Geoscience Innovation</w:t>
            </w:r>
          </w:p>
        </w:tc>
        <w:tc>
          <w:tcPr>
            <w:tcW w:w="780" w:type="dxa"/>
            <w:vAlign w:val="bottom"/>
            <w:gridSpan w:val="11"/>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gridSpan w:val="3"/>
          </w:tcPr>
          <w:p>
            <w:pPr>
              <w:jc w:val="center"/>
              <w:ind w:right="440"/>
              <w:spacing w:after="0"/>
              <w:rPr>
                <w:sz w:val="20"/>
                <w:szCs w:val="20"/>
                <w:color w:val="auto"/>
              </w:rPr>
            </w:pPr>
            <w:r>
              <w:rPr>
                <w:rFonts w:ascii="Arial" w:cs="Arial" w:eastAsia="Arial" w:hAnsi="Arial"/>
                <w:sz w:val="18"/>
                <w:szCs w:val="18"/>
                <w:color w:val="0000EE"/>
                <w:w w:val="99"/>
              </w:rPr>
              <w:t>X</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9</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gridSpan w:val="14"/>
          </w:tcPr>
          <w:p>
            <w:pPr>
              <w:spacing w:after="0"/>
              <w:rPr>
                <w:sz w:val="20"/>
                <w:szCs w:val="20"/>
                <w:color w:val="auto"/>
              </w:rPr>
            </w:pPr>
            <w:r>
              <w:rPr>
                <w:rFonts w:ascii="Arial" w:cs="Arial" w:eastAsia="Arial" w:hAnsi="Arial"/>
                <w:sz w:val="18"/>
                <w:szCs w:val="18"/>
                <w:color w:val="0000EE"/>
              </w:rPr>
              <w:t>Consent of John Michael Parianos</w:t>
            </w:r>
          </w:p>
        </w:tc>
        <w:tc>
          <w:tcPr>
            <w:tcW w:w="780" w:type="dxa"/>
            <w:vAlign w:val="bottom"/>
            <w:gridSpan w:val="11"/>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gridSpan w:val="3"/>
          </w:tcPr>
          <w:p>
            <w:pPr>
              <w:jc w:val="center"/>
              <w:ind w:right="440"/>
              <w:spacing w:after="0"/>
              <w:rPr>
                <w:sz w:val="20"/>
                <w:szCs w:val="20"/>
                <w:color w:val="auto"/>
              </w:rPr>
            </w:pPr>
            <w:r>
              <w:rPr>
                <w:rFonts w:ascii="Arial" w:cs="Arial" w:eastAsia="Arial" w:hAnsi="Arial"/>
                <w:sz w:val="18"/>
                <w:szCs w:val="18"/>
                <w:color w:val="0000EE"/>
                <w:w w:val="99"/>
              </w:rPr>
              <w:t>X</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79"/>
              </w:rPr>
            </w:pPr>
            <w:hyperlink r:id="rId86">
              <w:r>
                <w:rPr>
                  <w:rFonts w:ascii="Arial" w:cs="Arial" w:eastAsia="Arial" w:hAnsi="Arial"/>
                  <w:sz w:val="18"/>
                  <w:szCs w:val="18"/>
                  <w:color w:val="0000EE"/>
                  <w:w w:val="79"/>
                </w:rPr>
                <w:t>24.</w:t>
              </w:r>
              <w:r>
                <w:rPr>
                  <w:rFonts w:ascii="Arial" w:cs="Arial" w:eastAsia="Arial" w:hAnsi="Arial"/>
                  <w:sz w:val="18"/>
                  <w:szCs w:val="18"/>
                  <w:u w:val="single" w:color="auto"/>
                  <w:color w:val="0000EE"/>
                  <w:w w:val="79"/>
                </w:rPr>
                <w:t>1</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25"/>
          </w:tcPr>
          <w:p>
            <w:pPr>
              <w:spacing w:after="0"/>
              <w:rPr>
                <w:rFonts w:ascii="Arial" w:cs="Arial" w:eastAsia="Arial" w:hAnsi="Arial"/>
                <w:sz w:val="18"/>
                <w:szCs w:val="18"/>
                <w:color w:val="0000EE"/>
              </w:rPr>
            </w:pPr>
            <w:hyperlink r:id="rId86">
              <w:r>
                <w:rPr>
                  <w:rFonts w:ascii="Arial" w:cs="Arial" w:eastAsia="Arial" w:hAnsi="Arial"/>
                  <w:sz w:val="18"/>
                  <w:szCs w:val="18"/>
                  <w:color w:val="0000EE"/>
                </w:rPr>
                <w:t>Power of Attorney (included on the signature page to the</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6"/>
          </w:tcPr>
          <w:p>
            <w:pPr>
              <w:jc w:val="center"/>
              <w:ind w:right="400"/>
              <w:spacing w:after="0"/>
              <w:rPr>
                <w:rFonts w:ascii="Arial" w:cs="Arial" w:eastAsia="Arial" w:hAnsi="Arial"/>
                <w:sz w:val="18"/>
                <w:szCs w:val="18"/>
                <w:color w:val="0000EE"/>
                <w:w w:val="90"/>
              </w:rPr>
            </w:pPr>
            <w:hyperlink r:id="rId86">
              <w:r>
                <w:rPr>
                  <w:rFonts w:ascii="Arial" w:cs="Arial" w:eastAsia="Arial" w:hAnsi="Arial"/>
                  <w:sz w:val="18"/>
                  <w:szCs w:val="18"/>
                  <w:color w:val="0000EE"/>
                  <w:w w:val="90"/>
                </w:rPr>
                <w:t>Form S-1</w:t>
              </w:r>
            </w:hyperlink>
          </w:p>
        </w:tc>
        <w:tc>
          <w:tcPr>
            <w:tcW w:w="1140" w:type="dxa"/>
            <w:vAlign w:val="bottom"/>
            <w:gridSpan w:val="3"/>
          </w:tcPr>
          <w:p>
            <w:pPr>
              <w:jc w:val="center"/>
              <w:ind w:left="210"/>
              <w:spacing w:after="0"/>
              <w:rPr>
                <w:rFonts w:ascii="Arial" w:cs="Arial" w:eastAsia="Arial" w:hAnsi="Arial"/>
                <w:sz w:val="18"/>
                <w:szCs w:val="18"/>
                <w:color w:val="0000EE"/>
                <w:w w:val="89"/>
              </w:rPr>
            </w:pPr>
            <w:hyperlink r:id="rId86">
              <w:r>
                <w:rPr>
                  <w:rFonts w:ascii="Arial" w:cs="Arial" w:eastAsia="Arial" w:hAnsi="Arial"/>
                  <w:sz w:val="18"/>
                  <w:szCs w:val="18"/>
                  <w:color w:val="0000EE"/>
                  <w:w w:val="89"/>
                </w:rPr>
                <w:t>10/7/2021</w:t>
              </w:r>
            </w:hyperlink>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3"/>
          </w:tcPr>
          <w:p>
            <w:pPr>
              <w:jc w:val="center"/>
              <w:spacing w:after="0"/>
              <w:rPr>
                <w:rFonts w:ascii="Arial" w:cs="Arial" w:eastAsia="Arial" w:hAnsi="Arial"/>
                <w:sz w:val="18"/>
                <w:szCs w:val="18"/>
                <w:color w:val="0000EE"/>
                <w:w w:val="89"/>
              </w:rPr>
            </w:pPr>
            <w:hyperlink r:id="rId86">
              <w:r>
                <w:rPr>
                  <w:rFonts w:ascii="Arial" w:cs="Arial" w:eastAsia="Arial" w:hAnsi="Arial"/>
                  <w:sz w:val="18"/>
                  <w:szCs w:val="18"/>
                  <w:color w:val="0000EE"/>
                  <w:w w:val="89"/>
                </w:rPr>
                <w:t>333-260126</w:t>
              </w:r>
            </w:hyperlink>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20" w:type="dxa"/>
            <w:vAlign w:val="bottom"/>
            <w:gridSpan w:val="15"/>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initial Registration Statement)</w:t>
              </w:r>
            </w:hyperlink>
          </w:p>
        </w:tc>
        <w:tc>
          <w:tcPr>
            <w:tcW w:w="600" w:type="dxa"/>
            <w:vAlign w:val="bottom"/>
            <w:gridSpan w:val="10"/>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7"/>
          </w:tcPr>
          <w:p>
            <w:pPr>
              <w:jc w:val="center"/>
              <w:ind w:right="240"/>
              <w:spacing w:after="0" w:line="196" w:lineRule="exact"/>
              <w:rPr>
                <w:rFonts w:ascii="Arial" w:cs="Arial" w:eastAsia="Arial" w:hAnsi="Arial"/>
                <w:sz w:val="18"/>
                <w:szCs w:val="18"/>
                <w:color w:val="0000EE"/>
                <w:w w:val="88"/>
              </w:rPr>
            </w:pPr>
            <w:hyperlink r:id="rId86">
              <w:r>
                <w:rPr>
                  <w:rFonts w:ascii="Arial" w:cs="Arial" w:eastAsia="Arial" w:hAnsi="Arial"/>
                  <w:sz w:val="18"/>
                  <w:szCs w:val="18"/>
                  <w:color w:val="0000EE"/>
                  <w:w w:val="88"/>
                </w:rPr>
                <w:t>(Signature Page)</w:t>
              </w:r>
            </w:hyperlink>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79"/>
              </w:rPr>
            </w:pPr>
            <w:hyperlink r:id="rId87">
              <w:r>
                <w:rPr>
                  <w:rFonts w:ascii="Arial" w:cs="Arial" w:eastAsia="Arial" w:hAnsi="Arial"/>
                  <w:sz w:val="18"/>
                  <w:szCs w:val="18"/>
                  <w:color w:val="0000EE"/>
                  <w:w w:val="79"/>
                </w:rPr>
                <w:t>24.</w:t>
              </w:r>
              <w:r>
                <w:rPr>
                  <w:rFonts w:ascii="Arial" w:cs="Arial" w:eastAsia="Arial" w:hAnsi="Arial"/>
                  <w:sz w:val="18"/>
                  <w:szCs w:val="18"/>
                  <w:u w:val="single" w:color="auto"/>
                  <w:color w:val="0000EE"/>
                  <w:w w:val="79"/>
                </w:rPr>
                <w:t>2</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25"/>
          </w:tcPr>
          <w:p>
            <w:pPr>
              <w:spacing w:after="0"/>
              <w:rPr>
                <w:rFonts w:ascii="Arial" w:cs="Arial" w:eastAsia="Arial" w:hAnsi="Arial"/>
                <w:sz w:val="18"/>
                <w:szCs w:val="18"/>
                <w:color w:val="0000EE"/>
              </w:rPr>
            </w:pPr>
            <w:hyperlink r:id="rId87">
              <w:r>
                <w:rPr>
                  <w:rFonts w:ascii="Arial" w:cs="Arial" w:eastAsia="Arial" w:hAnsi="Arial"/>
                  <w:sz w:val="18"/>
                  <w:szCs w:val="18"/>
                  <w:color w:val="0000EE"/>
                </w:rPr>
                <w:t>Power of Attorney for Kathleen McAllister (filed with Post-</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6"/>
          </w:tcPr>
          <w:p>
            <w:pPr>
              <w:jc w:val="center"/>
              <w:ind w:right="400"/>
              <w:spacing w:after="0"/>
              <w:rPr>
                <w:rFonts w:ascii="Arial" w:cs="Arial" w:eastAsia="Arial" w:hAnsi="Arial"/>
                <w:sz w:val="18"/>
                <w:szCs w:val="18"/>
                <w:color w:val="0000EE"/>
                <w:w w:val="90"/>
              </w:rPr>
            </w:pPr>
            <w:hyperlink r:id="rId87">
              <w:r>
                <w:rPr>
                  <w:rFonts w:ascii="Arial" w:cs="Arial" w:eastAsia="Arial" w:hAnsi="Arial"/>
                  <w:sz w:val="18"/>
                  <w:szCs w:val="18"/>
                  <w:color w:val="0000EE"/>
                  <w:w w:val="90"/>
                </w:rPr>
                <w:t>Form S-1</w:t>
              </w:r>
            </w:hyperlink>
          </w:p>
        </w:tc>
        <w:tc>
          <w:tcPr>
            <w:tcW w:w="1140" w:type="dxa"/>
            <w:vAlign w:val="bottom"/>
            <w:gridSpan w:val="3"/>
          </w:tcPr>
          <w:p>
            <w:pPr>
              <w:jc w:val="center"/>
              <w:ind w:left="210"/>
              <w:spacing w:after="0"/>
              <w:rPr>
                <w:rFonts w:ascii="Arial" w:cs="Arial" w:eastAsia="Arial" w:hAnsi="Arial"/>
                <w:sz w:val="18"/>
                <w:szCs w:val="18"/>
                <w:color w:val="0000EE"/>
                <w:w w:val="89"/>
              </w:rPr>
            </w:pPr>
            <w:hyperlink r:id="rId87">
              <w:r>
                <w:rPr>
                  <w:rFonts w:ascii="Arial" w:cs="Arial" w:eastAsia="Arial" w:hAnsi="Arial"/>
                  <w:sz w:val="18"/>
                  <w:szCs w:val="18"/>
                  <w:color w:val="0000EE"/>
                  <w:w w:val="89"/>
                </w:rPr>
                <w:t>4/14/2022</w:t>
              </w:r>
            </w:hyperlink>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3"/>
          </w:tcPr>
          <w:p>
            <w:pPr>
              <w:jc w:val="center"/>
              <w:spacing w:after="0"/>
              <w:rPr>
                <w:rFonts w:ascii="Arial" w:cs="Arial" w:eastAsia="Arial" w:hAnsi="Arial"/>
                <w:sz w:val="18"/>
                <w:szCs w:val="18"/>
                <w:color w:val="0000EE"/>
                <w:w w:val="89"/>
              </w:rPr>
            </w:pPr>
            <w:hyperlink r:id="rId87">
              <w:r>
                <w:rPr>
                  <w:rFonts w:ascii="Arial" w:cs="Arial" w:eastAsia="Arial" w:hAnsi="Arial"/>
                  <w:sz w:val="18"/>
                  <w:szCs w:val="18"/>
                  <w:color w:val="0000EE"/>
                  <w:w w:val="89"/>
                </w:rPr>
                <w:t>333-260126</w:t>
              </w:r>
            </w:hyperlink>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80" w:type="dxa"/>
            <w:vAlign w:val="bottom"/>
            <w:gridSpan w:val="6"/>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00" w:type="dxa"/>
            <w:vAlign w:val="bottom"/>
            <w:gridSpan w:val="20"/>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Effective Amendment No. 1 to the Registration Statement)</w:t>
              </w:r>
            </w:hyperlink>
          </w:p>
        </w:tc>
        <w:tc>
          <w:tcPr>
            <w:tcW w:w="320" w:type="dxa"/>
            <w:vAlign w:val="bottom"/>
            <w:gridSpan w:val="5"/>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7"/>
          </w:tcPr>
          <w:p>
            <w:pPr>
              <w:jc w:val="center"/>
              <w:ind w:right="240"/>
              <w:spacing w:after="0" w:line="196" w:lineRule="exact"/>
              <w:rPr>
                <w:rFonts w:ascii="Arial" w:cs="Arial" w:eastAsia="Arial" w:hAnsi="Arial"/>
                <w:sz w:val="18"/>
                <w:szCs w:val="18"/>
                <w:color w:val="0000EE"/>
                <w:w w:val="94"/>
              </w:rPr>
            </w:pPr>
            <w:hyperlink r:id="rId87">
              <w:r>
                <w:rPr>
                  <w:rFonts w:ascii="Arial" w:cs="Arial" w:eastAsia="Arial" w:hAnsi="Arial"/>
                  <w:sz w:val="18"/>
                  <w:szCs w:val="18"/>
                  <w:color w:val="0000EE"/>
                  <w:w w:val="94"/>
                </w:rPr>
                <w:t>(Exhibit 24.2)</w:t>
              </w:r>
            </w:hyperlink>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79"/>
              </w:rPr>
            </w:pPr>
            <w:hyperlink r:id="rId88">
              <w:r>
                <w:rPr>
                  <w:rFonts w:ascii="Arial" w:cs="Arial" w:eastAsia="Arial" w:hAnsi="Arial"/>
                  <w:sz w:val="18"/>
                  <w:szCs w:val="18"/>
                  <w:color w:val="0000EE"/>
                  <w:w w:val="79"/>
                </w:rPr>
                <w:t>24.</w:t>
              </w:r>
              <w:r>
                <w:rPr>
                  <w:rFonts w:ascii="Arial" w:cs="Arial" w:eastAsia="Arial" w:hAnsi="Arial"/>
                  <w:sz w:val="18"/>
                  <w:szCs w:val="18"/>
                  <w:u w:val="single" w:color="auto"/>
                  <w:color w:val="0000EE"/>
                  <w:w w:val="79"/>
                </w:rPr>
                <w:t>3</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00" w:type="dxa"/>
            <w:vAlign w:val="bottom"/>
            <w:tcBorders>
              <w:top w:val="single" w:sz="8" w:color="0000EE"/>
            </w:tcBorders>
            <w:gridSpan w:val="16"/>
          </w:tcPr>
          <w:p>
            <w:pPr>
              <w:spacing w:after="0"/>
              <w:rPr>
                <w:rFonts w:ascii="Arial" w:cs="Arial" w:eastAsia="Arial" w:hAnsi="Arial"/>
                <w:sz w:val="18"/>
                <w:szCs w:val="18"/>
                <w:color w:val="0000EE"/>
                <w:w w:val="93"/>
              </w:rPr>
            </w:pPr>
            <w:hyperlink r:id="rId88">
              <w:r>
                <w:rPr>
                  <w:rFonts w:ascii="Arial" w:cs="Arial" w:eastAsia="Arial" w:hAnsi="Arial"/>
                  <w:sz w:val="18"/>
                  <w:szCs w:val="18"/>
                  <w:color w:val="0000EE"/>
                  <w:w w:val="93"/>
                </w:rPr>
                <w:t>Power of Attorney for Andrew C. Greig (filed with Post-</w:t>
              </w:r>
            </w:hyperlink>
          </w:p>
        </w:tc>
        <w:tc>
          <w:tcPr>
            <w:tcW w:w="120" w:type="dxa"/>
            <w:vAlign w:val="bottom"/>
            <w:tcBorders>
              <w:top w:val="single" w:sz="8" w:color="0000EE"/>
            </w:tcBorders>
            <w:gridSpan w:val="3"/>
          </w:tcPr>
          <w:p>
            <w:pPr>
              <w:spacing w:after="0"/>
              <w:rPr>
                <w:sz w:val="24"/>
                <w:szCs w:val="24"/>
                <w:color w:val="auto"/>
              </w:rPr>
            </w:pPr>
          </w:p>
        </w:tc>
        <w:tc>
          <w:tcPr>
            <w:tcW w:w="400" w:type="dxa"/>
            <w:vAlign w:val="bottom"/>
            <w:gridSpan w:val="6"/>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Borders>
              <w:top w:val="single" w:sz="8" w:color="0000EE"/>
            </w:tcBorders>
            <w:gridSpan w:val="3"/>
          </w:tcPr>
          <w:p>
            <w:pPr>
              <w:jc w:val="center"/>
              <w:spacing w:after="0"/>
              <w:rPr>
                <w:rFonts w:ascii="Arial" w:cs="Arial" w:eastAsia="Arial" w:hAnsi="Arial"/>
                <w:sz w:val="18"/>
                <w:szCs w:val="18"/>
                <w:color w:val="0000EE"/>
                <w:w w:val="90"/>
              </w:rPr>
            </w:pPr>
            <w:hyperlink r:id="rId88">
              <w:r>
                <w:rPr>
                  <w:rFonts w:ascii="Arial" w:cs="Arial" w:eastAsia="Arial" w:hAnsi="Arial"/>
                  <w:sz w:val="18"/>
                  <w:szCs w:val="18"/>
                  <w:color w:val="0000EE"/>
                  <w:w w:val="90"/>
                </w:rPr>
                <w:t>Form S-3</w:t>
              </w:r>
            </w:hyperlink>
          </w:p>
        </w:tc>
        <w:tc>
          <w:tcPr>
            <w:tcW w:w="400" w:type="dxa"/>
            <w:vAlign w:val="bottom"/>
            <w:gridSpan w:val="3"/>
          </w:tcPr>
          <w:p>
            <w:pPr>
              <w:spacing w:after="0"/>
              <w:rPr>
                <w:sz w:val="24"/>
                <w:szCs w:val="24"/>
                <w:color w:val="auto"/>
              </w:rPr>
            </w:pPr>
          </w:p>
        </w:tc>
        <w:tc>
          <w:tcPr>
            <w:tcW w:w="1460" w:type="dxa"/>
            <w:vAlign w:val="bottom"/>
            <w:gridSpan w:val="4"/>
          </w:tcPr>
          <w:p>
            <w:pPr>
              <w:jc w:val="center"/>
              <w:spacing w:after="0"/>
              <w:rPr>
                <w:rFonts w:ascii="Arial" w:cs="Arial" w:eastAsia="Arial" w:hAnsi="Arial"/>
                <w:sz w:val="18"/>
                <w:szCs w:val="18"/>
                <w:color w:val="0000EE"/>
                <w:w w:val="90"/>
              </w:rPr>
            </w:pPr>
            <w:hyperlink r:id="rId88">
              <w:r>
                <w:rPr>
                  <w:rFonts w:ascii="Arial" w:cs="Arial" w:eastAsia="Arial" w:hAnsi="Arial"/>
                  <w:sz w:val="18"/>
                  <w:szCs w:val="18"/>
                  <w:color w:val="0000EE"/>
                  <w:w w:val="90"/>
                </w:rPr>
                <w:t>11/25/2022</w:t>
              </w:r>
            </w:hyperlink>
          </w:p>
        </w:tc>
        <w:tc>
          <w:tcPr>
            <w:tcW w:w="100" w:type="dxa"/>
            <w:vAlign w:val="bottom"/>
          </w:tcPr>
          <w:p>
            <w:pPr>
              <w:spacing w:after="0"/>
              <w:rPr>
                <w:sz w:val="24"/>
                <w:szCs w:val="24"/>
                <w:color w:val="auto"/>
              </w:rPr>
            </w:pPr>
          </w:p>
        </w:tc>
        <w:tc>
          <w:tcPr>
            <w:tcW w:w="1460" w:type="dxa"/>
            <w:vAlign w:val="bottom"/>
            <w:gridSpan w:val="3"/>
          </w:tcPr>
          <w:p>
            <w:pPr>
              <w:jc w:val="center"/>
              <w:spacing w:after="0"/>
              <w:rPr>
                <w:rFonts w:ascii="Arial" w:cs="Arial" w:eastAsia="Arial" w:hAnsi="Arial"/>
                <w:sz w:val="18"/>
                <w:szCs w:val="18"/>
                <w:color w:val="0000EE"/>
                <w:w w:val="89"/>
              </w:rPr>
            </w:pPr>
            <w:hyperlink r:id="rId88">
              <w:r>
                <w:rPr>
                  <w:rFonts w:ascii="Arial" w:cs="Arial" w:eastAsia="Arial" w:hAnsi="Arial"/>
                  <w:sz w:val="18"/>
                  <w:szCs w:val="18"/>
                  <w:color w:val="0000EE"/>
                  <w:w w:val="89"/>
                </w:rPr>
                <w:t>333-260126</w:t>
              </w:r>
            </w:hyperlink>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80" w:type="dxa"/>
            <w:vAlign w:val="bottom"/>
            <w:gridSpan w:val="6"/>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20" w:type="dxa"/>
            <w:vAlign w:val="bottom"/>
            <w:gridSpan w:val="25"/>
          </w:tcPr>
          <w:p>
            <w:pPr>
              <w:spacing w:after="0" w:line="196" w:lineRule="exact"/>
              <w:rPr>
                <w:rFonts w:ascii="Arial" w:cs="Arial" w:eastAsia="Arial" w:hAnsi="Arial"/>
                <w:sz w:val="18"/>
                <w:szCs w:val="18"/>
                <w:color w:val="0000EE"/>
                <w:w w:val="99"/>
              </w:rPr>
            </w:pPr>
            <w:hyperlink r:id="rId88">
              <w:r>
                <w:rPr>
                  <w:rFonts w:ascii="Arial" w:cs="Arial" w:eastAsia="Arial" w:hAnsi="Arial"/>
                  <w:sz w:val="18"/>
                  <w:szCs w:val="18"/>
                  <w:color w:val="0000EE"/>
                  <w:w w:val="99"/>
                </w:rPr>
                <w:t>Effective Amendment No. 2 to the Registration Statement)</w:t>
              </w:r>
            </w:hyperlink>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7"/>
          </w:tcPr>
          <w:p>
            <w:pPr>
              <w:jc w:val="center"/>
              <w:ind w:right="240"/>
              <w:spacing w:after="0" w:line="196" w:lineRule="exact"/>
              <w:rPr>
                <w:rFonts w:ascii="Arial" w:cs="Arial" w:eastAsia="Arial" w:hAnsi="Arial"/>
                <w:sz w:val="18"/>
                <w:szCs w:val="18"/>
                <w:color w:val="0000EE"/>
                <w:w w:val="94"/>
              </w:rPr>
            </w:pPr>
            <w:hyperlink r:id="rId88">
              <w:r>
                <w:rPr>
                  <w:rFonts w:ascii="Arial" w:cs="Arial" w:eastAsia="Arial" w:hAnsi="Arial"/>
                  <w:sz w:val="18"/>
                  <w:szCs w:val="18"/>
                  <w:color w:val="0000EE"/>
                  <w:w w:val="94"/>
                </w:rPr>
                <w:t>(Exhibit 24.3)</w:t>
              </w:r>
            </w:hyperlink>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79"/>
              </w:rPr>
            </w:pPr>
            <w:hyperlink r:id="rId89">
              <w:r>
                <w:rPr>
                  <w:rFonts w:ascii="Arial" w:cs="Arial" w:eastAsia="Arial" w:hAnsi="Arial"/>
                  <w:sz w:val="18"/>
                  <w:szCs w:val="18"/>
                  <w:color w:val="0000EE"/>
                  <w:w w:val="79"/>
                </w:rPr>
                <w:t>96.</w:t>
              </w:r>
              <w:r>
                <w:rPr>
                  <w:rFonts w:ascii="Arial" w:cs="Arial" w:eastAsia="Arial" w:hAnsi="Arial"/>
                  <w:sz w:val="18"/>
                  <w:szCs w:val="18"/>
                  <w:u w:val="single" w:color="auto"/>
                  <w:color w:val="0000EE"/>
                  <w:w w:val="79"/>
                </w:rPr>
                <w:t>1</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Borders>
              <w:top w:val="single" w:sz="8" w:color="0000EE"/>
            </w:tcBorders>
            <w:gridSpan w:val="19"/>
          </w:tcPr>
          <w:p>
            <w:pPr>
              <w:spacing w:after="0"/>
              <w:rPr>
                <w:rFonts w:ascii="Arial" w:cs="Arial" w:eastAsia="Arial" w:hAnsi="Arial"/>
                <w:sz w:val="18"/>
                <w:szCs w:val="18"/>
                <w:color w:val="0000EE"/>
                <w:w w:val="95"/>
              </w:rPr>
            </w:pPr>
            <w:hyperlink r:id="rId89">
              <w:r>
                <w:rPr>
                  <w:rFonts w:ascii="Arial" w:cs="Arial" w:eastAsia="Arial" w:hAnsi="Arial"/>
                  <w:sz w:val="18"/>
                  <w:szCs w:val="18"/>
                  <w:color w:val="0000EE"/>
                  <w:w w:val="95"/>
                </w:rPr>
                <w:t>Technical Report Summary — Initial Assessment of the</w:t>
              </w:r>
            </w:hyperlink>
          </w:p>
        </w:tc>
        <w:tc>
          <w:tcPr>
            <w:tcW w:w="400" w:type="dxa"/>
            <w:vAlign w:val="bottom"/>
            <w:gridSpan w:val="6"/>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Borders>
              <w:top w:val="single" w:sz="8" w:color="0000EE"/>
            </w:tcBorders>
            <w:gridSpan w:val="3"/>
          </w:tcPr>
          <w:p>
            <w:pPr>
              <w:jc w:val="center"/>
              <w:spacing w:after="0"/>
              <w:rPr>
                <w:rFonts w:ascii="Arial" w:cs="Arial" w:eastAsia="Arial" w:hAnsi="Arial"/>
                <w:sz w:val="18"/>
                <w:szCs w:val="18"/>
                <w:color w:val="0000EE"/>
                <w:w w:val="95"/>
              </w:rPr>
            </w:pPr>
            <w:hyperlink r:id="rId89">
              <w:r>
                <w:rPr>
                  <w:rFonts w:ascii="Arial" w:cs="Arial" w:eastAsia="Arial" w:hAnsi="Arial"/>
                  <w:sz w:val="18"/>
                  <w:szCs w:val="18"/>
                  <w:color w:val="0000EE"/>
                  <w:w w:val="95"/>
                </w:rPr>
                <w:t>Form S-4/A</w:t>
              </w:r>
            </w:hyperlink>
          </w:p>
        </w:tc>
        <w:tc>
          <w:tcPr>
            <w:tcW w:w="400" w:type="dxa"/>
            <w:vAlign w:val="bottom"/>
            <w:gridSpan w:val="3"/>
          </w:tcPr>
          <w:p>
            <w:pPr>
              <w:spacing w:after="0"/>
              <w:rPr>
                <w:sz w:val="24"/>
                <w:szCs w:val="24"/>
                <w:color w:val="auto"/>
              </w:rPr>
            </w:pPr>
          </w:p>
        </w:tc>
        <w:tc>
          <w:tcPr>
            <w:tcW w:w="1040" w:type="dxa"/>
            <w:vAlign w:val="bottom"/>
            <w:gridSpan w:val="2"/>
          </w:tcPr>
          <w:p>
            <w:pPr>
              <w:jc w:val="center"/>
              <w:ind w:left="310"/>
              <w:spacing w:after="0"/>
              <w:rPr>
                <w:rFonts w:ascii="Arial" w:cs="Arial" w:eastAsia="Arial" w:hAnsi="Arial"/>
                <w:sz w:val="18"/>
                <w:szCs w:val="18"/>
                <w:color w:val="0000EE"/>
                <w:w w:val="91"/>
              </w:rPr>
            </w:pPr>
            <w:hyperlink r:id="rId89">
              <w:r>
                <w:rPr>
                  <w:rFonts w:ascii="Arial" w:cs="Arial" w:eastAsia="Arial" w:hAnsi="Arial"/>
                  <w:sz w:val="18"/>
                  <w:szCs w:val="18"/>
                  <w:color w:val="0000EE"/>
                  <w:w w:val="91"/>
                </w:rPr>
                <w:t>8/5/2021</w:t>
              </w:r>
            </w:hyperlink>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left="210"/>
              <w:spacing w:after="0"/>
              <w:rPr>
                <w:rFonts w:ascii="Arial" w:cs="Arial" w:eastAsia="Arial" w:hAnsi="Arial"/>
                <w:sz w:val="18"/>
                <w:szCs w:val="18"/>
                <w:color w:val="0000EE"/>
                <w:w w:val="89"/>
              </w:rPr>
            </w:pPr>
            <w:hyperlink r:id="rId89">
              <w:r>
                <w:rPr>
                  <w:rFonts w:ascii="Arial" w:cs="Arial" w:eastAsia="Arial" w:hAnsi="Arial"/>
                  <w:sz w:val="18"/>
                  <w:szCs w:val="18"/>
                  <w:color w:val="0000EE"/>
                  <w:w w:val="89"/>
                </w:rPr>
                <w:t>333-255118</w:t>
              </w:r>
            </w:hyperlink>
          </w:p>
        </w:tc>
        <w:tc>
          <w:tcPr>
            <w:tcW w:w="300" w:type="dxa"/>
            <w:vAlign w:val="bottom"/>
          </w:tcPr>
          <w:p>
            <w:pPr>
              <w:spacing w:after="0"/>
              <w:rPr>
                <w:sz w:val="24"/>
                <w:szCs w:val="24"/>
                <w:color w:val="auto"/>
              </w:rPr>
            </w:pP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80" w:type="dxa"/>
            <w:vAlign w:val="bottom"/>
            <w:gridSpan w:val="6"/>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20" w:type="dxa"/>
            <w:vAlign w:val="bottom"/>
            <w:gridSpan w:val="25"/>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NORI Property, Clarion-Clipperton Zone, for Deep Green</w:t>
              </w:r>
            </w:hyperlink>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7"/>
          </w:tcPr>
          <w:p>
            <w:pPr>
              <w:jc w:val="center"/>
              <w:ind w:right="240"/>
              <w:spacing w:after="0" w:line="196" w:lineRule="exact"/>
              <w:rPr>
                <w:rFonts w:ascii="Arial" w:cs="Arial" w:eastAsia="Arial" w:hAnsi="Arial"/>
                <w:sz w:val="18"/>
                <w:szCs w:val="18"/>
                <w:color w:val="0000EE"/>
                <w:w w:val="94"/>
              </w:rPr>
            </w:pPr>
            <w:hyperlink r:id="rId89">
              <w:r>
                <w:rPr>
                  <w:rFonts w:ascii="Arial" w:cs="Arial" w:eastAsia="Arial" w:hAnsi="Arial"/>
                  <w:sz w:val="18"/>
                  <w:szCs w:val="18"/>
                  <w:color w:val="0000EE"/>
                  <w:w w:val="94"/>
                </w:rPr>
                <w:t>(Exhibit 96.1)</w:t>
              </w:r>
            </w:hyperlink>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Metals Inc., effective as of March 17, 2021, by AMC</w:t>
              </w:r>
            </w:hyperlink>
          </w:p>
        </w:tc>
        <w:tc>
          <w:tcPr>
            <w:tcW w:w="460" w:type="dxa"/>
            <w:vAlign w:val="bottom"/>
            <w:gridSpan w:val="8"/>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Consultants Pty Ltd and other qualified persons</w:t>
              </w:r>
            </w:hyperlink>
          </w:p>
        </w:tc>
        <w:tc>
          <w:tcPr>
            <w:tcW w:w="780" w:type="dxa"/>
            <w:vAlign w:val="bottom"/>
            <w:gridSpan w:val="11"/>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80" w:type="dxa"/>
            <w:vAlign w:val="bottom"/>
            <w:gridSpan w:val="6"/>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79"/>
              </w:rPr>
            </w:pPr>
            <w:hyperlink r:id="rId90">
              <w:r>
                <w:rPr>
                  <w:rFonts w:ascii="Arial" w:cs="Arial" w:eastAsia="Arial" w:hAnsi="Arial"/>
                  <w:sz w:val="18"/>
                  <w:szCs w:val="18"/>
                  <w:color w:val="0000EE"/>
                  <w:w w:val="79"/>
                </w:rPr>
                <w:t>96.</w:t>
              </w:r>
              <w:r>
                <w:rPr>
                  <w:rFonts w:ascii="Arial" w:cs="Arial" w:eastAsia="Arial" w:hAnsi="Arial"/>
                  <w:sz w:val="18"/>
                  <w:szCs w:val="18"/>
                  <w:u w:val="single" w:color="auto"/>
                  <w:color w:val="0000EE"/>
                  <w:w w:val="79"/>
                </w:rPr>
                <w:t>2</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25"/>
          </w:tcPr>
          <w:p>
            <w:pPr>
              <w:spacing w:after="0"/>
              <w:rPr>
                <w:rFonts w:ascii="Arial" w:cs="Arial" w:eastAsia="Arial" w:hAnsi="Arial"/>
                <w:sz w:val="18"/>
                <w:szCs w:val="18"/>
                <w:color w:val="0000EE"/>
              </w:rPr>
            </w:pPr>
            <w:hyperlink r:id="rId90">
              <w:r>
                <w:rPr>
                  <w:rFonts w:ascii="Arial" w:cs="Arial" w:eastAsia="Arial" w:hAnsi="Arial"/>
                  <w:sz w:val="18"/>
                  <w:szCs w:val="18"/>
                  <w:color w:val="0000EE"/>
                </w:rPr>
                <w:t>Technical Report Summary — Initial Assessment of the</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6"/>
          </w:tcPr>
          <w:p>
            <w:pPr>
              <w:jc w:val="center"/>
              <w:ind w:right="400"/>
              <w:spacing w:after="0"/>
              <w:rPr>
                <w:rFonts w:ascii="Arial" w:cs="Arial" w:eastAsia="Arial" w:hAnsi="Arial"/>
                <w:sz w:val="18"/>
                <w:szCs w:val="18"/>
                <w:color w:val="0000EE"/>
                <w:w w:val="95"/>
              </w:rPr>
            </w:pPr>
            <w:hyperlink r:id="rId90">
              <w:r>
                <w:rPr>
                  <w:rFonts w:ascii="Arial" w:cs="Arial" w:eastAsia="Arial" w:hAnsi="Arial"/>
                  <w:sz w:val="18"/>
                  <w:szCs w:val="18"/>
                  <w:color w:val="0000EE"/>
                  <w:w w:val="95"/>
                </w:rPr>
                <w:t>Form S-4/A</w:t>
              </w:r>
            </w:hyperlink>
          </w:p>
        </w:tc>
        <w:tc>
          <w:tcPr>
            <w:tcW w:w="1040" w:type="dxa"/>
            <w:vAlign w:val="bottom"/>
            <w:gridSpan w:val="2"/>
          </w:tcPr>
          <w:p>
            <w:pPr>
              <w:jc w:val="center"/>
              <w:ind w:left="310"/>
              <w:spacing w:after="0"/>
              <w:rPr>
                <w:rFonts w:ascii="Arial" w:cs="Arial" w:eastAsia="Arial" w:hAnsi="Arial"/>
                <w:sz w:val="18"/>
                <w:szCs w:val="18"/>
                <w:color w:val="0000EE"/>
                <w:w w:val="91"/>
              </w:rPr>
            </w:pPr>
            <w:hyperlink r:id="rId90">
              <w:r>
                <w:rPr>
                  <w:rFonts w:ascii="Arial" w:cs="Arial" w:eastAsia="Arial" w:hAnsi="Arial"/>
                  <w:sz w:val="18"/>
                  <w:szCs w:val="18"/>
                  <w:color w:val="0000EE"/>
                  <w:w w:val="91"/>
                </w:rPr>
                <w:t>8/5/2021</w:t>
              </w:r>
            </w:hyperlink>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left="210"/>
              <w:spacing w:after="0"/>
              <w:rPr>
                <w:rFonts w:ascii="Arial" w:cs="Arial" w:eastAsia="Arial" w:hAnsi="Arial"/>
                <w:sz w:val="18"/>
                <w:szCs w:val="18"/>
                <w:color w:val="0000EE"/>
                <w:w w:val="89"/>
              </w:rPr>
            </w:pPr>
            <w:hyperlink r:id="rId90">
              <w:r>
                <w:rPr>
                  <w:rFonts w:ascii="Arial" w:cs="Arial" w:eastAsia="Arial" w:hAnsi="Arial"/>
                  <w:sz w:val="18"/>
                  <w:szCs w:val="18"/>
                  <w:color w:val="0000EE"/>
                  <w:w w:val="89"/>
                </w:rPr>
                <w:t>333-255118</w:t>
              </w:r>
            </w:hyperlink>
          </w:p>
        </w:tc>
        <w:tc>
          <w:tcPr>
            <w:tcW w:w="300" w:type="dxa"/>
            <w:vAlign w:val="bottom"/>
          </w:tcPr>
          <w:p>
            <w:pPr>
              <w:spacing w:after="0"/>
              <w:rPr>
                <w:sz w:val="24"/>
                <w:szCs w:val="24"/>
                <w:color w:val="auto"/>
              </w:rPr>
            </w:pP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80" w:type="dxa"/>
            <w:vAlign w:val="bottom"/>
            <w:gridSpan w:val="6"/>
            <w:shd w:val="clear" w:color="auto" w:fill="0000EE"/>
          </w:tcPr>
          <w:p>
            <w:pPr>
              <w:spacing w:after="0" w:line="20" w:lineRule="exact"/>
              <w:rPr>
                <w:sz w:val="1"/>
                <w:szCs w:val="1"/>
                <w:color w:val="auto"/>
              </w:rPr>
            </w:pPr>
          </w:p>
        </w:tc>
        <w:tc>
          <w:tcPr>
            <w:tcW w:w="1400" w:type="dxa"/>
            <w:vAlign w:val="bottom"/>
            <w:tcBorders>
              <w:right w:val="single" w:sz="8" w:color="0000EE"/>
            </w:tcBorders>
            <w:gridSpan w:val="7"/>
            <w:shd w:val="clear" w:color="auto" w:fill="0000E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00" w:type="dxa"/>
            <w:vAlign w:val="bottom"/>
            <w:gridSpan w:val="20"/>
          </w:tcPr>
          <w:p>
            <w:pPr>
              <w:spacing w:after="0" w:line="196" w:lineRule="exact"/>
              <w:rPr>
                <w:rFonts w:ascii="Arial" w:cs="Arial" w:eastAsia="Arial" w:hAnsi="Arial"/>
                <w:sz w:val="18"/>
                <w:szCs w:val="18"/>
                <w:color w:val="0000EE"/>
                <w:w w:val="92"/>
              </w:rPr>
            </w:pPr>
            <w:hyperlink r:id="rId90">
              <w:r>
                <w:rPr>
                  <w:rFonts w:ascii="Arial" w:cs="Arial" w:eastAsia="Arial" w:hAnsi="Arial"/>
                  <w:sz w:val="18"/>
                  <w:szCs w:val="18"/>
                  <w:color w:val="0000EE"/>
                  <w:w w:val="92"/>
                </w:rPr>
                <w:t>TOML Mineral Resource, Clarion-Clipperton Zone, Pacific</w:t>
              </w:r>
            </w:hyperlink>
          </w:p>
        </w:tc>
        <w:tc>
          <w:tcPr>
            <w:tcW w:w="320" w:type="dxa"/>
            <w:vAlign w:val="bottom"/>
            <w:gridSpan w:val="5"/>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7"/>
          </w:tcPr>
          <w:p>
            <w:pPr>
              <w:jc w:val="center"/>
              <w:ind w:right="240"/>
              <w:spacing w:after="0" w:line="196" w:lineRule="exact"/>
              <w:rPr>
                <w:rFonts w:ascii="Arial" w:cs="Arial" w:eastAsia="Arial" w:hAnsi="Arial"/>
                <w:sz w:val="18"/>
                <w:szCs w:val="18"/>
                <w:color w:val="0000EE"/>
                <w:w w:val="94"/>
              </w:rPr>
            </w:pPr>
            <w:hyperlink r:id="rId90">
              <w:r>
                <w:rPr>
                  <w:rFonts w:ascii="Arial" w:cs="Arial" w:eastAsia="Arial" w:hAnsi="Arial"/>
                  <w:sz w:val="18"/>
                  <w:szCs w:val="18"/>
                  <w:color w:val="0000EE"/>
                  <w:w w:val="94"/>
                </w:rPr>
                <w:t>(Exhibit 96.2)</w:t>
              </w:r>
            </w:hyperlink>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80" w:type="dxa"/>
            <w:vAlign w:val="bottom"/>
            <w:gridSpan w:val="6"/>
            <w:shd w:val="clear" w:color="auto" w:fill="0000EE"/>
          </w:tcPr>
          <w:p>
            <w:pPr>
              <w:spacing w:after="0" w:line="20" w:lineRule="exact"/>
              <w:rPr>
                <w:sz w:val="1"/>
                <w:szCs w:val="1"/>
                <w:color w:val="auto"/>
              </w:rPr>
            </w:pPr>
          </w:p>
        </w:tc>
        <w:tc>
          <w:tcPr>
            <w:tcW w:w="1400" w:type="dxa"/>
            <w:vAlign w:val="bottom"/>
            <w:tcBorders>
              <w:right w:val="single" w:sz="8" w:color="0000EE"/>
            </w:tcBorders>
            <w:gridSpan w:val="7"/>
            <w:shd w:val="clear" w:color="auto" w:fill="0000EE"/>
          </w:tcPr>
          <w:p>
            <w:pPr>
              <w:spacing w:after="0" w:line="20" w:lineRule="exact"/>
              <w:rPr>
                <w:sz w:val="1"/>
                <w:szCs w:val="1"/>
                <w:color w:val="auto"/>
              </w:rPr>
            </w:pPr>
          </w:p>
        </w:tc>
        <w:tc>
          <w:tcPr>
            <w:tcW w:w="280" w:type="dxa"/>
            <w:vAlign w:val="bottom"/>
            <w:tcBorders>
              <w:left w:val="single" w:sz="8" w:color="0000EE"/>
            </w:tcBorders>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20" w:type="dxa"/>
            <w:vAlign w:val="bottom"/>
            <w:gridSpan w:val="25"/>
          </w:tcPr>
          <w:p>
            <w:pPr>
              <w:spacing w:after="0" w:line="196" w:lineRule="exact"/>
              <w:rPr>
                <w:rFonts w:ascii="Arial" w:cs="Arial" w:eastAsia="Arial" w:hAnsi="Arial"/>
                <w:sz w:val="18"/>
                <w:szCs w:val="18"/>
                <w:color w:val="0000EE"/>
                <w:w w:val="94"/>
              </w:rPr>
            </w:pPr>
            <w:hyperlink r:id="rId90">
              <w:r>
                <w:rPr>
                  <w:rFonts w:ascii="Arial" w:cs="Arial" w:eastAsia="Arial" w:hAnsi="Arial"/>
                  <w:sz w:val="18"/>
                  <w:szCs w:val="18"/>
                  <w:color w:val="0000EE"/>
                  <w:w w:val="94"/>
                </w:rPr>
                <w:t>Ocean, for Deep Green Metals Inc., effective as of March 26,</w:t>
              </w:r>
            </w:hyperlink>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r:id="rId90">
              <w:r>
                <w:rPr>
                  <w:rFonts w:ascii="Arial" w:cs="Arial" w:eastAsia="Arial" w:hAnsi="Arial"/>
                  <w:sz w:val="18"/>
                  <w:szCs w:val="18"/>
                  <w:color w:val="0000EE"/>
                  <w:w w:val="92"/>
                </w:rPr>
                <w:t>2021, by AMC Consultants Pty Ltd and other qualified</w:t>
              </w:r>
            </w:hyperlink>
          </w:p>
        </w:tc>
        <w:tc>
          <w:tcPr>
            <w:tcW w:w="380" w:type="dxa"/>
            <w:vAlign w:val="bottom"/>
            <w:tcBorders>
              <w:top w:val="single" w:sz="8" w:color="0000EE"/>
            </w:tcBorders>
            <w:gridSpan w:val="6"/>
          </w:tcPr>
          <w:p>
            <w:pPr>
              <w:spacing w:after="0"/>
              <w:rPr>
                <w:sz w:val="17"/>
                <w:szCs w:val="17"/>
                <w:color w:val="auto"/>
              </w:rPr>
            </w:pPr>
          </w:p>
        </w:tc>
        <w:tc>
          <w:tcPr>
            <w:tcW w:w="220" w:type="dxa"/>
            <w:vAlign w:val="bottom"/>
            <w:gridSpan w:val="4"/>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20" w:type="dxa"/>
            <w:vAlign w:val="bottom"/>
            <w:gridSpan w:val="25"/>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persons</w:t>
              </w:r>
            </w:hyperlink>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1800" w:type="dxa"/>
            <w:vAlign w:val="bottom"/>
            <w:gridSpan w:val="1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86"/>
              </w:rPr>
            </w:pPr>
            <w:hyperlink r:id="rId91">
              <w:r>
                <w:rPr>
                  <w:rFonts w:ascii="Arial" w:cs="Arial" w:eastAsia="Arial" w:hAnsi="Arial"/>
                  <w:sz w:val="18"/>
                  <w:szCs w:val="18"/>
                  <w:color w:val="0000EE"/>
                  <w:w w:val="86"/>
                </w:rPr>
                <w:t>107</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25"/>
          </w:tcPr>
          <w:p>
            <w:pPr>
              <w:spacing w:after="0"/>
              <w:rPr>
                <w:rFonts w:ascii="Arial" w:cs="Arial" w:eastAsia="Arial" w:hAnsi="Arial"/>
                <w:sz w:val="18"/>
                <w:szCs w:val="18"/>
                <w:color w:val="0000EE"/>
                <w:w w:val="96"/>
              </w:rPr>
            </w:pPr>
            <w:hyperlink r:id="rId91">
              <w:r>
                <w:rPr>
                  <w:rFonts w:ascii="Arial" w:cs="Arial" w:eastAsia="Arial" w:hAnsi="Arial"/>
                  <w:sz w:val="18"/>
                  <w:szCs w:val="18"/>
                  <w:color w:val="0000EE"/>
                  <w:w w:val="96"/>
                </w:rPr>
                <w:t>Filing Fee Table (filed with Post-Effective Amendment No. 1</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6"/>
          </w:tcPr>
          <w:p>
            <w:pPr>
              <w:jc w:val="center"/>
              <w:ind w:right="400"/>
              <w:spacing w:after="0"/>
              <w:rPr>
                <w:rFonts w:ascii="Arial" w:cs="Arial" w:eastAsia="Arial" w:hAnsi="Arial"/>
                <w:sz w:val="18"/>
                <w:szCs w:val="18"/>
                <w:color w:val="0000EE"/>
                <w:w w:val="90"/>
              </w:rPr>
            </w:pPr>
            <w:hyperlink r:id="rId91">
              <w:r>
                <w:rPr>
                  <w:rFonts w:ascii="Arial" w:cs="Arial" w:eastAsia="Arial" w:hAnsi="Arial"/>
                  <w:sz w:val="18"/>
                  <w:szCs w:val="18"/>
                  <w:color w:val="0000EE"/>
                  <w:w w:val="90"/>
                </w:rPr>
                <w:t>Form S-1</w:t>
              </w:r>
            </w:hyperlink>
          </w:p>
        </w:tc>
        <w:tc>
          <w:tcPr>
            <w:tcW w:w="1140" w:type="dxa"/>
            <w:vAlign w:val="bottom"/>
            <w:gridSpan w:val="3"/>
          </w:tcPr>
          <w:p>
            <w:pPr>
              <w:jc w:val="center"/>
              <w:ind w:left="210"/>
              <w:spacing w:after="0"/>
              <w:rPr>
                <w:rFonts w:ascii="Arial" w:cs="Arial" w:eastAsia="Arial" w:hAnsi="Arial"/>
                <w:sz w:val="18"/>
                <w:szCs w:val="18"/>
                <w:color w:val="0000EE"/>
                <w:w w:val="89"/>
              </w:rPr>
            </w:pPr>
            <w:hyperlink r:id="rId91">
              <w:r>
                <w:rPr>
                  <w:rFonts w:ascii="Arial" w:cs="Arial" w:eastAsia="Arial" w:hAnsi="Arial"/>
                  <w:sz w:val="18"/>
                  <w:szCs w:val="18"/>
                  <w:color w:val="0000EE"/>
                  <w:w w:val="89"/>
                </w:rPr>
                <w:t>4/14/2022</w:t>
              </w:r>
            </w:hyperlink>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3"/>
          </w:tcPr>
          <w:p>
            <w:pPr>
              <w:jc w:val="center"/>
              <w:spacing w:after="0"/>
              <w:rPr>
                <w:rFonts w:ascii="Arial" w:cs="Arial" w:eastAsia="Arial" w:hAnsi="Arial"/>
                <w:sz w:val="18"/>
                <w:szCs w:val="18"/>
                <w:color w:val="0000EE"/>
                <w:w w:val="89"/>
              </w:rPr>
            </w:pPr>
            <w:hyperlink r:id="rId91">
              <w:r>
                <w:rPr>
                  <w:rFonts w:ascii="Arial" w:cs="Arial" w:eastAsia="Arial" w:hAnsi="Arial"/>
                  <w:sz w:val="18"/>
                  <w:szCs w:val="18"/>
                  <w:color w:val="0000EE"/>
                  <w:w w:val="89"/>
                </w:rPr>
                <w:t>333-260126</w:t>
              </w:r>
            </w:hyperlink>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gridSpan w:val="8"/>
            <w:shd w:val="clear" w:color="auto" w:fill="0000EE"/>
          </w:tcPr>
          <w:p>
            <w:pPr>
              <w:spacing w:after="0" w:line="20" w:lineRule="exact"/>
              <w:rPr>
                <w:sz w:val="1"/>
                <w:szCs w:val="1"/>
                <w:color w:val="auto"/>
              </w:rPr>
            </w:pPr>
          </w:p>
        </w:tc>
        <w:tc>
          <w:tcPr>
            <w:tcW w:w="1800" w:type="dxa"/>
            <w:vAlign w:val="bottom"/>
            <w:gridSpan w:val="14"/>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20" w:type="dxa"/>
            <w:vAlign w:val="bottom"/>
            <w:gridSpan w:val="22"/>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to the Initial Registration Statement)</w:t>
              </w:r>
            </w:hyperlink>
          </w:p>
        </w:tc>
        <w:tc>
          <w:tcPr>
            <w:tcW w:w="200" w:type="dxa"/>
            <w:vAlign w:val="bottom"/>
            <w:gridSpan w:val="3"/>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6"/>
          </w:tcPr>
          <w:p>
            <w:pPr>
              <w:jc w:val="center"/>
              <w:ind w:right="360"/>
              <w:spacing w:after="0" w:line="196"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(Exhibit 107)</w:t>
              </w:r>
            </w:hyperlink>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right="18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660" w:right="260" w:hanging="328"/>
        <w:spacing w:after="0" w:line="272" w:lineRule="auto"/>
        <w:tabs>
          <w:tab w:leader="none" w:pos="6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or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7" w:lineRule="exact"/>
        <w:rPr>
          <w:rFonts w:ascii="Arial" w:cs="Arial" w:eastAsia="Arial" w:hAnsi="Arial"/>
          <w:sz w:val="17"/>
          <w:szCs w:val="17"/>
          <w:color w:val="auto"/>
        </w:rPr>
      </w:pPr>
    </w:p>
    <w:p>
      <w:pPr>
        <w:ind w:left="660" w:right="200" w:hanging="328"/>
        <w:spacing w:after="0" w:line="277"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340" w:right="120"/>
        <w:spacing w:after="0" w:line="279" w:lineRule="auto"/>
        <w:rPr>
          <w:sz w:val="20"/>
          <w:szCs w:val="20"/>
          <w:color w:val="auto"/>
        </w:rPr>
      </w:pP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Paragraphs (a)(1)(i), (a)(1)(ii) and (a)(1)(iii) of this section do not apply if the information required to be included in a post-effective amendment by those paragraphs is contained in reports filed with or furnished to the Commission by the registrant pursuant to Section 13 or Section 15(d) of the Securities and Exchange Act of 1934, as amended, or the Exchange Act, that are incorporated by reference in the registration statement, or is contained in a form of prospectus filed pursuant to Rule 424(b) that is part of the registration statement.</w:t>
      </w:r>
    </w:p>
    <w:p>
      <w:pPr>
        <w:spacing w:after="0" w:line="171" w:lineRule="exact"/>
        <w:rPr>
          <w:sz w:val="20"/>
          <w:szCs w:val="20"/>
          <w:color w:val="auto"/>
        </w:rPr>
      </w:pPr>
    </w:p>
    <w:p>
      <w:pPr>
        <w:ind w:left="340" w:right="20" w:hanging="332"/>
        <w:spacing w:after="0" w:line="26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3"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660" w:hanging="328"/>
        <w:spacing w:after="0" w:line="269" w:lineRule="auto"/>
        <w:tabs>
          <w:tab w:leader="none" w:pos="6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2" w:name="page53"/>
    <w:bookmarkEnd w:id="52"/>
    <w:p>
      <w:pPr>
        <w:ind w:left="332" w:right="20" w:hanging="332"/>
        <w:spacing w:after="0" w:line="257" w:lineRule="auto"/>
        <w:tabs>
          <w:tab w:leader="none" w:pos="33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rFonts w:ascii="Arial" w:cs="Arial" w:eastAsia="Arial" w:hAnsi="Arial"/>
          <w:sz w:val="18"/>
          <w:szCs w:val="18"/>
          <w:color w:val="auto"/>
        </w:rPr>
      </w:pPr>
    </w:p>
    <w:p>
      <w:pPr>
        <w:ind w:left="652" w:hanging="328"/>
        <w:spacing w:after="0"/>
        <w:tabs>
          <w:tab w:leader="none" w:pos="652" w:val="left"/>
        </w:tabs>
        <w:numPr>
          <w:ilvl w:val="1"/>
          <w:numId w:val="29"/>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36" w:lineRule="exact"/>
        <w:rPr>
          <w:rFonts w:ascii="Arial" w:cs="Arial" w:eastAsia="Arial" w:hAnsi="Arial"/>
          <w:sz w:val="17"/>
          <w:szCs w:val="17"/>
          <w:color w:val="auto"/>
        </w:rPr>
      </w:pPr>
    </w:p>
    <w:p>
      <w:pPr>
        <w:ind w:left="652" w:hanging="328"/>
        <w:spacing w:after="0" w:line="277" w:lineRule="auto"/>
        <w:tabs>
          <w:tab w:leader="none" w:pos="652"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652" w:right="360" w:hanging="328"/>
        <w:spacing w:after="0" w:line="277" w:lineRule="auto"/>
        <w:tabs>
          <w:tab w:leader="none" w:pos="652"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652" w:hanging="328"/>
        <w:spacing w:after="0"/>
        <w:tabs>
          <w:tab w:leader="none" w:pos="652"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8" w:right="20" w:firstLine="8"/>
        <w:spacing w:after="0" w:line="257" w:lineRule="auto"/>
        <w:tabs>
          <w:tab w:leader="none" w:pos="24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ind w:left="-8" w:right="100" w:firstLine="8"/>
        <w:spacing w:after="0" w:line="291" w:lineRule="auto"/>
        <w:tabs>
          <w:tab w:leader="none" w:pos="237"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8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Pursuant to the requirements of the Securities Act of 1933, as amended, the registrant certifies that it has reasonable grounds to believe that it meets all of the requirements for filing on Form S-3 and has duly caused this Amendment No. 1 to Post-Effective Amendment No. 2 to this Registration Statement to be signed on its behalf by the undersigned, thereunto duly authorized in the City of New York, State of New York, on March 27, 2023.</w:t>
      </w:r>
    </w:p>
    <w:p>
      <w:pPr>
        <w:spacing w:after="0" w:line="14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TMC THE METALS COMPANY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Craig Shesky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Pursuant to the requirements of the Securities Act, this Amendment No. 1 to Post-Effective Amendment No. 2 to this Registration Statement has been signed by the following persons in the capacities and on the dated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jc w:val="center"/>
              <w:ind w:right="1710"/>
              <w:spacing w:after="0"/>
              <w:rPr>
                <w:sz w:val="20"/>
                <w:szCs w:val="20"/>
                <w:color w:val="auto"/>
              </w:rPr>
            </w:pPr>
            <w:r>
              <w:rPr>
                <w:rFonts w:ascii="Arial" w:cs="Arial" w:eastAsia="Arial" w:hAnsi="Arial"/>
                <w:sz w:val="18"/>
                <w:szCs w:val="18"/>
                <w:b w:val="1"/>
                <w:bCs w:val="1"/>
                <w:color w:val="auto"/>
                <w:w w:val="91"/>
              </w:rPr>
              <w:t>Title</w:t>
            </w:r>
          </w:p>
        </w:tc>
        <w:tc>
          <w:tcPr>
            <w:tcW w:w="10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6"/>
        </w:trPr>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Gerard Barron</w:t>
            </w:r>
          </w:p>
        </w:tc>
        <w:tc>
          <w:tcPr>
            <w:tcW w:w="100" w:type="dxa"/>
            <w:vAlign w:val="bottom"/>
          </w:tcPr>
          <w:p>
            <w:pPr>
              <w:spacing w:after="0"/>
              <w:rPr>
                <w:sz w:val="24"/>
                <w:szCs w:val="24"/>
                <w:color w:val="auto"/>
              </w:rPr>
            </w:pPr>
          </w:p>
        </w:tc>
        <w:tc>
          <w:tcPr>
            <w:tcW w:w="4740" w:type="dxa"/>
            <w:vAlign w:val="bottom"/>
            <w:gridSpan w:val="2"/>
          </w:tcPr>
          <w:p>
            <w:pPr>
              <w:jc w:val="center"/>
              <w:spacing w:after="0"/>
              <w:rPr>
                <w:sz w:val="20"/>
                <w:szCs w:val="20"/>
                <w:color w:val="auto"/>
              </w:rPr>
            </w:pPr>
            <w:r>
              <w:rPr>
                <w:rFonts w:ascii="Arial" w:cs="Arial" w:eastAsia="Arial" w:hAnsi="Arial"/>
                <w:sz w:val="18"/>
                <w:szCs w:val="18"/>
                <w:color w:val="auto"/>
                <w:w w:val="92"/>
              </w:rPr>
              <w:t>Chief Executive Office and Chairman</w:t>
            </w:r>
          </w:p>
        </w:tc>
        <w:tc>
          <w:tcPr>
            <w:tcW w:w="10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March 27, 2023</w:t>
            </w:r>
          </w:p>
        </w:tc>
      </w:tr>
      <w:tr>
        <w:trPr>
          <w:trHeight w:val="224"/>
        </w:trPr>
        <w:tc>
          <w:tcPr>
            <w:tcW w:w="3720" w:type="dxa"/>
            <w:vAlign w:val="bottom"/>
            <w:gridSpan w:val="2"/>
          </w:tcPr>
          <w:p>
            <w:pPr>
              <w:spacing w:after="0"/>
              <w:rPr>
                <w:sz w:val="20"/>
                <w:szCs w:val="20"/>
                <w:color w:val="auto"/>
              </w:rPr>
            </w:pPr>
            <w:r>
              <w:rPr>
                <w:rFonts w:ascii="Arial" w:cs="Arial" w:eastAsia="Arial" w:hAnsi="Arial"/>
                <w:sz w:val="18"/>
                <w:szCs w:val="18"/>
                <w:color w:val="auto"/>
              </w:rPr>
              <w:t>Gerard Barron</w:t>
            </w:r>
          </w:p>
        </w:tc>
        <w:tc>
          <w:tcPr>
            <w:tcW w:w="100" w:type="dxa"/>
            <w:vAlign w:val="bottom"/>
          </w:tcPr>
          <w:p>
            <w:pPr>
              <w:spacing w:after="0"/>
              <w:rPr>
                <w:sz w:val="19"/>
                <w:szCs w:val="19"/>
                <w:color w:val="auto"/>
              </w:rPr>
            </w:pPr>
          </w:p>
        </w:tc>
        <w:tc>
          <w:tcPr>
            <w:tcW w:w="4740" w:type="dxa"/>
            <w:vAlign w:val="bottom"/>
            <w:gridSpan w:val="2"/>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10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18"/>
        </w:trPr>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Craig Shesky</w:t>
            </w:r>
          </w:p>
        </w:tc>
        <w:tc>
          <w:tcPr>
            <w:tcW w:w="100" w:type="dxa"/>
            <w:vAlign w:val="bottom"/>
          </w:tcPr>
          <w:p>
            <w:pPr>
              <w:spacing w:after="0"/>
              <w:rPr>
                <w:sz w:val="24"/>
                <w:szCs w:val="24"/>
                <w:color w:val="auto"/>
              </w:rPr>
            </w:pPr>
          </w:p>
        </w:tc>
        <w:tc>
          <w:tcPr>
            <w:tcW w:w="4740" w:type="dxa"/>
            <w:vAlign w:val="bottom"/>
            <w:gridSpan w:val="2"/>
          </w:tcPr>
          <w:p>
            <w:pPr>
              <w:jc w:val="center"/>
              <w:spacing w:after="0"/>
              <w:rPr>
                <w:sz w:val="20"/>
                <w:szCs w:val="20"/>
                <w:color w:val="auto"/>
              </w:rPr>
            </w:pPr>
            <w:r>
              <w:rPr>
                <w:rFonts w:ascii="Arial" w:cs="Arial" w:eastAsia="Arial" w:hAnsi="Arial"/>
                <w:sz w:val="18"/>
                <w:szCs w:val="18"/>
                <w:color w:val="auto"/>
                <w:w w:val="93"/>
              </w:rPr>
              <w:t>Chief Financial Officer</w:t>
            </w:r>
          </w:p>
        </w:tc>
        <w:tc>
          <w:tcPr>
            <w:tcW w:w="10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March 27, 2023</w:t>
            </w:r>
          </w:p>
        </w:tc>
      </w:tr>
      <w:tr>
        <w:trPr>
          <w:trHeight w:val="224"/>
        </w:trPr>
        <w:tc>
          <w:tcPr>
            <w:tcW w:w="3720" w:type="dxa"/>
            <w:vAlign w:val="bottom"/>
            <w:gridSpan w:val="2"/>
          </w:tcPr>
          <w:p>
            <w:pPr>
              <w:spacing w:after="0"/>
              <w:rPr>
                <w:sz w:val="20"/>
                <w:szCs w:val="20"/>
                <w:color w:val="auto"/>
              </w:rPr>
            </w:pPr>
            <w:r>
              <w:rPr>
                <w:rFonts w:ascii="Arial" w:cs="Arial" w:eastAsia="Arial" w:hAnsi="Arial"/>
                <w:sz w:val="18"/>
                <w:szCs w:val="18"/>
                <w:color w:val="auto"/>
              </w:rPr>
              <w:t>Craig Shesky</w:t>
            </w:r>
          </w:p>
        </w:tc>
        <w:tc>
          <w:tcPr>
            <w:tcW w:w="100" w:type="dxa"/>
            <w:vAlign w:val="bottom"/>
          </w:tcPr>
          <w:p>
            <w:pPr>
              <w:spacing w:after="0"/>
              <w:rPr>
                <w:sz w:val="19"/>
                <w:szCs w:val="19"/>
                <w:color w:val="auto"/>
              </w:rPr>
            </w:pPr>
          </w:p>
        </w:tc>
        <w:tc>
          <w:tcPr>
            <w:tcW w:w="4740" w:type="dxa"/>
            <w:vAlign w:val="bottom"/>
            <w:gridSpan w:val="2"/>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Financial and Accounting Officer</w:t>
            </w:r>
            <w:r>
              <w:rPr>
                <w:rFonts w:ascii="Arial" w:cs="Arial" w:eastAsia="Arial" w:hAnsi="Arial"/>
                <w:sz w:val="18"/>
                <w:szCs w:val="18"/>
                <w:color w:val="auto"/>
                <w:w w:val="94"/>
              </w:rPr>
              <w:t>)</w:t>
            </w:r>
          </w:p>
        </w:tc>
        <w:tc>
          <w:tcPr>
            <w:tcW w:w="10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18"/>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940" w:type="dxa"/>
            <w:vAlign w:val="bottom"/>
          </w:tcPr>
          <w:p>
            <w:pPr>
              <w:jc w:val="center"/>
              <w:ind w:right="1690"/>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March 27, 2023</w:t>
            </w:r>
          </w:p>
        </w:tc>
      </w:tr>
      <w:tr>
        <w:trPr>
          <w:trHeight w:val="224"/>
        </w:trPr>
        <w:tc>
          <w:tcPr>
            <w:tcW w:w="3720" w:type="dxa"/>
            <w:vAlign w:val="bottom"/>
            <w:gridSpan w:val="2"/>
          </w:tcPr>
          <w:p>
            <w:pPr>
              <w:spacing w:after="0"/>
              <w:rPr>
                <w:sz w:val="20"/>
                <w:szCs w:val="20"/>
                <w:color w:val="auto"/>
              </w:rPr>
            </w:pPr>
            <w:r>
              <w:rPr>
                <w:rFonts w:ascii="Arial" w:cs="Arial" w:eastAsia="Arial" w:hAnsi="Arial"/>
                <w:sz w:val="18"/>
                <w:szCs w:val="18"/>
                <w:color w:val="auto"/>
              </w:rPr>
              <w:t>Andrew C. Greig</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18"/>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940" w:type="dxa"/>
            <w:vAlign w:val="bottom"/>
          </w:tcPr>
          <w:p>
            <w:pPr>
              <w:jc w:val="center"/>
              <w:ind w:right="1690"/>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March 27, 2023</w:t>
            </w:r>
          </w:p>
        </w:tc>
      </w:tr>
      <w:tr>
        <w:trPr>
          <w:trHeight w:val="224"/>
        </w:trPr>
        <w:tc>
          <w:tcPr>
            <w:tcW w:w="3720" w:type="dxa"/>
            <w:vAlign w:val="bottom"/>
            <w:gridSpan w:val="2"/>
          </w:tcPr>
          <w:p>
            <w:pPr>
              <w:spacing w:after="0"/>
              <w:rPr>
                <w:sz w:val="20"/>
                <w:szCs w:val="20"/>
                <w:color w:val="auto"/>
              </w:rPr>
            </w:pPr>
            <w:r>
              <w:rPr>
                <w:rFonts w:ascii="Arial" w:cs="Arial" w:eastAsia="Arial" w:hAnsi="Arial"/>
                <w:sz w:val="18"/>
                <w:szCs w:val="18"/>
                <w:color w:val="auto"/>
              </w:rPr>
              <w:t>Christian Madsbjerg</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18"/>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940" w:type="dxa"/>
            <w:vAlign w:val="bottom"/>
          </w:tcPr>
          <w:p>
            <w:pPr>
              <w:jc w:val="center"/>
              <w:ind w:right="1690"/>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March 27, 2023</w:t>
            </w:r>
          </w:p>
        </w:tc>
      </w:tr>
      <w:tr>
        <w:trPr>
          <w:trHeight w:val="224"/>
        </w:trPr>
        <w:tc>
          <w:tcPr>
            <w:tcW w:w="3720" w:type="dxa"/>
            <w:vAlign w:val="bottom"/>
            <w:gridSpan w:val="2"/>
          </w:tcPr>
          <w:p>
            <w:pPr>
              <w:spacing w:after="0"/>
              <w:rPr>
                <w:sz w:val="20"/>
                <w:szCs w:val="20"/>
                <w:color w:val="auto"/>
              </w:rPr>
            </w:pPr>
            <w:r>
              <w:rPr>
                <w:rFonts w:ascii="Arial" w:cs="Arial" w:eastAsia="Arial" w:hAnsi="Arial"/>
                <w:sz w:val="18"/>
                <w:szCs w:val="18"/>
                <w:color w:val="auto"/>
              </w:rPr>
              <w:t>Andrew Hall</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18"/>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940" w:type="dxa"/>
            <w:vAlign w:val="bottom"/>
          </w:tcPr>
          <w:p>
            <w:pPr>
              <w:jc w:val="center"/>
              <w:ind w:right="1690"/>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March 27, 2023</w:t>
            </w:r>
          </w:p>
        </w:tc>
      </w:tr>
      <w:tr>
        <w:trPr>
          <w:trHeight w:val="224"/>
        </w:trPr>
        <w:tc>
          <w:tcPr>
            <w:tcW w:w="3720" w:type="dxa"/>
            <w:vAlign w:val="bottom"/>
            <w:gridSpan w:val="2"/>
          </w:tcPr>
          <w:p>
            <w:pPr>
              <w:spacing w:after="0"/>
              <w:rPr>
                <w:sz w:val="20"/>
                <w:szCs w:val="20"/>
                <w:color w:val="auto"/>
              </w:rPr>
            </w:pPr>
            <w:r>
              <w:rPr>
                <w:rFonts w:ascii="Arial" w:cs="Arial" w:eastAsia="Arial" w:hAnsi="Arial"/>
                <w:sz w:val="18"/>
                <w:szCs w:val="18"/>
                <w:color w:val="auto"/>
              </w:rPr>
              <w:t>Kathleen McAllister</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18"/>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940" w:type="dxa"/>
            <w:vAlign w:val="bottom"/>
          </w:tcPr>
          <w:p>
            <w:pPr>
              <w:jc w:val="center"/>
              <w:ind w:right="1690"/>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March 27, 2023</w:t>
            </w:r>
          </w:p>
        </w:tc>
      </w:tr>
      <w:tr>
        <w:trPr>
          <w:trHeight w:val="224"/>
        </w:trPr>
        <w:tc>
          <w:tcPr>
            <w:tcW w:w="3720" w:type="dxa"/>
            <w:vAlign w:val="bottom"/>
            <w:gridSpan w:val="2"/>
          </w:tcPr>
          <w:p>
            <w:pPr>
              <w:spacing w:after="0"/>
              <w:rPr>
                <w:sz w:val="20"/>
                <w:szCs w:val="20"/>
                <w:color w:val="auto"/>
              </w:rPr>
            </w:pPr>
            <w:r>
              <w:rPr>
                <w:rFonts w:ascii="Arial" w:cs="Arial" w:eastAsia="Arial" w:hAnsi="Arial"/>
                <w:sz w:val="18"/>
                <w:szCs w:val="18"/>
                <w:color w:val="auto"/>
              </w:rPr>
              <w:t>Sheila Khama</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18"/>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940" w:type="dxa"/>
            <w:vAlign w:val="bottom"/>
          </w:tcPr>
          <w:p>
            <w:pPr>
              <w:jc w:val="center"/>
              <w:ind w:right="1690"/>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March 27, 2023</w:t>
            </w:r>
          </w:p>
        </w:tc>
      </w:tr>
      <w:tr>
        <w:trPr>
          <w:trHeight w:val="224"/>
        </w:trPr>
        <w:tc>
          <w:tcPr>
            <w:tcW w:w="3720" w:type="dxa"/>
            <w:vAlign w:val="bottom"/>
            <w:gridSpan w:val="2"/>
          </w:tcPr>
          <w:p>
            <w:pPr>
              <w:spacing w:after="0"/>
              <w:rPr>
                <w:sz w:val="20"/>
                <w:szCs w:val="20"/>
                <w:color w:val="auto"/>
              </w:rPr>
            </w:pPr>
            <w:r>
              <w:rPr>
                <w:rFonts w:ascii="Arial" w:cs="Arial" w:eastAsia="Arial" w:hAnsi="Arial"/>
                <w:sz w:val="18"/>
                <w:szCs w:val="18"/>
                <w:color w:val="auto"/>
              </w:rPr>
              <w:t>Andrei Karkar</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18"/>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940" w:type="dxa"/>
            <w:vAlign w:val="bottom"/>
          </w:tcPr>
          <w:p>
            <w:pPr>
              <w:jc w:val="center"/>
              <w:ind w:right="1690"/>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March 27, 2023</w:t>
            </w:r>
          </w:p>
        </w:tc>
      </w:tr>
      <w:tr>
        <w:trPr>
          <w:trHeight w:val="224"/>
        </w:trPr>
        <w:tc>
          <w:tcPr>
            <w:tcW w:w="3720" w:type="dxa"/>
            <w:vAlign w:val="bottom"/>
            <w:gridSpan w:val="2"/>
          </w:tcPr>
          <w:p>
            <w:pPr>
              <w:spacing w:after="0"/>
              <w:rPr>
                <w:sz w:val="20"/>
                <w:szCs w:val="20"/>
                <w:color w:val="auto"/>
              </w:rPr>
            </w:pPr>
            <w:r>
              <w:rPr>
                <w:rFonts w:ascii="Arial" w:cs="Arial" w:eastAsia="Arial" w:hAnsi="Arial"/>
                <w:sz w:val="18"/>
                <w:szCs w:val="18"/>
                <w:color w:val="auto"/>
              </w:rPr>
              <w:t>Amelia Kinahoi Siamomua</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18"/>
        </w:trPr>
        <w:tc>
          <w:tcPr>
            <w:tcW w:w="3720" w:type="dxa"/>
            <w:vAlign w:val="bottom"/>
            <w:gridSpan w:val="2"/>
          </w:tcPr>
          <w:p>
            <w:pPr>
              <w:spacing w:after="0"/>
              <w:rPr>
                <w:sz w:val="20"/>
                <w:szCs w:val="20"/>
                <w:color w:val="auto"/>
              </w:rPr>
            </w:pPr>
            <w:r>
              <w:rPr>
                <w:rFonts w:ascii="Arial" w:cs="Arial" w:eastAsia="Arial" w:hAnsi="Arial"/>
                <w:sz w:val="18"/>
                <w:szCs w:val="18"/>
                <w:color w:val="auto"/>
              </w:rPr>
              <w:t>*By: /s/ Gerard Barron</w:t>
            </w: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195"/>
        </w:trPr>
        <w:tc>
          <w:tcPr>
            <w:tcW w:w="460" w:type="dxa"/>
            <w:vAlign w:val="bottom"/>
          </w:tcPr>
          <w:p>
            <w:pPr>
              <w:spacing w:after="0"/>
              <w:rPr>
                <w:sz w:val="16"/>
                <w:szCs w:val="16"/>
                <w:color w:val="auto"/>
              </w:rPr>
            </w:pPr>
          </w:p>
        </w:tc>
        <w:tc>
          <w:tcPr>
            <w:tcW w:w="3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Gerard Barron</w:t>
            </w:r>
          </w:p>
        </w:tc>
        <w:tc>
          <w:tcPr>
            <w:tcW w:w="10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230"/>
        </w:trPr>
        <w:tc>
          <w:tcPr>
            <w:tcW w:w="46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Attorney-in-fact</w:t>
            </w: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648"/>
        </w:trPr>
        <w:tc>
          <w:tcPr>
            <w:tcW w:w="4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ind w:left="1660"/>
              <w:spacing w:after="0"/>
              <w:rPr>
                <w:sz w:val="20"/>
                <w:szCs w:val="20"/>
                <w:color w:val="auto"/>
              </w:rPr>
            </w:pPr>
            <w:r>
              <w:rPr>
                <w:rFonts w:ascii="Arial" w:cs="Arial" w:eastAsia="Arial" w:hAnsi="Arial"/>
                <w:sz w:val="18"/>
                <w:szCs w:val="18"/>
                <w:color w:val="auto"/>
              </w:rPr>
              <w:t>II-6</w:t>
            </w: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147955</wp:posOffset>
            </wp:positionV>
            <wp:extent cx="6951980" cy="25374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6">
                      <a:extLst>
                        <a:ext uri="{28A0092B-C50C-407E-A947-70E740481C1C}"/>
                      </a:extLst>
                    </a:blip>
                    <a:srcRect/>
                    <a:stretch>
                      <a:fillRect/>
                    </a:stretch>
                  </pic:blipFill>
                  <pic:spPr bwMode="auto">
                    <a:xfrm>
                      <a:off x="0" y="0"/>
                      <a:ext cx="695198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March 27,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File No.: 328015.00001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TMC the metals company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595 Howe Street, 10th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Vancouver, British Columbia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V6C 2T5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Sirs/Mesdames:</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TMC the metals company Inc. – Registration Statement on Form S-1</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acted as Canadian counsel to TMC the metals company Inc., a corporation continued under the laws of the Province of British Columbia (the “</w:t>
      </w:r>
      <w:r>
        <w:rPr>
          <w:rFonts w:ascii="Arial" w:cs="Arial" w:eastAsia="Arial" w:hAnsi="Arial"/>
          <w:sz w:val="18"/>
          <w:szCs w:val="18"/>
          <w:b w:val="1"/>
          <w:bCs w:val="1"/>
          <w:color w:val="auto"/>
        </w:rPr>
        <w:t>Corporation</w:t>
      </w:r>
      <w:r>
        <w:rPr>
          <w:rFonts w:ascii="Arial" w:cs="Arial" w:eastAsia="Arial" w:hAnsi="Arial"/>
          <w:sz w:val="18"/>
          <w:szCs w:val="18"/>
          <w:color w:val="auto"/>
        </w:rPr>
        <w:t>”), in connection with the filing of a registration statement named Amendment No. 1 to Post-Effective Amendment No. 2 to Form S-1 on Form S-3 (as may be amended,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The Registration Statement relates to, among other securities, the issuance of up to an aggregate of 24,500,000 common shares without par value (each a “</w:t>
      </w:r>
      <w:r>
        <w:rPr>
          <w:rFonts w:ascii="Arial" w:cs="Arial" w:eastAsia="Arial" w:hAnsi="Arial"/>
          <w:sz w:val="18"/>
          <w:szCs w:val="18"/>
          <w:b w:val="1"/>
          <w:bCs w:val="1"/>
          <w:color w:val="auto"/>
        </w:rPr>
        <w:t>Common Share</w:t>
      </w:r>
      <w:r>
        <w:rPr>
          <w:rFonts w:ascii="Arial" w:cs="Arial" w:eastAsia="Arial" w:hAnsi="Arial"/>
          <w:sz w:val="18"/>
          <w:szCs w:val="18"/>
          <w:color w:val="auto"/>
        </w:rPr>
        <w:t>”) in the capital of the Corporation (collectively, the “</w:t>
      </w:r>
      <w:r>
        <w:rPr>
          <w:rFonts w:ascii="Arial" w:cs="Arial" w:eastAsia="Arial" w:hAnsi="Arial"/>
          <w:sz w:val="18"/>
          <w:szCs w:val="18"/>
          <w:b w:val="1"/>
          <w:bCs w:val="1"/>
          <w:color w:val="auto"/>
        </w:rPr>
        <w:t>Primary Shares</w:t>
      </w:r>
      <w:r>
        <w:rPr>
          <w:rFonts w:ascii="Arial" w:cs="Arial" w:eastAsia="Arial" w:hAnsi="Arial"/>
          <w:sz w:val="18"/>
          <w:szCs w:val="18"/>
          <w:color w:val="auto"/>
        </w:rPr>
        <w:t>”), which consists of up to:</w:t>
      </w:r>
    </w:p>
    <w:p>
      <w:pPr>
        <w:spacing w:after="0" w:line="188" w:lineRule="exact"/>
        <w:rPr>
          <w:sz w:val="20"/>
          <w:szCs w:val="20"/>
          <w:color w:val="auto"/>
        </w:rPr>
      </w:pPr>
    </w:p>
    <w:p>
      <w:pPr>
        <w:jc w:val="both"/>
        <w:ind w:left="660" w:hanging="328"/>
        <w:spacing w:after="0" w:line="261"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9,500,000 Common Shares (the “</w:t>
      </w:r>
      <w:r>
        <w:rPr>
          <w:rFonts w:ascii="Arial" w:cs="Arial" w:eastAsia="Arial" w:hAnsi="Arial"/>
          <w:sz w:val="18"/>
          <w:szCs w:val="18"/>
          <w:b w:val="1"/>
          <w:bCs w:val="1"/>
          <w:color w:val="auto"/>
        </w:rPr>
        <w:t>Private Placement Warrant Shares</w:t>
      </w:r>
      <w:r>
        <w:rPr>
          <w:rFonts w:ascii="Arial" w:cs="Arial" w:eastAsia="Arial" w:hAnsi="Arial"/>
          <w:sz w:val="18"/>
          <w:szCs w:val="18"/>
          <w:color w:val="auto"/>
        </w:rPr>
        <w:t>”) that are issuable upon the exercise of up to 9,500,000 warrants issued in a private placement in connection with the initial public offering of Sustainable Opportunities Acquisition Corp. (“</w:t>
      </w:r>
      <w:r>
        <w:rPr>
          <w:rFonts w:ascii="Arial" w:cs="Arial" w:eastAsia="Arial" w:hAnsi="Arial"/>
          <w:sz w:val="18"/>
          <w:szCs w:val="18"/>
          <w:b w:val="1"/>
          <w:bCs w:val="1"/>
          <w:color w:val="auto"/>
        </w:rPr>
        <w:t>SOAC</w:t>
      </w:r>
      <w:r>
        <w:rPr>
          <w:rFonts w:ascii="Arial" w:cs="Arial" w:eastAsia="Arial" w:hAnsi="Arial"/>
          <w:sz w:val="18"/>
          <w:szCs w:val="18"/>
          <w:color w:val="auto"/>
        </w:rPr>
        <w:t>”), which continued under the laws of the Province of British Columbia and changed its name to that of the Corporation, at an exercise price of $11.50 per common share (the “</w:t>
      </w:r>
      <w:r>
        <w:rPr>
          <w:rFonts w:ascii="Arial" w:cs="Arial" w:eastAsia="Arial" w:hAnsi="Arial"/>
          <w:sz w:val="18"/>
          <w:szCs w:val="18"/>
          <w:b w:val="1"/>
          <w:bCs w:val="1"/>
          <w:color w:val="auto"/>
        </w:rPr>
        <w:t>Private Placement Warrants</w:t>
      </w:r>
      <w:r>
        <w:rPr>
          <w:rFonts w:ascii="Arial" w:cs="Arial" w:eastAsia="Arial" w:hAnsi="Arial"/>
          <w:sz w:val="18"/>
          <w:szCs w:val="18"/>
          <w:color w:val="auto"/>
        </w:rPr>
        <w:t>”); and</w:t>
      </w:r>
    </w:p>
    <w:p>
      <w:pPr>
        <w:spacing w:after="0" w:line="179"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15,000,000 Common Shares (the “</w:t>
      </w:r>
      <w:r>
        <w:rPr>
          <w:rFonts w:ascii="Arial" w:cs="Arial" w:eastAsia="Arial" w:hAnsi="Arial"/>
          <w:sz w:val="18"/>
          <w:szCs w:val="18"/>
          <w:b w:val="1"/>
          <w:bCs w:val="1"/>
          <w:color w:val="auto"/>
        </w:rPr>
        <w:t>Public Warrant Shares</w:t>
      </w:r>
      <w:r>
        <w:rPr>
          <w:rFonts w:ascii="Arial" w:cs="Arial" w:eastAsia="Arial" w:hAnsi="Arial"/>
          <w:sz w:val="18"/>
          <w:szCs w:val="18"/>
          <w:color w:val="auto"/>
        </w:rPr>
        <w:t>”) that are issuable upon the exercise of up to 15,000,000 warrants issued in connection with the initial public offering of SOAC at an exercise price of $11.50 per common share (the “</w:t>
      </w:r>
      <w:r>
        <w:rPr>
          <w:rFonts w:ascii="Arial" w:cs="Arial" w:eastAsia="Arial" w:hAnsi="Arial"/>
          <w:sz w:val="18"/>
          <w:szCs w:val="18"/>
          <w:b w:val="1"/>
          <w:bCs w:val="1"/>
          <w:color w:val="auto"/>
        </w:rPr>
        <w:t>Public Warrants</w:t>
      </w:r>
      <w:r>
        <w:rPr>
          <w:rFonts w:ascii="Arial" w:cs="Arial" w:eastAsia="Arial" w:hAnsi="Arial"/>
          <w:sz w:val="18"/>
          <w:szCs w:val="18"/>
          <w:color w:val="auto"/>
        </w:rPr>
        <w:t>,” and together with the Private Placement Warrants, the “</w:t>
      </w:r>
      <w:r>
        <w:rPr>
          <w:rFonts w:ascii="Arial" w:cs="Arial" w:eastAsia="Arial" w:hAnsi="Arial"/>
          <w:sz w:val="18"/>
          <w:szCs w:val="18"/>
          <w:b w:val="1"/>
          <w:bCs w:val="1"/>
          <w:color w:val="auto"/>
        </w:rPr>
        <w:t>Warrants</w:t>
      </w:r>
      <w:r>
        <w:rPr>
          <w:rFonts w:ascii="Arial" w:cs="Arial" w:eastAsia="Arial" w:hAnsi="Arial"/>
          <w:sz w:val="18"/>
          <w:szCs w:val="18"/>
          <w:color w:val="auto"/>
        </w:rPr>
        <w:t>”).</w:t>
      </w:r>
    </w:p>
    <w:p>
      <w:pPr>
        <w:spacing w:after="0" w:line="18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Registration Statement also relates to the offer and sale by certain security holders of the Corporation named in the Registration Statement (the “</w:t>
      </w:r>
      <w:r>
        <w:rPr>
          <w:rFonts w:ascii="Arial" w:cs="Arial" w:eastAsia="Arial" w:hAnsi="Arial"/>
          <w:sz w:val="17"/>
          <w:szCs w:val="17"/>
          <w:b w:val="1"/>
          <w:bCs w:val="1"/>
          <w:color w:val="auto"/>
        </w:rPr>
        <w:t>Selling Securityholders</w:t>
      </w:r>
      <w:r>
        <w:rPr>
          <w:rFonts w:ascii="Arial" w:cs="Arial" w:eastAsia="Arial" w:hAnsi="Arial"/>
          <w:sz w:val="17"/>
          <w:szCs w:val="17"/>
          <w:color w:val="auto"/>
        </w:rPr>
        <w:t>”) of up to an aggregate of 248,779,861 Common Shares (collectively, the “</w:t>
      </w:r>
      <w:r>
        <w:rPr>
          <w:rFonts w:ascii="Arial" w:cs="Arial" w:eastAsia="Arial" w:hAnsi="Arial"/>
          <w:sz w:val="17"/>
          <w:szCs w:val="17"/>
          <w:b w:val="1"/>
          <w:bCs w:val="1"/>
          <w:color w:val="auto"/>
        </w:rPr>
        <w:t>Resale Shares</w:t>
      </w:r>
      <w:r>
        <w:rPr>
          <w:rFonts w:ascii="Arial" w:cs="Arial" w:eastAsia="Arial" w:hAnsi="Arial"/>
          <w:sz w:val="17"/>
          <w:szCs w:val="17"/>
          <w:color w:val="auto"/>
        </w:rPr>
        <w:t>”), which consists of up to:</w:t>
      </w:r>
    </w:p>
    <w:p>
      <w:pPr>
        <w:spacing w:after="0" w:line="14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5"/>
          <w:szCs w:val="15"/>
          <w:color w:val="auto"/>
        </w:rPr>
        <w:t>9,500,000 Private Placement Warrant Shares;</w:t>
      </w:r>
    </w:p>
    <w:p>
      <w:pPr>
        <w:sectPr>
          <w:pgSz w:w="11900" w:h="16838" w:orient="portrait"/>
          <w:cols w:equalWidth="0" w:num="1">
            <w:col w:w="11240"/>
          </w:cols>
          <w:pgMar w:left="320" w:top="355" w:right="339" w:bottom="1440" w:gutter="0" w:footer="0" w:header="0"/>
        </w:sectPr>
      </w:pPr>
    </w:p>
    <w:bookmarkStart w:id="55" w:name="page56"/>
    <w:bookmarkEnd w:id="55"/>
    <w:p>
      <w:pPr>
        <w:spacing w:after="0"/>
        <w:tabs>
          <w:tab w:leader="none" w:pos="6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4580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7">
                      <a:extLst>
                        <a:ext uri="{28A0092B-C50C-407E-A947-70E740481C1C}"/>
                      </a:extLst>
                    </a:blip>
                    <a:srcRect/>
                    <a:stretch>
                      <a:fillRect/>
                    </a:stretch>
                  </pic:blipFill>
                  <pic:spPr bwMode="auto">
                    <a:xfrm>
                      <a:off x="0" y="0"/>
                      <a:ext cx="7132320" cy="7458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328295</wp:posOffset>
            </wp:positionH>
            <wp:positionV relativeFrom="page">
              <wp:posOffset>448945</wp:posOffset>
            </wp:positionV>
            <wp:extent cx="6858000" cy="17913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28" w:hanging="328"/>
        <w:spacing w:after="0" w:line="282" w:lineRule="auto"/>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11,578,620 Common Shares (the “</w:t>
      </w:r>
      <w:r>
        <w:rPr>
          <w:rFonts w:ascii="Arial" w:cs="Arial" w:eastAsia="Arial" w:hAnsi="Arial"/>
          <w:sz w:val="18"/>
          <w:szCs w:val="18"/>
          <w:b w:val="1"/>
          <w:bCs w:val="1"/>
          <w:color w:val="auto"/>
        </w:rPr>
        <w:t>Allseas Warrant Shares</w:t>
      </w:r>
      <w:r>
        <w:rPr>
          <w:rFonts w:ascii="Arial" w:cs="Arial" w:eastAsia="Arial" w:hAnsi="Arial"/>
          <w:sz w:val="18"/>
          <w:szCs w:val="18"/>
          <w:color w:val="auto"/>
        </w:rPr>
        <w:t>”) that may be issued upon exercise of the warrants held by Allseas Group S.A. granted on March 4, 2021 (the “</w:t>
      </w:r>
      <w:r>
        <w:rPr>
          <w:rFonts w:ascii="Arial" w:cs="Arial" w:eastAsia="Arial" w:hAnsi="Arial"/>
          <w:sz w:val="18"/>
          <w:szCs w:val="18"/>
          <w:b w:val="1"/>
          <w:bCs w:val="1"/>
          <w:color w:val="auto"/>
        </w:rPr>
        <w:t>Allseas Warrants</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aggregate of 134,182,997 Common Shares, being:</w:t>
      </w:r>
    </w:p>
    <w:p>
      <w:pPr>
        <w:spacing w:after="0" w:line="221" w:lineRule="exact"/>
        <w:rPr>
          <w:rFonts w:ascii="Arial" w:cs="Arial" w:eastAsia="Arial" w:hAnsi="Arial"/>
          <w:sz w:val="18"/>
          <w:szCs w:val="18"/>
          <w:color w:val="auto"/>
        </w:rPr>
      </w:pPr>
    </w:p>
    <w:p>
      <w:pPr>
        <w:ind w:left="968" w:hanging="320"/>
        <w:spacing w:after="0" w:line="282" w:lineRule="auto"/>
        <w:tabs>
          <w:tab w:leader="none" w:pos="968" w:val="left"/>
        </w:tabs>
        <w:numPr>
          <w:ilvl w:val="1"/>
          <w:numId w:val="32"/>
        </w:numPr>
        <w:rPr>
          <w:rFonts w:ascii="Arial" w:cs="Arial" w:eastAsia="Arial" w:hAnsi="Arial"/>
          <w:sz w:val="18"/>
          <w:szCs w:val="18"/>
          <w:color w:val="auto"/>
        </w:rPr>
      </w:pPr>
      <w:r>
        <w:rPr>
          <w:rFonts w:ascii="Arial" w:cs="Arial" w:eastAsia="Arial" w:hAnsi="Arial"/>
          <w:sz w:val="18"/>
          <w:szCs w:val="18"/>
          <w:color w:val="auto"/>
        </w:rPr>
        <w:t>certain shares (the “</w:t>
      </w:r>
      <w:r>
        <w:rPr>
          <w:rFonts w:ascii="Arial" w:cs="Arial" w:eastAsia="Arial" w:hAnsi="Arial"/>
          <w:sz w:val="18"/>
          <w:szCs w:val="18"/>
          <w:b w:val="1"/>
          <w:bCs w:val="1"/>
          <w:color w:val="auto"/>
        </w:rPr>
        <w:t>Founder Shares</w:t>
      </w:r>
      <w:r>
        <w:rPr>
          <w:rFonts w:ascii="Arial" w:cs="Arial" w:eastAsia="Arial" w:hAnsi="Arial"/>
          <w:sz w:val="18"/>
          <w:szCs w:val="18"/>
          <w:color w:val="auto"/>
        </w:rPr>
        <w:t>”) originally held by SOAC’s former directors, transferees of SOAC’s sponsor, Sustainable Opportunities Holdings LLC (the “</w:t>
      </w:r>
      <w:r>
        <w:rPr>
          <w:rFonts w:ascii="Arial" w:cs="Arial" w:eastAsia="Arial" w:hAnsi="Arial"/>
          <w:sz w:val="18"/>
          <w:szCs w:val="18"/>
          <w:b w:val="1"/>
          <w:bCs w:val="1"/>
          <w:color w:val="auto"/>
        </w:rPr>
        <w:t>Sponsor</w:t>
      </w:r>
      <w:r>
        <w:rPr>
          <w:rFonts w:ascii="Arial" w:cs="Arial" w:eastAsia="Arial" w:hAnsi="Arial"/>
          <w:sz w:val="18"/>
          <w:szCs w:val="18"/>
          <w:color w:val="auto"/>
        </w:rPr>
        <w:t>”) and certain of their transferees;</w:t>
      </w:r>
    </w:p>
    <w:p>
      <w:pPr>
        <w:spacing w:after="0" w:line="161" w:lineRule="exact"/>
        <w:rPr>
          <w:rFonts w:ascii="Arial" w:cs="Arial" w:eastAsia="Arial" w:hAnsi="Arial"/>
          <w:sz w:val="18"/>
          <w:szCs w:val="18"/>
          <w:color w:val="auto"/>
        </w:rPr>
      </w:pPr>
    </w:p>
    <w:p>
      <w:pPr>
        <w:ind w:left="968" w:hanging="320"/>
        <w:spacing w:after="0" w:line="282" w:lineRule="auto"/>
        <w:tabs>
          <w:tab w:leader="none" w:pos="968" w:val="left"/>
        </w:tabs>
        <w:numPr>
          <w:ilvl w:val="1"/>
          <w:numId w:val="32"/>
        </w:numPr>
        <w:rPr>
          <w:rFonts w:ascii="Arial" w:cs="Arial" w:eastAsia="Arial" w:hAnsi="Arial"/>
          <w:sz w:val="18"/>
          <w:szCs w:val="18"/>
          <w:color w:val="auto"/>
        </w:rPr>
      </w:pPr>
      <w:r>
        <w:rPr>
          <w:rFonts w:ascii="Arial" w:cs="Arial" w:eastAsia="Arial" w:hAnsi="Arial"/>
          <w:sz w:val="18"/>
          <w:szCs w:val="18"/>
          <w:color w:val="auto"/>
        </w:rPr>
        <w:t>certain Common Shares (the “</w:t>
      </w:r>
      <w:r>
        <w:rPr>
          <w:rFonts w:ascii="Arial" w:cs="Arial" w:eastAsia="Arial" w:hAnsi="Arial"/>
          <w:sz w:val="18"/>
          <w:szCs w:val="18"/>
          <w:b w:val="1"/>
          <w:bCs w:val="1"/>
          <w:color w:val="auto"/>
        </w:rPr>
        <w:t>PIPE Shares</w:t>
      </w:r>
      <w:r>
        <w:rPr>
          <w:rFonts w:ascii="Arial" w:cs="Arial" w:eastAsia="Arial" w:hAnsi="Arial"/>
          <w:sz w:val="18"/>
          <w:szCs w:val="18"/>
          <w:color w:val="auto"/>
        </w:rPr>
        <w:t>”) issued to certain investors pursuant to a private placement immediately prior to the closing of the business combination on September 9, 2021;</w:t>
      </w:r>
    </w:p>
    <w:p>
      <w:pPr>
        <w:spacing w:after="0" w:line="161" w:lineRule="exact"/>
        <w:rPr>
          <w:rFonts w:ascii="Arial" w:cs="Arial" w:eastAsia="Arial" w:hAnsi="Arial"/>
          <w:sz w:val="18"/>
          <w:szCs w:val="18"/>
          <w:color w:val="auto"/>
        </w:rPr>
      </w:pPr>
    </w:p>
    <w:p>
      <w:pPr>
        <w:ind w:left="968" w:hanging="320"/>
        <w:spacing w:after="0" w:line="282" w:lineRule="auto"/>
        <w:tabs>
          <w:tab w:leader="none" w:pos="968" w:val="left"/>
        </w:tabs>
        <w:numPr>
          <w:ilvl w:val="1"/>
          <w:numId w:val="32"/>
        </w:numPr>
        <w:rPr>
          <w:rFonts w:ascii="Arial" w:cs="Arial" w:eastAsia="Arial" w:hAnsi="Arial"/>
          <w:sz w:val="18"/>
          <w:szCs w:val="18"/>
          <w:color w:val="auto"/>
        </w:rPr>
      </w:pPr>
      <w:r>
        <w:rPr>
          <w:rFonts w:ascii="Arial" w:cs="Arial" w:eastAsia="Arial" w:hAnsi="Arial"/>
          <w:sz w:val="18"/>
          <w:szCs w:val="18"/>
          <w:color w:val="auto"/>
        </w:rPr>
        <w:t>certain Common Shares (the “</w:t>
      </w:r>
      <w:r>
        <w:rPr>
          <w:rFonts w:ascii="Arial" w:cs="Arial" w:eastAsia="Arial" w:hAnsi="Arial"/>
          <w:sz w:val="18"/>
          <w:szCs w:val="18"/>
          <w:b w:val="1"/>
          <w:bCs w:val="1"/>
          <w:color w:val="auto"/>
        </w:rPr>
        <w:t>Legacy DeepGreen Shares</w:t>
      </w:r>
      <w:r>
        <w:rPr>
          <w:rFonts w:ascii="Arial" w:cs="Arial" w:eastAsia="Arial" w:hAnsi="Arial"/>
          <w:sz w:val="18"/>
          <w:szCs w:val="18"/>
          <w:color w:val="auto"/>
        </w:rPr>
        <w:t>”) issued to certain former shareholders of DeepGreen Metals Inc. (“</w:t>
      </w:r>
      <w:r>
        <w:rPr>
          <w:rFonts w:ascii="Arial" w:cs="Arial" w:eastAsia="Arial" w:hAnsi="Arial"/>
          <w:sz w:val="18"/>
          <w:szCs w:val="18"/>
          <w:b w:val="1"/>
          <w:bCs w:val="1"/>
          <w:color w:val="auto"/>
        </w:rPr>
        <w:t>Legacy</w:t>
      </w:r>
      <w:r>
        <w:rPr>
          <w:rFonts w:ascii="Arial" w:cs="Arial" w:eastAsia="Arial" w:hAnsi="Arial"/>
          <w:sz w:val="18"/>
          <w:szCs w:val="18"/>
          <w:color w:val="auto"/>
        </w:rPr>
        <w:t xml:space="preserve"> </w:t>
      </w:r>
      <w:r>
        <w:rPr>
          <w:rFonts w:ascii="Arial" w:cs="Arial" w:eastAsia="Arial" w:hAnsi="Arial"/>
          <w:sz w:val="18"/>
          <w:szCs w:val="18"/>
          <w:b w:val="1"/>
          <w:bCs w:val="1"/>
          <w:color w:val="auto"/>
        </w:rPr>
        <w:t>DeepGreen</w:t>
      </w:r>
      <w:r>
        <w:rPr>
          <w:rFonts w:ascii="Arial" w:cs="Arial" w:eastAsia="Arial" w:hAnsi="Arial"/>
          <w:sz w:val="18"/>
          <w:szCs w:val="18"/>
          <w:color w:val="auto"/>
        </w:rPr>
        <w:t>”) in connection with:</w:t>
      </w:r>
    </w:p>
    <w:p>
      <w:pPr>
        <w:spacing w:after="0" w:line="161" w:lineRule="exact"/>
        <w:rPr>
          <w:rFonts w:ascii="Arial" w:cs="Arial" w:eastAsia="Arial" w:hAnsi="Arial"/>
          <w:sz w:val="18"/>
          <w:szCs w:val="18"/>
          <w:color w:val="auto"/>
        </w:rPr>
      </w:pPr>
    </w:p>
    <w:p>
      <w:pPr>
        <w:ind w:left="1948" w:hanging="328"/>
        <w:spacing w:after="0" w:line="282" w:lineRule="auto"/>
        <w:tabs>
          <w:tab w:leader="none" w:pos="1948" w:val="left"/>
        </w:tabs>
        <w:numPr>
          <w:ilvl w:val="2"/>
          <w:numId w:val="32"/>
        </w:numPr>
        <w:rPr>
          <w:rFonts w:ascii="Arial" w:cs="Arial" w:eastAsia="Arial" w:hAnsi="Arial"/>
          <w:sz w:val="18"/>
          <w:szCs w:val="18"/>
          <w:color w:val="auto"/>
        </w:rPr>
      </w:pPr>
      <w:r>
        <w:rPr>
          <w:rFonts w:ascii="Arial" w:cs="Arial" w:eastAsia="Arial" w:hAnsi="Arial"/>
          <w:sz w:val="18"/>
          <w:szCs w:val="18"/>
          <w:color w:val="auto"/>
        </w:rPr>
        <w:t>a plan of arrangement (the “</w:t>
      </w:r>
      <w:r>
        <w:rPr>
          <w:rFonts w:ascii="Arial" w:cs="Arial" w:eastAsia="Arial" w:hAnsi="Arial"/>
          <w:sz w:val="18"/>
          <w:szCs w:val="18"/>
          <w:b w:val="1"/>
          <w:bCs w:val="1"/>
          <w:color w:val="auto"/>
        </w:rPr>
        <w:t>Arrangement</w:t>
      </w:r>
      <w:r>
        <w:rPr>
          <w:rFonts w:ascii="Arial" w:cs="Arial" w:eastAsia="Arial" w:hAnsi="Arial"/>
          <w:sz w:val="18"/>
          <w:szCs w:val="18"/>
          <w:color w:val="auto"/>
        </w:rPr>
        <w:t xml:space="preserve">”) under Part 9, Division 5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(the “</w:t>
      </w:r>
      <w:r>
        <w:rPr>
          <w:rFonts w:ascii="Arial" w:cs="Arial" w:eastAsia="Arial" w:hAnsi="Arial"/>
          <w:sz w:val="18"/>
          <w:szCs w:val="18"/>
          <w:b w:val="1"/>
          <w:bCs w:val="1"/>
          <w:color w:val="auto"/>
        </w:rPr>
        <w:t>BCBCA</w:t>
      </w:r>
      <w:r>
        <w:rPr>
          <w:rFonts w:ascii="Arial" w:cs="Arial" w:eastAsia="Arial" w:hAnsi="Arial"/>
          <w:sz w:val="18"/>
          <w:szCs w:val="18"/>
          <w:color w:val="auto"/>
        </w:rPr>
        <w:t>”); and</w:t>
      </w:r>
    </w:p>
    <w:p>
      <w:pPr>
        <w:spacing w:after="0" w:line="165" w:lineRule="exact"/>
        <w:rPr>
          <w:rFonts w:ascii="Arial" w:cs="Arial" w:eastAsia="Arial" w:hAnsi="Arial"/>
          <w:sz w:val="18"/>
          <w:szCs w:val="18"/>
          <w:color w:val="auto"/>
        </w:rPr>
      </w:pPr>
    </w:p>
    <w:p>
      <w:pPr>
        <w:ind w:left="1948" w:hanging="328"/>
        <w:spacing w:after="0" w:line="308" w:lineRule="auto"/>
        <w:tabs>
          <w:tab w:leader="none" w:pos="1948" w:val="left"/>
        </w:tabs>
        <w:numPr>
          <w:ilvl w:val="2"/>
          <w:numId w:val="32"/>
        </w:numPr>
        <w:rPr>
          <w:rFonts w:ascii="Arial" w:cs="Arial" w:eastAsia="Arial" w:hAnsi="Arial"/>
          <w:sz w:val="17"/>
          <w:szCs w:val="17"/>
          <w:color w:val="auto"/>
        </w:rPr>
      </w:pPr>
      <w:r>
        <w:rPr>
          <w:rFonts w:ascii="Arial" w:cs="Arial" w:eastAsia="Arial" w:hAnsi="Arial"/>
          <w:sz w:val="17"/>
          <w:szCs w:val="17"/>
          <w:color w:val="auto"/>
        </w:rPr>
        <w:t>the transactions contemplated by a business combination agreement dated March 4, 2021 among SOAC, Legacy DeepGreen and 1291924 B.C. Unlimited Liability Company (the “</w:t>
      </w:r>
      <w:r>
        <w:rPr>
          <w:rFonts w:ascii="Arial" w:cs="Arial" w:eastAsia="Arial" w:hAnsi="Arial"/>
          <w:sz w:val="17"/>
          <w:szCs w:val="17"/>
          <w:b w:val="1"/>
          <w:bCs w:val="1"/>
          <w:color w:val="auto"/>
        </w:rPr>
        <w:t>Business Combination Agreement</w:t>
      </w:r>
      <w:r>
        <w:rPr>
          <w:rFonts w:ascii="Arial" w:cs="Arial" w:eastAsia="Arial" w:hAnsi="Arial"/>
          <w:sz w:val="17"/>
          <w:szCs w:val="17"/>
          <w:color w:val="auto"/>
        </w:rPr>
        <w:t>”); and</w:t>
      </w:r>
    </w:p>
    <w:p>
      <w:pPr>
        <w:spacing w:after="0" w:line="142" w:lineRule="exact"/>
        <w:rPr>
          <w:rFonts w:ascii="Arial" w:cs="Arial" w:eastAsia="Arial" w:hAnsi="Arial"/>
          <w:sz w:val="17"/>
          <w:szCs w:val="17"/>
          <w:color w:val="auto"/>
        </w:rPr>
      </w:pPr>
    </w:p>
    <w:p>
      <w:pPr>
        <w:ind w:left="968" w:hanging="320"/>
        <w:spacing w:after="0"/>
        <w:tabs>
          <w:tab w:leader="none" w:pos="968" w:val="left"/>
        </w:tabs>
        <w:numPr>
          <w:ilvl w:val="1"/>
          <w:numId w:val="32"/>
        </w:numPr>
        <w:rPr>
          <w:rFonts w:ascii="Arial" w:cs="Arial" w:eastAsia="Arial" w:hAnsi="Arial"/>
          <w:sz w:val="18"/>
          <w:szCs w:val="18"/>
          <w:color w:val="auto"/>
        </w:rPr>
      </w:pPr>
      <w:r>
        <w:rPr>
          <w:rFonts w:ascii="Arial" w:cs="Arial" w:eastAsia="Arial" w:hAnsi="Arial"/>
          <w:sz w:val="18"/>
          <w:szCs w:val="18"/>
          <w:color w:val="auto"/>
        </w:rPr>
        <w:t>certain Common Shares (the “</w:t>
      </w:r>
      <w:r>
        <w:rPr>
          <w:rFonts w:ascii="Arial" w:cs="Arial" w:eastAsia="Arial" w:hAnsi="Arial"/>
          <w:sz w:val="18"/>
          <w:szCs w:val="18"/>
          <w:b w:val="1"/>
          <w:bCs w:val="1"/>
          <w:color w:val="auto"/>
        </w:rPr>
        <w:t>Service Provider Shares</w:t>
      </w:r>
      <w:r>
        <w:rPr>
          <w:rFonts w:ascii="Arial" w:cs="Arial" w:eastAsia="Arial" w:hAnsi="Arial"/>
          <w:sz w:val="18"/>
          <w:szCs w:val="18"/>
          <w:color w:val="auto"/>
        </w:rPr>
        <w:t>”) issued to certain service providers to Legacy DeepGreen;</w:t>
      </w:r>
    </w:p>
    <w:p>
      <w:pPr>
        <w:spacing w:after="0" w:line="225" w:lineRule="exact"/>
        <w:rPr>
          <w:rFonts w:ascii="Arial" w:cs="Arial" w:eastAsia="Arial" w:hAnsi="Arial"/>
          <w:sz w:val="18"/>
          <w:szCs w:val="18"/>
          <w:color w:val="auto"/>
        </w:rPr>
      </w:pPr>
    </w:p>
    <w:p>
      <w:pPr>
        <w:jc w:val="both"/>
        <w:ind w:left="328" w:hanging="328"/>
        <w:spacing w:after="0" w:line="266" w:lineRule="auto"/>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77,277,244 Common Shares (collectively, “</w:t>
      </w:r>
      <w:r>
        <w:rPr>
          <w:rFonts w:ascii="Arial" w:cs="Arial" w:eastAsia="Arial" w:hAnsi="Arial"/>
          <w:sz w:val="18"/>
          <w:szCs w:val="18"/>
          <w:b w:val="1"/>
          <w:bCs w:val="1"/>
          <w:color w:val="auto"/>
        </w:rPr>
        <w:t>DeepGreen Earnout Conversion Shares</w:t>
      </w:r>
      <w:r>
        <w:rPr>
          <w:rFonts w:ascii="Arial" w:cs="Arial" w:eastAsia="Arial" w:hAnsi="Arial"/>
          <w:sz w:val="18"/>
          <w:szCs w:val="18"/>
          <w:color w:val="auto"/>
        </w:rPr>
        <w:t>”) issuable to certain former shareholders of Legacy DeepGreen upon the conversion of the following shares in the capital of the Corporation issued pursuant to the Arrangement and the Business Combination Agreement:</w:t>
      </w:r>
    </w:p>
    <w:p>
      <w:pPr>
        <w:spacing w:after="0" w:line="179" w:lineRule="exact"/>
        <w:rPr>
          <w:rFonts w:ascii="Arial" w:cs="Arial" w:eastAsia="Arial" w:hAnsi="Arial"/>
          <w:sz w:val="18"/>
          <w:szCs w:val="18"/>
          <w:color w:val="auto"/>
        </w:rPr>
      </w:pPr>
    </w:p>
    <w:p>
      <w:pPr>
        <w:ind w:left="968" w:hanging="320"/>
        <w:spacing w:after="0"/>
        <w:tabs>
          <w:tab w:leader="none" w:pos="968" w:val="left"/>
        </w:tabs>
        <w:numPr>
          <w:ilvl w:val="1"/>
          <w:numId w:val="32"/>
        </w:numPr>
        <w:rPr>
          <w:rFonts w:ascii="Arial" w:cs="Arial" w:eastAsia="Arial" w:hAnsi="Arial"/>
          <w:sz w:val="18"/>
          <w:szCs w:val="18"/>
          <w:color w:val="auto"/>
        </w:rPr>
      </w:pPr>
      <w:r>
        <w:rPr>
          <w:rFonts w:ascii="Arial" w:cs="Arial" w:eastAsia="Arial" w:hAnsi="Arial"/>
          <w:sz w:val="18"/>
          <w:szCs w:val="18"/>
          <w:color w:val="auto"/>
        </w:rPr>
        <w:t>4,999,973 Class A Special Shares;</w:t>
      </w:r>
    </w:p>
    <w:p>
      <w:pPr>
        <w:spacing w:after="0" w:line="225" w:lineRule="exact"/>
        <w:rPr>
          <w:rFonts w:ascii="Arial" w:cs="Arial" w:eastAsia="Arial" w:hAnsi="Arial"/>
          <w:sz w:val="18"/>
          <w:szCs w:val="18"/>
          <w:color w:val="auto"/>
        </w:rPr>
      </w:pPr>
    </w:p>
    <w:p>
      <w:pPr>
        <w:ind w:left="968" w:hanging="320"/>
        <w:spacing w:after="0"/>
        <w:tabs>
          <w:tab w:leader="none" w:pos="968" w:val="left"/>
        </w:tabs>
        <w:numPr>
          <w:ilvl w:val="1"/>
          <w:numId w:val="32"/>
        </w:numPr>
        <w:rPr>
          <w:rFonts w:ascii="Arial" w:cs="Arial" w:eastAsia="Arial" w:hAnsi="Arial"/>
          <w:sz w:val="18"/>
          <w:szCs w:val="18"/>
          <w:color w:val="auto"/>
        </w:rPr>
      </w:pPr>
      <w:r>
        <w:rPr>
          <w:rFonts w:ascii="Arial" w:cs="Arial" w:eastAsia="Arial" w:hAnsi="Arial"/>
          <w:sz w:val="18"/>
          <w:szCs w:val="18"/>
          <w:color w:val="auto"/>
        </w:rPr>
        <w:t>9,999,853 Class B Special Shares;</w:t>
      </w:r>
    </w:p>
    <w:p>
      <w:pPr>
        <w:spacing w:after="0" w:line="225" w:lineRule="exact"/>
        <w:rPr>
          <w:rFonts w:ascii="Arial" w:cs="Arial" w:eastAsia="Arial" w:hAnsi="Arial"/>
          <w:sz w:val="18"/>
          <w:szCs w:val="18"/>
          <w:color w:val="auto"/>
        </w:rPr>
      </w:pPr>
    </w:p>
    <w:p>
      <w:pPr>
        <w:ind w:left="968" w:hanging="320"/>
        <w:spacing w:after="0"/>
        <w:tabs>
          <w:tab w:leader="none" w:pos="968" w:val="left"/>
        </w:tabs>
        <w:numPr>
          <w:ilvl w:val="1"/>
          <w:numId w:val="32"/>
        </w:numPr>
        <w:rPr>
          <w:rFonts w:ascii="Arial" w:cs="Arial" w:eastAsia="Arial" w:hAnsi="Arial"/>
          <w:sz w:val="18"/>
          <w:szCs w:val="18"/>
          <w:color w:val="auto"/>
        </w:rPr>
      </w:pPr>
      <w:r>
        <w:rPr>
          <w:rFonts w:ascii="Arial" w:cs="Arial" w:eastAsia="Arial" w:hAnsi="Arial"/>
          <w:sz w:val="18"/>
          <w:szCs w:val="18"/>
          <w:color w:val="auto"/>
        </w:rPr>
        <w:t>9,999,853 Class C Special Shares;</w:t>
      </w:r>
    </w:p>
    <w:p>
      <w:pPr>
        <w:spacing w:after="0" w:line="225" w:lineRule="exact"/>
        <w:rPr>
          <w:rFonts w:ascii="Arial" w:cs="Arial" w:eastAsia="Arial" w:hAnsi="Arial"/>
          <w:sz w:val="18"/>
          <w:szCs w:val="18"/>
          <w:color w:val="auto"/>
        </w:rPr>
      </w:pPr>
    </w:p>
    <w:p>
      <w:pPr>
        <w:ind w:left="968" w:hanging="320"/>
        <w:spacing w:after="0"/>
        <w:tabs>
          <w:tab w:leader="none" w:pos="968" w:val="left"/>
        </w:tabs>
        <w:numPr>
          <w:ilvl w:val="1"/>
          <w:numId w:val="32"/>
        </w:numPr>
        <w:rPr>
          <w:rFonts w:ascii="Arial" w:cs="Arial" w:eastAsia="Arial" w:hAnsi="Arial"/>
          <w:sz w:val="18"/>
          <w:szCs w:val="18"/>
          <w:color w:val="auto"/>
        </w:rPr>
      </w:pPr>
      <w:r>
        <w:rPr>
          <w:rFonts w:ascii="Arial" w:cs="Arial" w:eastAsia="Arial" w:hAnsi="Arial"/>
          <w:sz w:val="18"/>
          <w:szCs w:val="18"/>
          <w:color w:val="auto"/>
        </w:rPr>
        <w:t>19,999,855 Class D Special Shares,</w:t>
      </w:r>
    </w:p>
    <w:p>
      <w:pPr>
        <w:spacing w:after="0" w:line="225" w:lineRule="exact"/>
        <w:rPr>
          <w:rFonts w:ascii="Arial" w:cs="Arial" w:eastAsia="Arial" w:hAnsi="Arial"/>
          <w:sz w:val="18"/>
          <w:szCs w:val="18"/>
          <w:color w:val="auto"/>
        </w:rPr>
      </w:pPr>
    </w:p>
    <w:p>
      <w:pPr>
        <w:ind w:left="968" w:hanging="320"/>
        <w:spacing w:after="0"/>
        <w:tabs>
          <w:tab w:leader="none" w:pos="968" w:val="left"/>
        </w:tabs>
        <w:numPr>
          <w:ilvl w:val="1"/>
          <w:numId w:val="32"/>
        </w:numPr>
        <w:rPr>
          <w:rFonts w:ascii="Arial" w:cs="Arial" w:eastAsia="Arial" w:hAnsi="Arial"/>
          <w:sz w:val="18"/>
          <w:szCs w:val="18"/>
          <w:color w:val="auto"/>
        </w:rPr>
      </w:pPr>
      <w:r>
        <w:rPr>
          <w:rFonts w:ascii="Arial" w:cs="Arial" w:eastAsia="Arial" w:hAnsi="Arial"/>
          <w:sz w:val="18"/>
          <w:szCs w:val="18"/>
          <w:color w:val="auto"/>
        </w:rPr>
        <w:t>19,999,855 Class E Special Shares;</w:t>
      </w:r>
    </w:p>
    <w:p>
      <w:pPr>
        <w:spacing w:after="0" w:line="225" w:lineRule="exact"/>
        <w:rPr>
          <w:rFonts w:ascii="Arial" w:cs="Arial" w:eastAsia="Arial" w:hAnsi="Arial"/>
          <w:sz w:val="18"/>
          <w:szCs w:val="18"/>
          <w:color w:val="auto"/>
        </w:rPr>
      </w:pPr>
    </w:p>
    <w:p>
      <w:pPr>
        <w:ind w:left="968" w:hanging="320"/>
        <w:spacing w:after="0"/>
        <w:tabs>
          <w:tab w:leader="none" w:pos="968" w:val="left"/>
        </w:tabs>
        <w:numPr>
          <w:ilvl w:val="1"/>
          <w:numId w:val="32"/>
        </w:numPr>
        <w:rPr>
          <w:rFonts w:ascii="Arial" w:cs="Arial" w:eastAsia="Arial" w:hAnsi="Arial"/>
          <w:sz w:val="18"/>
          <w:szCs w:val="18"/>
          <w:color w:val="auto"/>
        </w:rPr>
      </w:pPr>
      <w:r>
        <w:rPr>
          <w:rFonts w:ascii="Arial" w:cs="Arial" w:eastAsia="Arial" w:hAnsi="Arial"/>
          <w:sz w:val="18"/>
          <w:szCs w:val="18"/>
          <w:color w:val="auto"/>
        </w:rPr>
        <w:t>19,999,855 Class F Special Shares;</w:t>
      </w:r>
    </w:p>
    <w:p>
      <w:pPr>
        <w:spacing w:after="0" w:line="225" w:lineRule="exact"/>
        <w:rPr>
          <w:rFonts w:ascii="Arial" w:cs="Arial" w:eastAsia="Arial" w:hAnsi="Arial"/>
          <w:sz w:val="18"/>
          <w:szCs w:val="18"/>
          <w:color w:val="auto"/>
        </w:rPr>
      </w:pPr>
    </w:p>
    <w:p>
      <w:pPr>
        <w:ind w:left="968" w:hanging="320"/>
        <w:spacing w:after="0"/>
        <w:tabs>
          <w:tab w:leader="none" w:pos="968" w:val="left"/>
        </w:tabs>
        <w:numPr>
          <w:ilvl w:val="1"/>
          <w:numId w:val="32"/>
        </w:numPr>
        <w:rPr>
          <w:rFonts w:ascii="Arial" w:cs="Arial" w:eastAsia="Arial" w:hAnsi="Arial"/>
          <w:sz w:val="18"/>
          <w:szCs w:val="18"/>
          <w:color w:val="auto"/>
        </w:rPr>
      </w:pPr>
      <w:r>
        <w:rPr>
          <w:rFonts w:ascii="Arial" w:cs="Arial" w:eastAsia="Arial" w:hAnsi="Arial"/>
          <w:sz w:val="18"/>
          <w:szCs w:val="18"/>
          <w:color w:val="auto"/>
        </w:rPr>
        <w:t>24,999,860 Class G Special Shares; and</w:t>
      </w:r>
    </w:p>
    <w:p>
      <w:pPr>
        <w:sectPr>
          <w:pgSz w:w="11900" w:h="16838" w:orient="portrait"/>
          <w:cols w:equalWidth="0" w:num="1">
            <w:col w:w="10908"/>
          </w:cols>
          <w:pgMar w:left="652" w:top="1440" w:right="339"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328295</wp:posOffset>
            </wp:positionH>
            <wp:positionV relativeFrom="page">
              <wp:posOffset>88900</wp:posOffset>
            </wp:positionV>
            <wp:extent cx="6858000" cy="72694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6858000" cy="7269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59690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328295</wp:posOffset>
            </wp:positionH>
            <wp:positionV relativeFrom="page">
              <wp:posOffset>586105</wp:posOffset>
            </wp:positionV>
            <wp:extent cx="6858000" cy="17919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79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300" w:hanging="320"/>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24,999,860 Class H Special Shares,</w:t>
      </w:r>
    </w:p>
    <w:p>
      <w:pPr>
        <w:spacing w:after="0" w:line="225"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each of which is automatically convertible into Common Shares on a one-for-one basis (unless adjusted in accordance with their respective terms) if certain price per common share thresholds are met; and</w:t>
      </w:r>
    </w:p>
    <w:p>
      <w:pPr>
        <w:spacing w:after="0" w:line="166" w:lineRule="exact"/>
        <w:rPr>
          <w:sz w:val="20"/>
          <w:szCs w:val="20"/>
          <w:color w:val="auto"/>
        </w:rPr>
      </w:pPr>
    </w:p>
    <w:p>
      <w:pPr>
        <w:jc w:val="both"/>
        <w:ind w:left="660" w:hanging="328"/>
        <w:spacing w:after="0" w:line="281"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1,241,000 Common Shares (the “</w:t>
      </w:r>
      <w:r>
        <w:rPr>
          <w:rFonts w:ascii="Arial" w:cs="Arial" w:eastAsia="Arial" w:hAnsi="Arial"/>
          <w:sz w:val="17"/>
          <w:szCs w:val="17"/>
          <w:b w:val="1"/>
          <w:bCs w:val="1"/>
          <w:color w:val="auto"/>
        </w:rPr>
        <w:t>Sponsor Earnout Conversion Shares</w:t>
      </w:r>
      <w:r>
        <w:rPr>
          <w:rFonts w:ascii="Arial" w:cs="Arial" w:eastAsia="Arial" w:hAnsi="Arial"/>
          <w:sz w:val="17"/>
          <w:szCs w:val="17"/>
          <w:color w:val="auto"/>
        </w:rPr>
        <w:t>”) issuable to the Sponsor and its transferees upon the conversion of 500,000 Class I Special Shares and 741,000 Class J Special Shares in the capital of the Corporation that were issued pursuant to the Business Combination Agreement, with each such Special Share being automatically convertible into Common Shares on a one-for-one basis (unless adjusted in accordance with their respective terms) if certain common share price thresholds are met.</w:t>
      </w:r>
    </w:p>
    <w:p>
      <w:pPr>
        <w:spacing w:after="0" w:line="1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Warrants were issued pursuant to a warrant agreement, dated as of May 8, 2020, between SOAC and Continental Stock Transfer &amp; Trust Company (the “</w:t>
      </w:r>
      <w:r>
        <w:rPr>
          <w:rFonts w:ascii="Arial" w:cs="Arial" w:eastAsia="Arial" w:hAnsi="Arial"/>
          <w:sz w:val="18"/>
          <w:szCs w:val="18"/>
          <w:b w:val="1"/>
          <w:bCs w:val="1"/>
          <w:color w:val="auto"/>
        </w:rPr>
        <w:t>Warrant Agreement</w:t>
      </w:r>
      <w:r>
        <w:rPr>
          <w:rFonts w:ascii="Arial" w:cs="Arial" w:eastAsia="Arial" w:hAnsi="Arial"/>
          <w:sz w:val="18"/>
          <w:szCs w:val="18"/>
          <w:color w:val="auto"/>
        </w:rPr>
        <w:t>”).</w:t>
      </w:r>
    </w:p>
    <w:p>
      <w:pPr>
        <w:spacing w:after="0" w:line="166"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Documents Reviewed and Reliance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Canadian counsel to the Corporation, we have participated in the preparation of and/or examined original executed or electronically delivered copies, which have been certified or otherwise identified to our satisfaction, of:</w:t>
      </w:r>
    </w:p>
    <w:p>
      <w:pPr>
        <w:spacing w:after="0" w:line="170"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have also examined original executed or electronically delivered copies, which have been certified or otherwise identified to our satisfaction, of:</w:t>
      </w:r>
    </w:p>
    <w:p>
      <w:pPr>
        <w:spacing w:after="0" w:line="237"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Warrant Agreement, including the form of certificate representing the Warrants;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certificate representing the Allseas Warrants,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Registration Statement, Warrant Agreement and Allseas Warrants, collectively, the “</w:t>
      </w:r>
      <w:r>
        <w:rPr>
          <w:rFonts w:ascii="Arial" w:cs="Arial" w:eastAsia="Arial" w:hAnsi="Arial"/>
          <w:sz w:val="18"/>
          <w:szCs w:val="18"/>
          <w:b w:val="1"/>
          <w:bCs w:val="1"/>
          <w:color w:val="auto"/>
        </w:rPr>
        <w:t>Transaction Documents</w:t>
      </w:r>
      <w:r>
        <w:rPr>
          <w:rFonts w:ascii="Arial" w:cs="Arial" w:eastAsia="Arial" w:hAnsi="Arial"/>
          <w:sz w:val="18"/>
          <w:szCs w:val="18"/>
          <w:color w:val="auto"/>
        </w:rPr>
        <w: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also made such investigations and examined originals or copies, certified or otherwise identified to our satisfaction, of such certificates of public officials and of such other certificates, documents and records as we considered necessary or relevant for purposes of the opinions expressed below, including:</w:t>
      </w:r>
    </w:p>
    <w:p>
      <w:pPr>
        <w:spacing w:after="0" w:line="184"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certificate of continuation dated September 9, 2021 issued pursuant to the BCBCA relating to the Corporation;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certificate of good standing dated March 27, 2023 issued pursuant to the BCBCA relating to the Corporation; and</w:t>
      </w:r>
    </w:p>
    <w:p>
      <w:pPr>
        <w:sectPr>
          <w:pgSz w:w="11900" w:h="16838" w:orient="portrait"/>
          <w:cols w:equalWidth="0" w:num="1">
            <w:col w:w="11240"/>
          </w:cols>
          <w:pgMar w:left="320" w:top="1440" w:right="339"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328295</wp:posOffset>
            </wp:positionH>
            <wp:positionV relativeFrom="page">
              <wp:posOffset>88900</wp:posOffset>
            </wp:positionV>
            <wp:extent cx="6858000" cy="72694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6858000" cy="7269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59690</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328295</wp:posOffset>
            </wp:positionH>
            <wp:positionV relativeFrom="page">
              <wp:posOffset>586105</wp:posOffset>
            </wp:positionV>
            <wp:extent cx="6858000" cy="17919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79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1300" w:hanging="644"/>
        <w:spacing w:after="0" w:line="269" w:lineRule="auto"/>
        <w:tabs>
          <w:tab w:leader="none" w:pos="13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certificate signed by the Chief Financial Officer of the Corporation dated as of the date hereof addressed to our firm, containing certain additional corporate information of a factual nature and attaching the constating documents of the Corporation, including the certificate of continuation, notice of articles and articles of the Corporation (collectively, the “</w:t>
      </w:r>
      <w:r>
        <w:rPr>
          <w:rFonts w:ascii="Arial" w:cs="Arial" w:eastAsia="Arial" w:hAnsi="Arial"/>
          <w:sz w:val="17"/>
          <w:szCs w:val="17"/>
          <w:b w:val="1"/>
          <w:bCs w:val="1"/>
          <w:color w:val="auto"/>
        </w:rPr>
        <w:t>Constating Documents</w:t>
      </w:r>
      <w:r>
        <w:rPr>
          <w:rFonts w:ascii="Arial" w:cs="Arial" w:eastAsia="Arial" w:hAnsi="Arial"/>
          <w:sz w:val="17"/>
          <w:szCs w:val="17"/>
          <w:color w:val="auto"/>
        </w:rPr>
        <w:t>”), the resolutions of the directors of the Corporation authorizing and approving the issuance of the Primary Shares and the Resale Shares (the “</w:t>
      </w:r>
      <w:r>
        <w:rPr>
          <w:rFonts w:ascii="Arial" w:cs="Arial" w:eastAsia="Arial" w:hAnsi="Arial"/>
          <w:sz w:val="17"/>
          <w:szCs w:val="17"/>
          <w:b w:val="1"/>
          <w:bCs w:val="1"/>
          <w:color w:val="auto"/>
        </w:rPr>
        <w:t>Authorizing</w:t>
      </w:r>
      <w:r>
        <w:rPr>
          <w:rFonts w:ascii="Arial" w:cs="Arial" w:eastAsia="Arial" w:hAnsi="Arial"/>
          <w:sz w:val="17"/>
          <w:szCs w:val="17"/>
          <w:color w:val="auto"/>
        </w:rPr>
        <w:t xml:space="preserve"> </w:t>
      </w:r>
      <w:r>
        <w:rPr>
          <w:rFonts w:ascii="Arial" w:cs="Arial" w:eastAsia="Arial" w:hAnsi="Arial"/>
          <w:sz w:val="17"/>
          <w:szCs w:val="17"/>
          <w:b w:val="1"/>
          <w:bCs w:val="1"/>
          <w:color w:val="auto"/>
        </w:rPr>
        <w:t>Resolutions</w:t>
      </w:r>
      <w:r>
        <w:rPr>
          <w:rFonts w:ascii="Arial" w:cs="Arial" w:eastAsia="Arial" w:hAnsi="Arial"/>
          <w:sz w:val="17"/>
          <w:szCs w:val="17"/>
          <w:color w:val="auto"/>
        </w:rPr>
        <w:t>”), the central securities registers of each class of shares outstanding of SOAC dated September 8, 2021 (the “</w:t>
      </w:r>
      <w:r>
        <w:rPr>
          <w:rFonts w:ascii="Arial" w:cs="Arial" w:eastAsia="Arial" w:hAnsi="Arial"/>
          <w:sz w:val="17"/>
          <w:szCs w:val="17"/>
          <w:b w:val="1"/>
          <w:bCs w:val="1"/>
          <w:color w:val="auto"/>
        </w:rPr>
        <w:t>SOAC Securities Registers</w:t>
      </w:r>
      <w:r>
        <w:rPr>
          <w:rFonts w:ascii="Arial" w:cs="Arial" w:eastAsia="Arial" w:hAnsi="Arial"/>
          <w:sz w:val="17"/>
          <w:szCs w:val="17"/>
          <w:color w:val="auto"/>
        </w:rPr>
        <w:t>”), certified copies of the central securities registers of each class of shares outstanding of the Corporation dated</w:t>
      </w:r>
      <w:r>
        <w:rPr>
          <w:rFonts w:ascii="Arial" w:cs="Arial" w:eastAsia="Arial" w:hAnsi="Arial"/>
          <w:sz w:val="17"/>
          <w:szCs w:val="17"/>
          <w:b w:val="1"/>
          <w:bCs w:val="1"/>
          <w:color w:val="auto"/>
        </w:rPr>
        <w:t xml:space="preserve"> </w:t>
      </w:r>
      <w:r>
        <w:rPr>
          <w:rFonts w:ascii="Arial" w:cs="Arial" w:eastAsia="Arial" w:hAnsi="Arial"/>
          <w:sz w:val="17"/>
          <w:szCs w:val="17"/>
          <w:color w:val="auto"/>
        </w:rPr>
        <w:t>September 9, 2021 (the “</w:t>
      </w:r>
      <w:r>
        <w:rPr>
          <w:rFonts w:ascii="Arial" w:cs="Arial" w:eastAsia="Arial" w:hAnsi="Arial"/>
          <w:sz w:val="17"/>
          <w:szCs w:val="17"/>
          <w:b w:val="1"/>
          <w:bCs w:val="1"/>
          <w:color w:val="auto"/>
        </w:rPr>
        <w:t>Corporation Securities Registers</w:t>
      </w:r>
      <w:r>
        <w:rPr>
          <w:rFonts w:ascii="Arial" w:cs="Arial" w:eastAsia="Arial" w:hAnsi="Arial"/>
          <w:sz w:val="17"/>
          <w:szCs w:val="17"/>
          <w:color w:val="auto"/>
        </w:rPr>
        <w:t>”) upon completion of the Arrangement, the final order of the Supreme Court of British Columbia dated June 25, 2021 with respect to the Arrangement, and the closing certificate executed by the Corporation, Legacy DeepGreen and 1291924 B.C. Unlimited Liability Company confirming that the parties are satisfied that the conditions precedent to complete the Agreement have been satisfied and confirming the effective date and effective time of the Arrangement (the “</w:t>
      </w:r>
      <w:r>
        <w:rPr>
          <w:rFonts w:ascii="Arial" w:cs="Arial" w:eastAsia="Arial" w:hAnsi="Arial"/>
          <w:sz w:val="17"/>
          <w:szCs w:val="17"/>
          <w:b w:val="1"/>
          <w:bCs w:val="1"/>
          <w:color w:val="auto"/>
        </w:rPr>
        <w:t>Officer’s</w:t>
      </w:r>
      <w:r>
        <w:rPr>
          <w:rFonts w:ascii="Arial" w:cs="Arial" w:eastAsia="Arial" w:hAnsi="Arial"/>
          <w:sz w:val="17"/>
          <w:szCs w:val="17"/>
          <w:color w:val="auto"/>
        </w:rPr>
        <w:t xml:space="preserve"> </w:t>
      </w:r>
      <w:r>
        <w:rPr>
          <w:rFonts w:ascii="Arial" w:cs="Arial" w:eastAsia="Arial" w:hAnsi="Arial"/>
          <w:sz w:val="17"/>
          <w:szCs w:val="17"/>
          <w:b w:val="1"/>
          <w:bCs w:val="1"/>
          <w:color w:val="auto"/>
        </w:rPr>
        <w:t>Certificate</w:t>
      </w:r>
      <w:r>
        <w:rPr>
          <w:rFonts w:ascii="Arial" w:cs="Arial" w:eastAsia="Arial" w:hAnsi="Arial"/>
          <w:sz w:val="17"/>
          <w:szCs w:val="17"/>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As to various questions of fact material to the opinions provided herein, we have relied upon the Officer’s Certificate.</w:t>
      </w:r>
    </w:p>
    <w:p>
      <w:pPr>
        <w:spacing w:after="0" w:line="221"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Laws Addressed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qualified to practice law in the Province of British Columbia and our opinion herein is restricted to the laws of the Province of British Columbia and the federal laws of Canada applicable therein (the “</w:t>
      </w:r>
      <w:r>
        <w:rPr>
          <w:rFonts w:ascii="Arial" w:cs="Arial" w:eastAsia="Arial" w:hAnsi="Arial"/>
          <w:sz w:val="18"/>
          <w:szCs w:val="18"/>
          <w:b w:val="1"/>
          <w:bCs w:val="1"/>
          <w:color w:val="auto"/>
        </w:rPr>
        <w:t>Applicable Laws</w:t>
      </w:r>
      <w:r>
        <w:rPr>
          <w:rFonts w:ascii="Arial" w:cs="Arial" w:eastAsia="Arial" w:hAnsi="Arial"/>
          <w:sz w:val="18"/>
          <w:szCs w:val="18"/>
          <w:color w:val="auto"/>
        </w:rPr>
        <w:t>”).</w:t>
      </w:r>
    </w:p>
    <w:p>
      <w:pPr>
        <w:spacing w:after="0" w:line="166"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Assumptions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the opinions expressed herein, we have assumed, without independent investigation, the following:</w:t>
      </w:r>
    </w:p>
    <w:p>
      <w:pPr>
        <w:spacing w:after="0" w:line="225" w:lineRule="exact"/>
        <w:rPr>
          <w:sz w:val="20"/>
          <w:szCs w:val="20"/>
          <w:color w:val="auto"/>
        </w:rPr>
      </w:pPr>
    </w:p>
    <w:p>
      <w:pPr>
        <w:jc w:val="both"/>
        <w:ind w:left="1300" w:hanging="644"/>
        <w:spacing w:after="0" w:line="286" w:lineRule="auto"/>
        <w:tabs>
          <w:tab w:leader="none" w:pos="13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with respect to all documents examined by us, the genuineness of all signatures, the authenticity, completeness and accuracy of all documents submitted to us as originals, the conformity to originals of all documents submitted to us as certified, conformed, telecopied, PDF or photocopied copies of originals and the legal capacity of individuals signing any documents;</w:t>
      </w:r>
    </w:p>
    <w:p>
      <w:pPr>
        <w:spacing w:after="0" w:line="165" w:lineRule="exact"/>
        <w:rPr>
          <w:rFonts w:ascii="Arial" w:cs="Arial" w:eastAsia="Arial" w:hAnsi="Arial"/>
          <w:sz w:val="17"/>
          <w:szCs w:val="17"/>
          <w:color w:val="auto"/>
        </w:rPr>
      </w:pPr>
    </w:p>
    <w:p>
      <w:pPr>
        <w:ind w:left="1300" w:right="20" w:hanging="644"/>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completeness, accuracy and currency of the indices and filing systems maintained at the public offices where we have searched or made relevant inquiries and of other documents and certificates supplied by public officials;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that the Officer’s Certificate continues to be accurate on the date hereof;</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that all necessary consents, authorizations, approvals, permits or certificates (governmental or otherwise) which are required as a condition to the execution and delivery of each of the Transaction Documents by the parties thereto and to the consummation by such parties of the transactions contemplated thereby have been obtained;</w:t>
      </w:r>
    </w:p>
    <w:p>
      <w:pPr>
        <w:sectPr>
          <w:pgSz w:w="11900" w:h="16838" w:orient="portrait"/>
          <w:cols w:equalWidth="0" w:num="1">
            <w:col w:w="11240"/>
          </w:cols>
          <w:pgMar w:left="320" w:top="1440" w:right="339" w:bottom="1440" w:gutter="0" w:footer="0" w:header="0"/>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328295</wp:posOffset>
            </wp:positionH>
            <wp:positionV relativeFrom="page">
              <wp:posOffset>88900</wp:posOffset>
            </wp:positionV>
            <wp:extent cx="6858000" cy="72694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6858000" cy="7269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59690</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328295</wp:posOffset>
            </wp:positionH>
            <wp:positionV relativeFrom="page">
              <wp:posOffset>586105</wp:posOffset>
            </wp:positionV>
            <wp:extent cx="6858000" cy="17919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79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644" w:hanging="644"/>
        <w:spacing w:after="0" w:line="263" w:lineRule="auto"/>
        <w:tabs>
          <w:tab w:leader="none" w:pos="6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that the minute books and corporate records of the Corporation made available to us are the original minute books and records of the Corporation and contain all of the articles and constating documents of the Corporation and any amendments thereto and all of the respective minutes, or copies thereof, of all proceedings of the shareholders and directors;</w:t>
      </w:r>
    </w:p>
    <w:p>
      <w:pPr>
        <w:spacing w:after="0" w:line="183"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that each of the Transaction Documents constitutes a legal, valid and binding obligation of the parties thereto, other than the Corporation, enforceable against each of the parties thereto in accordance with its terms;</w:t>
      </w:r>
    </w:p>
    <w:p>
      <w:pPr>
        <w:spacing w:after="0" w:line="170" w:lineRule="exact"/>
        <w:rPr>
          <w:rFonts w:ascii="Arial" w:cs="Arial" w:eastAsia="Arial" w:hAnsi="Arial"/>
          <w:sz w:val="18"/>
          <w:szCs w:val="18"/>
          <w:color w:val="auto"/>
        </w:rPr>
      </w:pPr>
    </w:p>
    <w:p>
      <w:pPr>
        <w:jc w:val="both"/>
        <w:ind w:left="644" w:hanging="644"/>
        <w:spacing w:after="0" w:line="263" w:lineRule="auto"/>
        <w:tabs>
          <w:tab w:leader="none" w:pos="6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of the Warrant Agreement, the Warrants and the Allseas Warrants constitutes a legal, valid and binding obligation of the Corporation and the other parties thereto, enforceable against each of the parties thereto in accordance with its terms and the execution and delivery thereof was duly authorized by the parties thereto;</w:t>
      </w:r>
    </w:p>
    <w:p>
      <w:pPr>
        <w:spacing w:after="0" w:line="179" w:lineRule="exact"/>
        <w:rPr>
          <w:rFonts w:ascii="Arial" w:cs="Arial" w:eastAsia="Arial" w:hAnsi="Arial"/>
          <w:sz w:val="18"/>
          <w:szCs w:val="18"/>
          <w:color w:val="auto"/>
        </w:rPr>
      </w:pPr>
    </w:p>
    <w:p>
      <w:pPr>
        <w:jc w:val="both"/>
        <w:ind w:left="644" w:hanging="644"/>
        <w:spacing w:after="0" w:line="261" w:lineRule="auto"/>
        <w:tabs>
          <w:tab w:leader="none" w:pos="6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continuation of SOAC to become a company existing under BCBCA (the “</w:t>
      </w:r>
      <w:r>
        <w:rPr>
          <w:rFonts w:ascii="Arial" w:cs="Arial" w:eastAsia="Arial" w:hAnsi="Arial"/>
          <w:sz w:val="18"/>
          <w:szCs w:val="18"/>
          <w:b w:val="1"/>
          <w:bCs w:val="1"/>
          <w:color w:val="auto"/>
        </w:rPr>
        <w:t>Continuation</w:t>
      </w:r>
      <w:r>
        <w:rPr>
          <w:rFonts w:ascii="Arial" w:cs="Arial" w:eastAsia="Arial" w:hAnsi="Arial"/>
          <w:sz w:val="18"/>
          <w:szCs w:val="18"/>
          <w:color w:val="auto"/>
        </w:rPr>
        <w:t>”), being the Corporation, including the re-designation of the Class A ordinary fully paid shares (the “</w:t>
      </w:r>
      <w:r>
        <w:rPr>
          <w:rFonts w:ascii="Arial" w:cs="Arial" w:eastAsia="Arial" w:hAnsi="Arial"/>
          <w:sz w:val="18"/>
          <w:szCs w:val="18"/>
          <w:b w:val="1"/>
          <w:bCs w:val="1"/>
          <w:color w:val="auto"/>
        </w:rPr>
        <w:t>Class A Shares</w:t>
      </w:r>
      <w:r>
        <w:rPr>
          <w:rFonts w:ascii="Arial" w:cs="Arial" w:eastAsia="Arial" w:hAnsi="Arial"/>
          <w:sz w:val="18"/>
          <w:szCs w:val="18"/>
          <w:color w:val="auto"/>
        </w:rPr>
        <w:t>”) and Class B ordinary fully paid ordinary shares (the “</w:t>
      </w:r>
      <w:r>
        <w:rPr>
          <w:rFonts w:ascii="Arial" w:cs="Arial" w:eastAsia="Arial" w:hAnsi="Arial"/>
          <w:sz w:val="18"/>
          <w:szCs w:val="18"/>
          <w:b w:val="1"/>
          <w:bCs w:val="1"/>
          <w:color w:val="auto"/>
        </w:rPr>
        <w:t>Class B Shares</w:t>
      </w:r>
      <w:r>
        <w:rPr>
          <w:rFonts w:ascii="Arial" w:cs="Arial" w:eastAsia="Arial" w:hAnsi="Arial"/>
          <w:sz w:val="18"/>
          <w:szCs w:val="18"/>
          <w:color w:val="auto"/>
        </w:rPr>
        <w:t>”) of SOAC into common shares of the Corporation upon completion of such Continuation, was duly authorized in accordance with the laws of SOAC’s jurisdiction of incorporation;</w:t>
      </w:r>
    </w:p>
    <w:p>
      <w:pPr>
        <w:spacing w:after="0" w:line="183" w:lineRule="exact"/>
        <w:rPr>
          <w:rFonts w:ascii="Arial" w:cs="Arial" w:eastAsia="Arial" w:hAnsi="Arial"/>
          <w:sz w:val="18"/>
          <w:szCs w:val="18"/>
          <w:color w:val="auto"/>
        </w:rPr>
      </w:pPr>
    </w:p>
    <w:p>
      <w:pPr>
        <w:jc w:val="both"/>
        <w:ind w:left="644" w:hanging="644"/>
        <w:spacing w:after="0" w:line="257" w:lineRule="auto"/>
        <w:tabs>
          <w:tab w:leader="none" w:pos="6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SOAC Securities Registers remain accurate and correct as of immediately prior to the completion of the Continuation, and each of the shares set out in the SOAC Securities Registers were validly issued, fully paid and non-assessable shares in the capital of SOAC in accordance with the laws of SOAC’s jurisdiction of incorporation as of the Continuation Time, issued to the shareholders of SOAC as indicated on the SOAC Securities Registers, including the 6,759,000 Class B Shares that were re-designated to become the Founder Shares upon completion of the Continuation;</w:t>
      </w:r>
    </w:p>
    <w:p>
      <w:pPr>
        <w:spacing w:after="0" w:line="187" w:lineRule="exact"/>
        <w:rPr>
          <w:rFonts w:ascii="Arial" w:cs="Arial" w:eastAsia="Arial" w:hAnsi="Arial"/>
          <w:sz w:val="18"/>
          <w:szCs w:val="18"/>
          <w:color w:val="auto"/>
        </w:rPr>
      </w:pPr>
    </w:p>
    <w:p>
      <w:pPr>
        <w:ind w:left="644" w:hanging="644"/>
        <w:spacing w:after="0"/>
        <w:tabs>
          <w:tab w:leader="none" w:pos="644"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Corporation Securities Register was accurate and correct as of September 9, 2021 following completion of the Arrangement;</w:t>
      </w:r>
    </w:p>
    <w:p>
      <w:pPr>
        <w:spacing w:after="0" w:line="236" w:lineRule="exact"/>
        <w:rPr>
          <w:rFonts w:ascii="Arial" w:cs="Arial" w:eastAsia="Arial" w:hAnsi="Arial"/>
          <w:sz w:val="17"/>
          <w:szCs w:val="17"/>
          <w:color w:val="auto"/>
        </w:rPr>
      </w:pPr>
    </w:p>
    <w:p>
      <w:pPr>
        <w:ind w:left="644" w:hanging="644"/>
        <w:spacing w:after="0"/>
        <w:tabs>
          <w:tab w:leader="none" w:pos="6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6,759,000 Class B Shares were re-designated to become the Founder Shares upon completion of the Continuation; and</w:t>
      </w:r>
    </w:p>
    <w:p>
      <w:pPr>
        <w:spacing w:after="0" w:line="225"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that if any obligation under any document is required to be performed in a jurisdiction outside of the Province of British Columbia, the performance of that obligation will not be illegal under the laws of that jurisdiction.</w:t>
      </w:r>
    </w:p>
    <w:p>
      <w:pPr>
        <w:sectPr>
          <w:pgSz w:w="11900" w:h="16838" w:orient="portrait"/>
          <w:cols w:equalWidth="0" w:num="1">
            <w:col w:w="10584"/>
          </w:cols>
          <w:pgMar w:left="976" w:top="1440" w:right="339" w:bottom="1440" w:gutter="0" w:footer="0" w:header="0"/>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328295</wp:posOffset>
            </wp:positionH>
            <wp:positionV relativeFrom="page">
              <wp:posOffset>88900</wp:posOffset>
            </wp:positionV>
            <wp:extent cx="6858000" cy="7269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6858000" cy="7269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59690</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328295</wp:posOffset>
            </wp:positionH>
            <wp:positionV relativeFrom="page">
              <wp:posOffset>586105</wp:posOffset>
            </wp:positionV>
            <wp:extent cx="6858000" cy="17919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79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Reliance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purposes of expressing the opinions set forth herein, in connection with certain factual matters pertaining to this opinion, we have relied exclusively and without independent investigation upon the Officer’s Certificate.</w:t>
      </w:r>
    </w:p>
    <w:p>
      <w:pPr>
        <w:spacing w:after="0" w:line="166"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Opinions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Based upon and relying on the foregoing and the qualifications hereinafter expressed, we are of the opinion that:</w:t>
      </w:r>
    </w:p>
    <w:p>
      <w:pPr>
        <w:spacing w:after="0" w:line="225" w:lineRule="exact"/>
        <w:rPr>
          <w:sz w:val="20"/>
          <w:szCs w:val="20"/>
          <w:color w:val="auto"/>
        </w:rPr>
      </w:pPr>
    </w:p>
    <w:p>
      <w:pPr>
        <w:jc w:val="both"/>
        <w:ind w:left="1300" w:hanging="644"/>
        <w:spacing w:after="0" w:line="263"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Primary Shares have been authorized for issuance and when issued in compliance with the provisions of the Warrant Agreement, including due exercise of such warrants and the receipt by the Corporation of consideration required, will be validly issued, fully paid and non-assessable common shares in the capital of the Corporation.</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Resale Shares, other than any Private Placement Warrant Shares, Allseas Warrant Shares, DeepGreen Earnout Conversion Shares, and Sponsor Earnout Conversion Shares included in the Resale Shares, are validly issued, fully paid and non-assessable common shares in the capital of the Corporation.</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Allseas Warrant Shares have been authorized for issuance and when issued in compliance with the provisions of the Allseas Warrants, including due exercise of such warrants and the receipt by the Corporation of consideration required, will be validly issued, fully paid and non-assessable common shares in the capital of the Corporation.</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DeepGreen Earnout Conversion Shares have been authorized for issuance and when issued in compliance with the Articles will be validly issued, fully paid and non-assessable common shares in the capital of the Corporation.</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Sponsor Earnout Conversion Shares have been authorized for issuance and when issued in compliance with the Articles will be validly issued, fully paid and non-assessable common shares in the capital of the Corporation.</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Qualifications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Whenever our opinion refers to securities of the Corporation, whether issued or to be issued, as being “fully-paid and non-assessable”, such phrase means that the holders of such securities will not, after the issuance to them of such securities, be liable to pay further amounts to the Corporation in respect of the issue price payable for such securities, and no opinion is expressed as to the adequacy of any consideration received by the Corporation therefor or as to the actual receipt by the Corporation of any consideration for the issuance of such securities.</w:t>
      </w:r>
    </w:p>
    <w:p>
      <w:pPr>
        <w:sectPr>
          <w:pgSz w:w="11900" w:h="16838" w:orient="portrait"/>
          <w:cols w:equalWidth="0" w:num="1">
            <w:col w:w="11240"/>
          </w:cols>
          <w:pgMar w:left="320" w:top="1440" w:right="339"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328295</wp:posOffset>
            </wp:positionH>
            <wp:positionV relativeFrom="page">
              <wp:posOffset>88900</wp:posOffset>
            </wp:positionV>
            <wp:extent cx="6858000" cy="72694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6858000" cy="7269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59690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328295</wp:posOffset>
            </wp:positionH>
            <wp:positionV relativeFrom="page">
              <wp:posOffset>586105</wp:posOffset>
            </wp:positionV>
            <wp:extent cx="6858000" cy="17919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79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greater certainty, a specific assumption, limitation or qualification in this opinion is not to be interpreted to restrict the generality of any other assumption, limitation or qualification expressed in general terms in this opinion that includes the subject matter of the specific assumption, limitation or qualification.</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hereby consent to the reference to us under the headings “</w:t>
      </w:r>
      <w:r>
        <w:rPr>
          <w:rFonts w:ascii="Arial" w:cs="Arial" w:eastAsia="Arial" w:hAnsi="Arial"/>
          <w:sz w:val="16"/>
          <w:szCs w:val="16"/>
          <w:i w:val="1"/>
          <w:iCs w:val="1"/>
          <w:color w:val="auto"/>
        </w:rPr>
        <w:t>Legal Matters</w:t>
      </w:r>
      <w:r>
        <w:rPr>
          <w:rFonts w:ascii="Arial" w:cs="Arial" w:eastAsia="Arial" w:hAnsi="Arial"/>
          <w:sz w:val="16"/>
          <w:szCs w:val="16"/>
          <w:color w:val="auto"/>
        </w:rPr>
        <w:t>” and “</w:t>
      </w:r>
      <w:r>
        <w:rPr>
          <w:rFonts w:ascii="Arial" w:cs="Arial" w:eastAsia="Arial" w:hAnsi="Arial"/>
          <w:sz w:val="16"/>
          <w:szCs w:val="16"/>
          <w:i w:val="1"/>
          <w:iCs w:val="1"/>
          <w:color w:val="auto"/>
        </w:rPr>
        <w:t>Selling Securityholders</w:t>
      </w:r>
      <w:r>
        <w:rPr>
          <w:rFonts w:ascii="Arial" w:cs="Arial" w:eastAsia="Arial" w:hAnsi="Arial"/>
          <w:sz w:val="16"/>
          <w:szCs w:val="16"/>
          <w:color w:val="auto"/>
        </w:rPr>
        <w:t>” in the Registration Statement and to the filing of this opinion as an exhibit to the Registration Statement. In giving this consent, we do not thereby admit that we are included in the category of persons whose consent is required under Section 7 or Section 11 of the Securities Act or the rules and regulations of the Commission promulgated thereunder.</w:t>
      </w:r>
    </w:p>
    <w:p>
      <w:pPr>
        <w:spacing w:after="0" w:line="14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opinions are given as at the date hereof and we disclaim any obligation or undertaking to advise any person of any change in law or fact that may come to our attention after the date hereof. Our opinions do not take into account any proposed rules, policies or legislative changes that may come into force following the date hereof.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Fasken Martineau DuMoulin LLP</w:t>
      </w:r>
    </w:p>
    <w:p>
      <w:pPr>
        <w:sectPr>
          <w:pgSz w:w="11900" w:h="16838" w:orient="portrait"/>
          <w:cols w:equalWidth="0" w:num="1">
            <w:col w:w="11240"/>
          </w:cols>
          <w:pgMar w:left="320" w:top="1440" w:right="339"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328295</wp:posOffset>
            </wp:positionH>
            <wp:positionV relativeFrom="page">
              <wp:posOffset>88900</wp:posOffset>
            </wp:positionV>
            <wp:extent cx="6858000" cy="72694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6858000" cy="7269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59690</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8" w:name="page69"/>
    <w:bookmarkEnd w:id="68"/>
    <w:p>
      <w:pPr>
        <w:jc w:val="right"/>
        <w:spacing w:after="0"/>
        <w:rPr>
          <w:sz w:val="20"/>
          <w:szCs w:val="20"/>
          <w:color w:val="auto"/>
        </w:rPr>
      </w:pPr>
      <w:r>
        <w:rPr>
          <w:rFonts w:ascii="Arial" w:cs="Arial" w:eastAsia="Arial" w:hAnsi="Arial"/>
          <w:sz w:val="22"/>
          <w:szCs w:val="22"/>
          <w:b w:val="1"/>
          <w:bCs w:val="1"/>
          <w:color w:val="auto"/>
        </w:rPr>
        <w:t>Exhibit 5.2</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One Financial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-121920</wp:posOffset>
            </wp:positionV>
            <wp:extent cx="865505" cy="1071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6">
                      <a:extLst>
                        <a:ext uri="{28A0092B-C50C-407E-A947-70E740481C1C}"/>
                      </a:extLst>
                    </a:blip>
                    <a:srcRect/>
                    <a:stretch>
                      <a:fillRect/>
                    </a:stretch>
                  </pic:blipFill>
                  <pic:spPr bwMode="auto">
                    <a:xfrm>
                      <a:off x="0" y="0"/>
                      <a:ext cx="865505" cy="107188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Boston, MA 02111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617 542 6000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mintz.com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9780"/>
        <w:spacing w:after="0"/>
        <w:rPr>
          <w:sz w:val="20"/>
          <w:szCs w:val="20"/>
          <w:color w:val="auto"/>
        </w:rPr>
      </w:pPr>
      <w:r>
        <w:rPr>
          <w:rFonts w:ascii="Arial" w:cs="Arial" w:eastAsia="Arial" w:hAnsi="Arial"/>
          <w:sz w:val="18"/>
          <w:szCs w:val="18"/>
          <w:color w:val="auto"/>
        </w:rPr>
        <w:t>March 27,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TMC the metals company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595 Howe Street, 10th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Vancouver, British Columbia V6C 2T5</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 Amendment No. 1 to Post-Effective Amendment No. 2 to Form S-1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This opinion is furnished to you in connection with the Amendment No. 1 to Post-Effective Amendment No. 2 to Form S-1 on Form S-3, as amended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filed by TMC the metals company Inc. (the “</w:t>
      </w:r>
      <w:r>
        <w:rPr>
          <w:rFonts w:ascii="Arial" w:cs="Arial" w:eastAsia="Arial" w:hAnsi="Arial"/>
          <w:sz w:val="18"/>
          <w:szCs w:val="18"/>
          <w:u w:val="single" w:color="auto"/>
          <w:color w:val="auto"/>
        </w:rPr>
        <w:t>Company</w:t>
      </w:r>
      <w:r>
        <w:rPr>
          <w:rFonts w:ascii="Arial" w:cs="Arial" w:eastAsia="Arial" w:hAnsi="Arial"/>
          <w:sz w:val="18"/>
          <w:szCs w:val="18"/>
          <w:color w:val="auto"/>
        </w:rPr>
        <w:t>”)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in connection with the registration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of up to 248,779,861 common shares of the Company, without par value (the “</w:t>
      </w:r>
      <w:r>
        <w:rPr>
          <w:rFonts w:ascii="Arial" w:cs="Arial" w:eastAsia="Arial" w:hAnsi="Arial"/>
          <w:sz w:val="18"/>
          <w:szCs w:val="18"/>
          <w:u w:val="single" w:color="auto"/>
          <w:color w:val="auto"/>
        </w:rPr>
        <w:t>Shares</w:t>
      </w:r>
      <w:r>
        <w:rPr>
          <w:rFonts w:ascii="Arial" w:cs="Arial" w:eastAsia="Arial" w:hAnsi="Arial"/>
          <w:sz w:val="18"/>
          <w:szCs w:val="18"/>
          <w:color w:val="auto"/>
        </w:rPr>
        <w:t>”), which includes (i) up to 224,279,861 common shares and 9,500,000 private placement warrants (the “</w:t>
      </w:r>
      <w:r>
        <w:rPr>
          <w:rFonts w:ascii="Arial" w:cs="Arial" w:eastAsia="Arial" w:hAnsi="Arial"/>
          <w:sz w:val="18"/>
          <w:szCs w:val="18"/>
          <w:u w:val="single" w:color="auto"/>
          <w:color w:val="auto"/>
        </w:rPr>
        <w:t>Private Placement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Warrants</w:t>
      </w:r>
      <w:r>
        <w:rPr>
          <w:rFonts w:ascii="Arial" w:cs="Arial" w:eastAsia="Arial" w:hAnsi="Arial"/>
          <w:sz w:val="18"/>
          <w:szCs w:val="18"/>
          <w:color w:val="auto"/>
        </w:rPr>
        <w:t>”) to be sold by the selling securityholders listed in the Registration Statement under “Selling Securityholders” and (ii) up to 24,500,000 common shares (the “</w:t>
      </w:r>
      <w:r>
        <w:rPr>
          <w:rFonts w:ascii="Arial" w:cs="Arial" w:eastAsia="Arial" w:hAnsi="Arial"/>
          <w:sz w:val="18"/>
          <w:szCs w:val="18"/>
          <w:u w:val="single" w:color="auto"/>
          <w:color w:val="auto"/>
        </w:rPr>
        <w:t>Warrant Shares</w:t>
      </w:r>
      <w:r>
        <w:rPr>
          <w:rFonts w:ascii="Arial" w:cs="Arial" w:eastAsia="Arial" w:hAnsi="Arial"/>
          <w:sz w:val="18"/>
          <w:szCs w:val="18"/>
          <w:color w:val="auto"/>
        </w:rPr>
        <w:t>”) that may be issued upon exercise of outstanding warrants to purchase Common Stock, including the Private Placement Warrants (the “</w:t>
      </w: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19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are acting as United States counsel for the Company in connection with the registration of the Securities. As such counsel, we have made such legal and factual examinations and inquiries as we have deemed necessary or advisable for the purpose of rendering the opinions and statements set forth below. In rendering the opinions and statements expressed below, we have examined originals or copies, certified or otherwise identified to our satisfaction, of such documents, corporate records, certificates of public officials and other instruments as we have deemed necessary for the purposes of rendering this opinion.</w:t>
      </w:r>
    </w:p>
    <w:p>
      <w:pPr>
        <w:spacing w:after="0" w:line="15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rendering the opinion stated herein, we have examined and relied upon the following: (i) the form of Warrant Certificate (included as Exhibit A to the Warrant Agreement (defined below)) (the “</w:t>
      </w:r>
      <w:r>
        <w:rPr>
          <w:rFonts w:ascii="Arial" w:cs="Arial" w:eastAsia="Arial" w:hAnsi="Arial"/>
          <w:sz w:val="18"/>
          <w:szCs w:val="18"/>
          <w:u w:val="single" w:color="auto"/>
          <w:color w:val="auto"/>
        </w:rPr>
        <w:t>Warrant Certificate</w:t>
      </w:r>
      <w:r>
        <w:rPr>
          <w:rFonts w:ascii="Arial" w:cs="Arial" w:eastAsia="Arial" w:hAnsi="Arial"/>
          <w:sz w:val="18"/>
          <w:szCs w:val="18"/>
          <w:color w:val="auto"/>
        </w:rPr>
        <w:t>”) and (ii) the agreed form of the Warrant Agreement between the Company, Sustainable Opportunities Acquisition Corp. and Continental Stock Transfer &amp; Trust Company (“</w:t>
      </w:r>
      <w:r>
        <w:rPr>
          <w:rFonts w:ascii="Arial" w:cs="Arial" w:eastAsia="Arial" w:hAnsi="Arial"/>
          <w:sz w:val="18"/>
          <w:szCs w:val="18"/>
          <w:u w:val="single" w:color="auto"/>
          <w:color w:val="auto"/>
        </w:rPr>
        <w:t>CST</w:t>
      </w:r>
      <w:r>
        <w:rPr>
          <w:rFonts w:ascii="Arial" w:cs="Arial" w:eastAsia="Arial" w:hAnsi="Arial"/>
          <w:sz w:val="18"/>
          <w:szCs w:val="18"/>
          <w:color w:val="auto"/>
        </w:rPr>
        <w:t>”), as warrant agent (the “</w:t>
      </w:r>
      <w:r>
        <w:rPr>
          <w:rFonts w:ascii="Arial" w:cs="Arial" w:eastAsia="Arial" w:hAnsi="Arial"/>
          <w:sz w:val="18"/>
          <w:szCs w:val="18"/>
          <w:u w:val="single" w:color="auto"/>
          <w:color w:val="auto"/>
        </w:rPr>
        <w:t>Warrant Agreement</w:t>
      </w:r>
      <w:r>
        <w:rPr>
          <w:rFonts w:ascii="Arial" w:cs="Arial" w:eastAsia="Arial" w:hAnsi="Arial"/>
          <w:sz w:val="18"/>
          <w:szCs w:val="18"/>
          <w:color w:val="auto"/>
        </w:rPr>
        <w:t>”), filed as Exhibit 4.4 to the Registration Statement, and (iii) the opinion of Fasken Martineau DuMoulin LLP, being filed as an exhibit to the Registration Statement, that all necessary corporate action on the part of the Company has been taken under the laws of British Columbia, Canada to authorize the issuance of the Shares, the Warrants, and the Warrant Shares.</w:t>
      </w:r>
    </w:p>
    <w:p>
      <w:pPr>
        <w:spacing w:after="0" w:line="19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our examination, we have assumed the genuineness of all signatures, the authenticity and completeness of all documents submitted to us as originals, the conformity with the originals of all documents submitted to us as copies, the authenticity of the originals of such documents and the legal competence of all signatories to such documents. We have also assumed the authority of such persons signing on behalf of the parties thereto other than the Company and the due authorization, execution and delivery of all documents by the parties thereto other than the Company. We have assumed the due authorization, execution and delivery by CST of the Warrant Agreement and that the Warrant Agreement constitutes the valid and binding obligation of CST, enforceable against CST in accordance with its terms. We have assumed that the choice of New York Law to govern the Warrant Agreement is a valid and legal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0" w:lineRule="exact"/>
        <w:rPr>
          <w:sz w:val="20"/>
          <w:szCs w:val="20"/>
          <w:color w:val="auto"/>
        </w:rPr>
      </w:pPr>
    </w:p>
    <w:p>
      <w:pPr>
        <w:jc w:val="center"/>
        <w:ind w:left="340" w:right="1080"/>
        <w:spacing w:after="0" w:line="277" w:lineRule="auto"/>
        <w:rPr>
          <w:sz w:val="20"/>
          <w:szCs w:val="20"/>
          <w:color w:val="auto"/>
        </w:rPr>
      </w:pPr>
      <w:r>
        <w:rPr>
          <w:rFonts w:ascii="Arial" w:cs="Arial" w:eastAsia="Arial" w:hAnsi="Arial"/>
          <w:sz w:val="18"/>
          <w:szCs w:val="18"/>
          <w:color w:val="auto"/>
        </w:rPr>
        <w:t>BOSTON    LONDON    LOS ANGELES    NEW YORK    SAN DIEGO    SAN FRANCISCO   WASHINGTON 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-119380</wp:posOffset>
            </wp:positionV>
            <wp:extent cx="471805" cy="5740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9">
                      <a:extLst>
                        <a:ext uri="{28A0092B-C50C-407E-A947-70E740481C1C}"/>
                      </a:extLst>
                    </a:blip>
                    <a:srcRect/>
                    <a:stretch>
                      <a:fillRect/>
                    </a:stretch>
                  </pic:blipFill>
                  <pic:spPr bwMode="auto">
                    <a:xfrm>
                      <a:off x="0" y="0"/>
                      <a:ext cx="471805" cy="57404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March 27,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We have also assumed the conformity of the documents filed with the Commission via the Electronic Data Gathering, Analysis and Retrieval System</w:t>
      </w:r>
    </w:p>
    <w:p>
      <w:pPr>
        <w:spacing w:after="0" w:line="46"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EDGAR</w:t>
      </w:r>
      <w:r>
        <w:rPr>
          <w:rFonts w:ascii="Arial" w:cs="Arial" w:eastAsia="Arial" w:hAnsi="Arial"/>
          <w:sz w:val="16"/>
          <w:szCs w:val="16"/>
          <w:color w:val="auto"/>
        </w:rPr>
        <w:t>”), except for required EDGAR formatting changes, to physical copies submitted for our examination and the absence of any evidence extrinsic to the provisions of the written agreements between the parties that the parties intended a meaning contrary to that expressed by those provisions.</w:t>
      </w:r>
    </w:p>
    <w:p>
      <w:pPr>
        <w:spacing w:after="0" w:line="13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express no opinion as to any matter relating to the laws of any jurisdiction other than the federal laws of the United States of America and the State of New York.</w:t>
      </w:r>
    </w:p>
    <w:p>
      <w:pPr>
        <w:spacing w:after="0" w:line="170"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Based upon and subject to the foregoing qualifications, assumptions and limitations and the further limitations set forth below, we are of the opinion that the Private Placement Warrants to be offered pursuant to the Registration Statement shall constitute valid and binding obligations of the Company, subject to applicable bankruptcy, insolvency and similar laws affecting creditors’ rights generally and to equitable principles of general applicability.</w:t>
      </w:r>
    </w:p>
    <w:p>
      <w:pPr>
        <w:spacing w:after="0" w:line="149" w:lineRule="exact"/>
        <w:rPr>
          <w:sz w:val="20"/>
          <w:szCs w:val="20"/>
          <w:color w:val="auto"/>
        </w:rPr>
      </w:pPr>
    </w:p>
    <w:p>
      <w:pPr>
        <w:ind w:firstLine="42"/>
        <w:spacing w:after="0" w:line="259" w:lineRule="auto"/>
        <w:rPr>
          <w:sz w:val="20"/>
          <w:szCs w:val="20"/>
          <w:color w:val="auto"/>
        </w:rPr>
      </w:pPr>
      <w:r>
        <w:rPr>
          <w:rFonts w:ascii="Arial" w:cs="Arial" w:eastAsia="Arial" w:hAnsi="Arial"/>
          <w:sz w:val="18"/>
          <w:szCs w:val="18"/>
          <w:color w:val="auto"/>
        </w:rPr>
        <w:t>We hereby consent to the filing of this opinion letter as Exhibit 5.2 to the Registration Statement and to the use of our name under the caption “Legal Matters” in the Registration Statement and in the Prospectus forming a part thereof and any amendment and/or supplement thereto. In giving this consent, we do not thereby admit that we are within the category of persons whose consent is required under Section 7 of the Act or the rules and regulations of the Commission promulgated thereunder.</w:t>
      </w:r>
    </w:p>
    <w:p>
      <w:pPr>
        <w:spacing w:after="0" w:line="187" w:lineRule="exact"/>
        <w:rPr>
          <w:sz w:val="20"/>
          <w:szCs w:val="20"/>
          <w:color w:val="auto"/>
        </w:rPr>
      </w:pPr>
    </w:p>
    <w:p>
      <w:pPr>
        <w:ind w:right="200" w:firstLine="42"/>
        <w:spacing w:after="0" w:line="277" w:lineRule="auto"/>
        <w:rPr>
          <w:sz w:val="20"/>
          <w:szCs w:val="20"/>
          <w:color w:val="auto"/>
        </w:rPr>
      </w:pPr>
      <w:r>
        <w:rPr>
          <w:rFonts w:ascii="Arial" w:cs="Arial" w:eastAsia="Arial" w:hAnsi="Arial"/>
          <w:sz w:val="18"/>
          <w:szCs w:val="18"/>
          <w:color w:val="auto"/>
        </w:rPr>
        <w:t>This opinion is furnished to you in connection with the filing of the Registration Statement, and is not to be used, circulated, quoted or otherwise relied upon for any other purpose.</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688" w:right="459" w:bottom="1440" w:gutter="0" w:footer="0" w:header="0"/>
        </w:sectPr>
      </w:pPr>
    </w:p>
    <w:bookmarkStart w:id="70" w:name="page71"/>
    <w:bookmarkEnd w:id="70"/>
    <w:p>
      <w:pPr>
        <w:jc w:val="right"/>
        <w:spacing w:after="0"/>
        <w:rPr>
          <w:sz w:val="20"/>
          <w:szCs w:val="20"/>
          <w:color w:val="auto"/>
        </w:rPr>
      </w:pPr>
      <w:r>
        <w:rPr>
          <w:rFonts w:ascii="Arial" w:cs="Arial" w:eastAsia="Arial" w:hAnsi="Arial"/>
          <w:sz w:val="22"/>
          <w:szCs w:val="22"/>
          <w:b w:val="1"/>
          <w:bCs w:val="1"/>
          <w:color w:val="auto"/>
        </w:rPr>
        <w:t>Exhibit 23.1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We consent to the reference to our firm under the caption “Experts” and to the incorporation by reference in the Registration Statement No. 333-260126 (Amendment No. 1 to Post-Effective Amendment No. 2 to Form S-1 on Form S-3) and related prospectus of TMC the metals company Inc. of our report dated March 27, 2023, with respect to the consolidated financial statements of TMC the metals company Inc. included in its Annual Report (Form 10-K) for the year ended December 31, 2022, filed with the Securities and Exchange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Vancouver,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23.4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AMC Consultants Pty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179 Turbot Street, Brisbane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Queensland, 4060, Australia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THIRD-PARTY QUALIFIED PERSON</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AMC Consultants Pty Ltd (“AMC”), in connection with the Registration Statement Amendment No. 1 to Post-Effective Amendment No. 2 to Form S-1 on Form S-3 (No. 333-260126) of TMC the metals company Inc. and any further amendments or supplements and/or exhibits thereto (collectively, the “Form S-3”), consent to:</w:t>
      </w:r>
    </w:p>
    <w:p>
      <w:pPr>
        <w:spacing w:after="0" w:line="184" w:lineRule="exact"/>
        <w:rPr>
          <w:sz w:val="20"/>
          <w:szCs w:val="20"/>
          <w:color w:val="auto"/>
        </w:rPr>
      </w:pPr>
    </w:p>
    <w:p>
      <w:pPr>
        <w:ind w:left="660" w:right="680" w:hanging="328"/>
        <w:spacing w:after="0" w:line="255"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filing and use of the technical report summary titled “Technical Report Summary--Initial Assessment of the NORI Property, Clarion-Clipperton Zone, for Deep Green Metals Inc.” (the “NORI Technical Report”), with an effective date of March 17, 2021 and current as of December 31, 2022, as an exhibit to and referenced in the Form S-3;</w:t>
      </w:r>
    </w:p>
    <w:p>
      <w:pPr>
        <w:spacing w:after="0" w:line="2" w:lineRule="exact"/>
        <w:rPr>
          <w:rFonts w:ascii="Arial" w:cs="Arial" w:eastAsia="Arial" w:hAnsi="Arial"/>
          <w:sz w:val="18"/>
          <w:szCs w:val="18"/>
          <w:color w:val="auto"/>
        </w:rPr>
      </w:pPr>
    </w:p>
    <w:p>
      <w:pPr>
        <w:ind w:left="660" w:right="520" w:hanging="328"/>
        <w:spacing w:after="0" w:line="281"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use of and references to our name, including our status as an expert or “qualified person” (as defined in Subpart 1300 of Regulation S-K promulgated by the Securities and Exchange Commission), in connection with the Form S-3 and any such NORI Technical Report; and</w:t>
      </w:r>
    </w:p>
    <w:p>
      <w:pPr>
        <w:spacing w:after="0" w:line="1" w:lineRule="exact"/>
        <w:rPr>
          <w:rFonts w:ascii="Arial" w:cs="Arial" w:eastAsia="Arial" w:hAnsi="Arial"/>
          <w:sz w:val="16"/>
          <w:szCs w:val="16"/>
          <w:color w:val="auto"/>
        </w:rPr>
      </w:pPr>
    </w:p>
    <w:p>
      <w:pPr>
        <w:ind w:left="660" w:right="80" w:hanging="328"/>
        <w:spacing w:after="0" w:line="323"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derived, summarized, quoted or referenced from the NORI Technical Report, or portions thereof, that was prepared by us, that we supervised the preparation of and/or that was reviewed and approved by us, that is included or incorporated by reference in the Form S-3.</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AMC is responsible for authoring, and this consent pertains to, the following Sections of the NORI Technical Report:</w:t>
      </w:r>
    </w:p>
    <w:p>
      <w:pPr>
        <w:spacing w:after="0" w:line="225"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Section 1: Summary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Section 2: Introduction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Section 3: Property description and location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Section 4: Accessibility, climate, local resources, infrastructure, and physiography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Section 5: History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Section 8.2: Sample preparation and assaying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Section 8.3: Quality assurance and quality control procedures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Section 8.4: Quality assurance and quality control procedures 2019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Section 8.5: Moisture Content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Section 9: Data verification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Section 11: Mineral Resource estimates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Section 12: Mineral Reserve estimates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Section 13.3: Geotechnical considerations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Section 13.7: Life of Mine nodule production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Section 14.2: Project Zero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Section 15.1: On-shore infrastructure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Section 16: Market studies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Section 17: Environmental studies, permitting and social or community impact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Section 18 (except 18.3.1, 18.3.2, 18.6.1, 18.6.6): Capital and operating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Section 19: Economic analysis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Section 20: Adjacent properties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Section 21: Other relevant data and information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Section 22: Interpretation and conclusions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Section 23: Recommendations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Section 24: References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Section 25: Reliance on information provided by the 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this March 27,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Roderick David Carlson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Roderick David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General Manager, Brisbane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Signature of Authorized Person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AMC Consultants Pty Ltd, a Qualified Third-Party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23.5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AMC Consultants Pty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179 Turbot Street, Brisbane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Queensland, 4060, Australia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THIRD-PARTY QUALIFIED PERSON</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AMC Consultants Pty Ltd (“AMC”), in connection with the Registration Statement Amendment No. 1 to Post-Effective Amendment No. 2 to Form S-1 on Form S-3 (No. 333-260126) of TMC the metals company Inc. and any further amendments or supplements and/or exhibits thereto (collectively, the “Form S-3”), consent to:</w:t>
      </w:r>
    </w:p>
    <w:p>
      <w:pPr>
        <w:spacing w:after="0" w:line="184" w:lineRule="exact"/>
        <w:rPr>
          <w:sz w:val="20"/>
          <w:szCs w:val="20"/>
          <w:color w:val="auto"/>
        </w:rPr>
      </w:pPr>
    </w:p>
    <w:p>
      <w:pPr>
        <w:ind w:left="660" w:hanging="328"/>
        <w:spacing w:after="0" w:line="255"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filing and use of the technical report summary titled “Technical Report Summary--Initial Assessment of the TOML Mineral Resource, Clarion-Clipperton Zone, Pacific Ocean, for Deep Green Metals Inc.” (the “TOML Technical Report”), with an effective date of March 26, 2021 and current as of December 31, 2022, as an exhibit to and referenced in the Form S-3;</w:t>
      </w:r>
    </w:p>
    <w:p>
      <w:pPr>
        <w:spacing w:after="0" w:line="2" w:lineRule="exact"/>
        <w:rPr>
          <w:rFonts w:ascii="Arial" w:cs="Arial" w:eastAsia="Arial" w:hAnsi="Arial"/>
          <w:sz w:val="18"/>
          <w:szCs w:val="18"/>
          <w:color w:val="auto"/>
        </w:rPr>
      </w:pPr>
    </w:p>
    <w:p>
      <w:pPr>
        <w:ind w:left="660" w:right="520" w:hanging="328"/>
        <w:spacing w:after="0" w:line="281"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use of and references to our name, including our status as an expert or “qualified person” (as defined in Subpart 1300 of Regulation S-K promulgated by the Securities and Exchange Commission), in connection with the Form S-3 and any such TOML Technical Report; and</w:t>
      </w:r>
    </w:p>
    <w:p>
      <w:pPr>
        <w:spacing w:after="0" w:line="1" w:lineRule="exact"/>
        <w:rPr>
          <w:rFonts w:ascii="Arial" w:cs="Arial" w:eastAsia="Arial" w:hAnsi="Arial"/>
          <w:sz w:val="16"/>
          <w:szCs w:val="16"/>
          <w:color w:val="auto"/>
        </w:rPr>
      </w:pPr>
    </w:p>
    <w:p>
      <w:pPr>
        <w:ind w:left="660" w:right="20" w:hanging="328"/>
        <w:spacing w:after="0" w:line="323"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derived, summarized, quoted or referenced from the TOML Technical Report, or portions thereof, that was prepared by us, that we supervised the preparation of and/or that was reviewed and approved by us, that is included or incorporated by reference in the Form S-3.</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AMC is responsible for authoring, and this consent pertains to, the following Sections of the TOML Technical Report:</w:t>
      </w:r>
    </w:p>
    <w:p>
      <w:pPr>
        <w:spacing w:after="0" w:line="225"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Section 1: Executive Summary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Section 2: Introduction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Section 3: Property Description and Location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Section 8: Sample preparation, analyses and security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Section 9: Data verification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Section 11.1 – 11.8: Mineral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Section 11.9.1: Geological setting and mineralisation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Section 11.9.2: Exploration methods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Section 11.9.3: Sample preparation analysis and security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Section 11.9.4: Mineral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Section 11.9.8: Market studies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Section 11.9.9: Environmental studies, permitting and social or community impact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Section 12: Mineral Reserve Estimates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Section 16: Market Studies and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Section 17: Environmental Studies, Permitting, and Social or Community Impact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Section 18: Capital and Operating Cost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Section 19: Economic Analysis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Section 20: Adjacent Properties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Section 21: Other Relevant Data and Information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Section 22: Interpretation and Conclusions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Section 23: Recommendations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Section 24: References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Section 25: Reliance on information provided by the 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this March 27,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Roderick David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Roderick David Carlson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General Manager, Brisbane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Signature of Authorized Person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AMC Consultants Pty Ltd, a Qualified Third-Party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23.6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Canadian Engineering Associates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104-3300 Highway 7, Unit 384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Concord, ON L4K 0G2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THIRD-PARTY QUALIFIED PERSON</w:t>
      </w:r>
    </w:p>
    <w:p>
      <w:pPr>
        <w:spacing w:after="0" w:line="22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Canadian Engineering Associates Ltd (“CEA”), in connection with the Registration Statement Amendment No. 1 to Post-Effective Amendment No. 2 to Form S-1 on Form S-3 (No. 333-260126) of TMC the metals company Inc. and any further amendments or supplements and/or exhibits thereto (collectively, the “Form S-3”), consent to:</w:t>
      </w:r>
    </w:p>
    <w:p>
      <w:pPr>
        <w:spacing w:after="0" w:line="184" w:lineRule="exact"/>
        <w:rPr>
          <w:sz w:val="20"/>
          <w:szCs w:val="20"/>
          <w:color w:val="auto"/>
        </w:rPr>
      </w:pPr>
    </w:p>
    <w:p>
      <w:pPr>
        <w:ind w:left="660" w:right="740" w:hanging="328"/>
        <w:spacing w:after="0" w:line="255"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filing and use of the technical report summary titled “Technical Report Summary--Initial Assessment of the NORI Property, Clarion-Clipperton Zone, Deep Green Metals Inc.” (the “NORI Technical Report”), with an effective date of March 17, 2021 and current as of December 31, 2022, as an exhibit to and referenced in the Form S-3;</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filing and use of the technical report summary titled “Technical Report Summary--Initial Assessment of the TOML Mineral Resource, Clarion-Clipperton Zone, Pacific Ocean, for Deep Green Metals Inc.” (the “TOML Technical Report”), with an effective date of March 17, 2021 and current as of December 31, 2022, as an exhibit to and referenced in the Form S-3;</w:t>
      </w:r>
    </w:p>
    <w:p>
      <w:pPr>
        <w:spacing w:after="0" w:line="1"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use of and references to our name, including our status as an expert or “qualified person” (as defined in Subpart 1300 of Regulation S-K promulgated by the Securities and Exchange Commission), in connection with the Form S-3 and any such NORI Technical Report and TOML Technical Report; and</w:t>
      </w:r>
    </w:p>
    <w:p>
      <w:pPr>
        <w:spacing w:after="0" w:line="1" w:lineRule="exact"/>
        <w:rPr>
          <w:rFonts w:ascii="Arial" w:cs="Arial" w:eastAsia="Arial" w:hAnsi="Arial"/>
          <w:sz w:val="18"/>
          <w:szCs w:val="18"/>
          <w:color w:val="auto"/>
        </w:rPr>
      </w:pPr>
    </w:p>
    <w:p>
      <w:pPr>
        <w:jc w:val="both"/>
        <w:ind w:left="660" w:right="280" w:hanging="328"/>
        <w:spacing w:after="0" w:line="255"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derived, summarized, quoted or referenced from the NORI Technical Report and TOML Technical Report, or portions thereof, that was prepared by us, that we supervised the preparation of and/or that was reviewed and approved by us, that is included or incorporated by reference in the Form S-3.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CEA is responsible for, and this consent pertains to, the following Sections of the NORI Technical Report:</w:t>
      </w:r>
    </w:p>
    <w:p>
      <w:pPr>
        <w:spacing w:after="0" w:line="225"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Section 10: Mineral processing and metallurgical testing</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Section 14.1: Process design basis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Section 14.3: Project One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Section 18.3.2: On-shore capital cost for Project One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Section 18.6.6: On-shore operating costs – Project One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Corresponding Subsections of Section 1: Summary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Corresponding Subsections of Section 22: Interpretation and conclusions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Corresponding Subsections of Section 23: Recommendations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Corresponding Subsections of Section 24: References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Corresponding Subsections of Section 25: Reliance on information provided by the 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CEA is responsible for, and this consent pertains to, the following Sections of the TOML Technical Report:</w:t>
      </w:r>
    </w:p>
    <w:p>
      <w:pPr>
        <w:spacing w:after="0" w:line="225"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Section 10: Mineral processing and metallurgical testing</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Section 11.9.6: Mineral processing and metallurgical testing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Section 14: Recovery Methods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Corresponding Subsections of Section 1: Summary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Corresponding Subsections of Section 22: Interpretation and conclusions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Corresponding Subsections of Section 23: Recommendations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Corresponding Subsections of Section 24: References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Corresponding Subsections of Section 25: Reliance on information provided by the 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this March 27,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Cameron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Cameron Harris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of Authorized Person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Canadian Engineering Associates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Qualified Third-Party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23.7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Deep Reach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10050 Cash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Stafford, TX 77477 USA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THIRD-PARTY QUALIFIED PERSON</w:t>
      </w:r>
    </w:p>
    <w:p>
      <w:pPr>
        <w:spacing w:after="0" w:line="2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Deep Reach Technology Inc. (“DRT”), in connection with the Registration Statement Amendment No. 1 to Post-Effective Amendment No. 2 to Form S-1 on Form S-3 (No. 333-260126) of TMC the metals company Inc. and any further amendments or supplements and/or exhibits thereto (collectively, the “Form S-3”), consent to:</w:t>
      </w:r>
    </w:p>
    <w:p>
      <w:pPr>
        <w:spacing w:after="0" w:line="184" w:lineRule="exact"/>
        <w:rPr>
          <w:sz w:val="20"/>
          <w:szCs w:val="20"/>
          <w:color w:val="auto"/>
        </w:rPr>
      </w:pPr>
    </w:p>
    <w:p>
      <w:pPr>
        <w:ind w:left="660" w:right="740" w:hanging="328"/>
        <w:spacing w:after="0" w:line="255"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filing and use of the technical report summary titled “Technical Report Summary--Initial Assessment of the NORI Property, Clarion-Clipperton Zone, Deep Green Metals Inc.” (the “NORI Technical Report”), with an effective date of March 17, 2021 and current as of December 31, 2022, as an exhibit to and referenced in the Form S-3;</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filing and use of the technical report summary titled “Technical Report Summary--Initial Assessment of the TOML Mineral Resource, Clarion-Clipperton Zone, Pacific Ocean, for Deep Green Metals Inc.” (the “TOML Technical Report”), with an effective date of March 17, 2021 and current as of December 31, 2022, as an exhibit to and referenced in the Form S-3;</w:t>
      </w:r>
    </w:p>
    <w:p>
      <w:pPr>
        <w:spacing w:after="0" w:line="1"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use of and references to our name, including our status as an expert or “qualified person” (as defined in Subpart 1300 of Regulation S-K promulgated by the Securities and Exchange Commission), in connection with the Form S-3 and any such NORI Technical Report and TOML Technical Report; and</w:t>
      </w:r>
    </w:p>
    <w:p>
      <w:pPr>
        <w:spacing w:after="0" w:line="1" w:lineRule="exact"/>
        <w:rPr>
          <w:rFonts w:ascii="Arial" w:cs="Arial" w:eastAsia="Arial" w:hAnsi="Arial"/>
          <w:sz w:val="18"/>
          <w:szCs w:val="18"/>
          <w:color w:val="auto"/>
        </w:rPr>
      </w:pPr>
    </w:p>
    <w:p>
      <w:pPr>
        <w:jc w:val="both"/>
        <w:ind w:left="660" w:right="280" w:hanging="328"/>
        <w:spacing w:after="0" w:line="255"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derived, summarized, quoted or referenced from the NORI Technical Report and TOML Technical Report, or portions thereof, that was prepared by us, that we supervised the preparation of and/or that was reviewed and approved by us, that is included or incorporated by reference in the Form S-3.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DRT is responsible for authoring, and this consent pertains to, the following Sections of the NORI Technical Report:</w:t>
      </w:r>
    </w:p>
    <w:p>
      <w:pPr>
        <w:spacing w:after="0" w:line="225"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Section 13.1: Development plan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Section 13.2: Off-shore system concept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Section 13.4: Collector Test and Hidden Gem conversion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Section 13.5: Project Zero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Section 13.6: Project One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Section 15.2: Nodule transport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Section 18.3.1: Off-shore capital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Section 18.6.1: Off-shore operating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Corresponding Subsections of Section 1: Summary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Corresponding Subsections of Section 22: Interpretation and conclusions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Corresponding Subsections of Section 23: Recommendations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Corresponding Subsections of Section 24: References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Corresponding Subsections of Section 25: Reliance on information provided by the 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DRT is responsible for authoring, and this consent pertains to, the following Sections of the TOML Technical Report:</w:t>
      </w:r>
    </w:p>
    <w:p>
      <w:pPr>
        <w:spacing w:after="0" w:line="225"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Section 11.9.5: Mining Methods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Section 11.9.7: Infrastructure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Section 13: Mining Methods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Section 15: Project Infrastructure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Corresponding Subsections of Section 1: Summary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Corresponding Subsections of Section 22: Interpretation and conclusions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Corresponding Subsections of Section 23: Recommendations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Corresponding Subsections of Section 24: References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Corresponding Subsections of Section 25: Reliance on information provided by the 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this March 27,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Edwin Halkyard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John Edwin Halkyard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of Authorized Person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Deep Reach Technology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Qualified Third-Party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23.8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Margin - Marine Geoscience Innovation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 Kalang Circuit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Coffs Harbour, 2450, NSW, Australia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THIRD-PARTY QUALIFIED PERSON</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Margin - Marine Geoscience Innovation (“MMGI”), in connection with the Registration Statement Amendment No. 1 to Post-Effective Amendment No. 2 to Form S-1 on Form S-3 (No. 333-260126) of TMC the metals company Inc. and any further amendments or supplements and/or exhibits thereto (collectively, the “Form S-3”), consent to:</w:t>
      </w:r>
    </w:p>
    <w:p>
      <w:pPr>
        <w:spacing w:after="0" w:line="184" w:lineRule="exact"/>
        <w:rPr>
          <w:sz w:val="20"/>
          <w:szCs w:val="20"/>
          <w:color w:val="auto"/>
        </w:rPr>
      </w:pPr>
    </w:p>
    <w:p>
      <w:pPr>
        <w:ind w:left="660" w:right="740" w:hanging="328"/>
        <w:spacing w:after="0" w:line="255"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filing and use of the technical report summary titled “Technical Report Summary--Initial Assessment of the NORI Property, Clarion-Clipperton Zone, Deep Green Metals Inc.” (the “NORI Technical Report”), with an effective date of March 17, 2021 and current as of December 31, 2022, as an exhibit to and referenced in the Form S-3;</w:t>
      </w:r>
    </w:p>
    <w:p>
      <w:pPr>
        <w:spacing w:after="0" w:line="2" w:lineRule="exact"/>
        <w:rPr>
          <w:rFonts w:ascii="Arial" w:cs="Arial" w:eastAsia="Arial" w:hAnsi="Arial"/>
          <w:sz w:val="18"/>
          <w:szCs w:val="18"/>
          <w:color w:val="auto"/>
        </w:rPr>
      </w:pPr>
    </w:p>
    <w:p>
      <w:pPr>
        <w:ind w:left="660" w:right="520" w:hanging="328"/>
        <w:spacing w:after="0" w:line="281"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use of and references to our name, including our status as an expert or “qualified person” (as defined in Subpart 1300 of Regulation S-K promulgated by the Securities and Exchange Commission), in connection with the Form S-3 and any such NORI Technical Report; and</w:t>
      </w:r>
    </w:p>
    <w:p>
      <w:pPr>
        <w:spacing w:after="0" w:line="1" w:lineRule="exact"/>
        <w:rPr>
          <w:rFonts w:ascii="Arial" w:cs="Arial" w:eastAsia="Arial" w:hAnsi="Arial"/>
          <w:sz w:val="16"/>
          <w:szCs w:val="16"/>
          <w:color w:val="auto"/>
        </w:rPr>
      </w:pPr>
    </w:p>
    <w:p>
      <w:pPr>
        <w:ind w:left="660" w:right="80" w:hanging="328"/>
        <w:spacing w:after="0" w:line="323"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information derived, summarized, quoted or referenced from the NORI Technical Report, or portions thereof, that was prepared by us, that we supervised the preparation of and/or that was reviewed and approved by us, that is included or incorporated by reference in the Form S-3.</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MMGI is responsible for authoring, and this consent pertains to, the following Sections of the NORI Technical Report:</w:t>
      </w:r>
    </w:p>
    <w:p>
      <w:pPr>
        <w:spacing w:after="0" w:line="225"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Section 6: Geological setting and mineralisation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Section 7: Exploration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Section 8.1: Security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Corresponding Subsections of Section 1: Summary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Corresponding Subsections of Section 22: Interpretation and conclusions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Corresponding Subsections of Section 23: Recommendations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Corresponding Subsections of Section 24: References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Corresponding Subsections of Section 25: Reliance on information provided by the 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this March 27,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Ian Robert Stevenson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Ian Robert Stevenson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of Authorized Person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Margin - Marine Geoscience Innovation,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Qualified Third-Party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23.9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John Michael Parianos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1/108 River Terrace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Kangaroo Point 4169, Australia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THIRD-PARTY QUALIFIED PERSON</w:t>
      </w:r>
    </w:p>
    <w:p>
      <w:pPr>
        <w:spacing w:after="0" w:line="229"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John Michael Parianos, in connection with the Registration Statement Amendment No. 1 to Post-Effective Amendment No. 2 to Form S-1 on Form S-3 (No. 333-260126) of TMC the metals company Inc. and any further amendments or supplements and/or exhibits thereto (collectively, the “Form S-3”), consent to:</w:t>
      </w:r>
    </w:p>
    <w:p>
      <w:pPr>
        <w:spacing w:after="0" w:line="184" w:lineRule="exact"/>
        <w:rPr>
          <w:sz w:val="20"/>
          <w:szCs w:val="20"/>
          <w:color w:val="auto"/>
        </w:rPr>
      </w:pPr>
    </w:p>
    <w:p>
      <w:pPr>
        <w:ind w:left="660" w:hanging="328"/>
        <w:spacing w:after="0" w:line="255"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filing and use of the technical report summary titled “Technical Report Summary--Initial Assessment of the TOML Mineral Resource, Clarion-Clipperton Zone, Pacific Ocean, for Deep Green Metals Inc.” (the “TOML Technical Report”), with an effective date of March 17, 2021 and current as of December 31, 2022, as an exhibit to and referenced in the Form S-3;</w:t>
      </w:r>
    </w:p>
    <w:p>
      <w:pPr>
        <w:spacing w:after="0" w:line="2" w:lineRule="exact"/>
        <w:rPr>
          <w:rFonts w:ascii="Arial" w:cs="Arial" w:eastAsia="Arial" w:hAnsi="Arial"/>
          <w:sz w:val="18"/>
          <w:szCs w:val="18"/>
          <w:color w:val="auto"/>
        </w:rPr>
      </w:pPr>
    </w:p>
    <w:p>
      <w:pPr>
        <w:ind w:left="660" w:right="540" w:hanging="328"/>
        <w:spacing w:after="0" w:line="281"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use of and references to my name, including my status as an expert or “qualified person” (as defined in Subpart 1300 of Regulation S-K promulgated by the Securities and Exchange Commission), in connection with the Form S-3 and any such TOML Technical Report; and</w:t>
      </w:r>
    </w:p>
    <w:p>
      <w:pPr>
        <w:spacing w:after="0" w:line="1" w:lineRule="exact"/>
        <w:rPr>
          <w:rFonts w:ascii="Arial" w:cs="Arial" w:eastAsia="Arial" w:hAnsi="Arial"/>
          <w:sz w:val="16"/>
          <w:szCs w:val="16"/>
          <w:color w:val="auto"/>
        </w:rPr>
      </w:pPr>
    </w:p>
    <w:p>
      <w:pPr>
        <w:ind w:left="660" w:right="100" w:hanging="328"/>
        <w:spacing w:after="0" w:line="323"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information derived, summarized, quoted or referenced from the TOML Technical Report, or portions thereof, that was prepared by me, that I supervised the preparation of and/or that was reviewed and approved by me, that is included or incorporated by reference in the Form S-3.</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am a qualified person responsible for authoring, and this consent pertains to, the following Sections of the TOML Technical Report:</w:t>
      </w:r>
    </w:p>
    <w:p>
      <w:pPr>
        <w:spacing w:after="0" w:line="225"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Section 4: Accessibility, Climate, Local Resources, Infrastructure and Physiography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Section 5: History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Section 6: Geological Setting and Mineralisation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Section 7: Exploration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Corresponding Subsections of Section 1: Summary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Corresponding Subsections of Section 22: Interpretation and conclusions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Corresponding Subsections of Section 23: Recommendations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Corresponding Subsections of Section 24: References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Corresponding Subsections of Section 25: Reliance on information provided by the 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this March 27,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Michael Parianos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John Michael Parianos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 of Qualified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decimal"/>
      <w:start w:val="1"/>
    </w:lvl>
  </w:abstractNum>
  <w:abstractNum w:abstractNumId="1">
    <w:nsid w:val="737B8DDC"/>
    <w:multiLevelType w:val="hybridMultilevel"/>
    <w:lvl w:ilvl="0">
      <w:lvlJc w:val="left"/>
      <w:lvlText w:val="(%1)"/>
      <w:numFmt w:val="lowerRoman"/>
      <w:start w:val="1"/>
    </w:lvl>
  </w:abstractNum>
  <w:abstractNum w:abstractNumId="2">
    <w:nsid w:val="6CEAF087"/>
    <w:multiLevelType w:val="hybridMultilevel"/>
    <w:lvl w:ilvl="0">
      <w:lvlJc w:val="left"/>
      <w:lvlText w:val="(%1)"/>
      <w:numFmt w:val="lowerRoman"/>
      <w:start w:val="3"/>
    </w:lvl>
  </w:abstractNum>
  <w:abstractNum w:abstractNumId="3">
    <w:nsid w:val="22221A70"/>
    <w:multiLevelType w:val="hybridMultilevel"/>
    <w:lvl w:ilvl="0">
      <w:lvlJc w:val="left"/>
      <w:lvlText w:val="(%1)"/>
      <w:numFmt w:val="decimal"/>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1)"/>
      <w:numFmt w:val="decimal"/>
      <w:start w:val="1"/>
    </w:lvl>
  </w:abstractNum>
  <w:abstractNum w:abstractNumId="9">
    <w:nsid w:val="440BADFC"/>
    <w:multiLevelType w:val="hybridMultilevel"/>
    <w:lvl w:ilvl="0">
      <w:lvlJc w:val="left"/>
      <w:lvlText w:val="(%1)"/>
      <w:numFmt w:val="decimal"/>
      <w:start w:val="10"/>
    </w:lvl>
  </w:abstractNum>
  <w:abstractNum w:abstractNumId="10">
    <w:nsid w:val="5072367"/>
    <w:multiLevelType w:val="hybridMultilevel"/>
    <w:lvl w:ilvl="0">
      <w:lvlJc w:val="left"/>
      <w:lvlText w:val="(%1)"/>
      <w:numFmt w:val="decimal"/>
      <w:start w:val="31"/>
    </w:lvl>
  </w:abstractNum>
  <w:abstractNum w:abstractNumId="11">
    <w:nsid w:val="3804823E"/>
    <w:multiLevelType w:val="hybridMultilevel"/>
    <w:lvl w:ilvl="0">
      <w:lvlJc w:val="left"/>
      <w:lvlText w:val="(%1)"/>
      <w:numFmt w:val="decimal"/>
      <w:start w:val="48"/>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1)"/>
      <w:numFmt w:val="lowerRoman"/>
      <w:start w:val="10"/>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1."/>
      <w:numFmt w:val="decimal"/>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1)"/>
      <w:numFmt w:val="decimal"/>
      <w:start w:val="574"/>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1)"/>
      <w:numFmt w:val="decimal"/>
      <w:start w:val="1"/>
    </w:lvl>
    <w:lvl w:ilvl="1">
      <w:lvlJc w:val="left"/>
      <w:lvlText w:val="(%2)"/>
      <w:numFmt w:val="lowerRoman"/>
      <w:start w:val="1"/>
    </w:lvl>
  </w:abstractNum>
  <w:abstractNum w:abstractNumId="27">
    <w:nsid w:val="2CD89A32"/>
    <w:multiLevelType w:val="hybridMultilevel"/>
    <w:lvl w:ilvl="0">
      <w:lvlJc w:val="left"/>
      <w:lvlText w:val="(%1)"/>
      <w:numFmt w:val="decimal"/>
      <w:start w:val="2"/>
    </w:lvl>
    <w:lvl w:ilvl="1">
      <w:lvlJc w:val="left"/>
      <w:lvlText w:val="(%2)"/>
      <w:numFmt w:val="lowerRoman"/>
      <w:start w:val="1"/>
    </w:lvl>
  </w:abstractNum>
  <w:abstractNum w:abstractNumId="28">
    <w:nsid w:val="57E4CCAF"/>
    <w:multiLevelType w:val="hybridMultilevel"/>
    <w:lvl w:ilvl="0">
      <w:lvlJc w:val="left"/>
      <w:lvlText w:val="(%1)"/>
      <w:numFmt w:val="decimal"/>
      <w:start w:val="5"/>
    </w:lvl>
    <w:lvl w:ilvl="1">
      <w:lvlJc w:val="left"/>
      <w:lvlText w:val="(%2)"/>
      <w:numFmt w:val="lowerRoman"/>
      <w:start w:val="1"/>
    </w:lvl>
  </w:abstractNum>
  <w:abstractNum w:abstractNumId="29">
    <w:nsid w:val="7A6D8D3C"/>
    <w:multiLevelType w:val="hybridMultilevel"/>
    <w:lvl w:ilvl="0">
      <w:lvlJc w:val="left"/>
      <w:lvlText w:val="(%1)"/>
      <w:numFmt w:val="lowerLetter"/>
      <w:start w:val="2"/>
    </w:lvl>
  </w:abstractNum>
  <w:abstractNum w:abstractNumId="30">
    <w:nsid w:val="4B588F54"/>
    <w:multiLevelType w:val="hybridMultilevel"/>
    <w:lvl w:ilvl="0">
      <w:lvlJc w:val="left"/>
      <w:lvlText w:val="(%1)"/>
      <w:numFmt w:val="lowerRoman"/>
      <w:start w:val="1"/>
    </w:lvl>
  </w:abstractNum>
  <w:abstractNum w:abstractNumId="31">
    <w:nsid w:val="542289EC"/>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32">
    <w:nsid w:val="6DE91B18"/>
    <w:multiLevelType w:val="hybridMultilevel"/>
    <w:lvl w:ilvl="0">
      <w:lvlJc w:val="left"/>
      <w:lvlText w:val="%1."/>
      <w:numFmt w:val="lowerLetter"/>
      <w:start w:val="8"/>
    </w:lvl>
  </w:abstractNum>
  <w:abstractNum w:abstractNumId="33">
    <w:nsid w:val="38437FDB"/>
    <w:multiLevelType w:val="hybridMultilevel"/>
    <w:lvl w:ilvl="0">
      <w:lvlJc w:val="left"/>
      <w:lvlText w:val="(%1)"/>
      <w:numFmt w:val="lowerRoman"/>
      <w:start w:val="5"/>
    </w:lvl>
  </w:abstractNum>
  <w:abstractNum w:abstractNumId="34">
    <w:nsid w:val="7644A45C"/>
    <w:multiLevelType w:val="hybridMultilevel"/>
    <w:lvl w:ilvl="0">
      <w:lvlJc w:val="left"/>
      <w:lvlText w:val="%1."/>
      <w:numFmt w:val="upperLetter"/>
      <w:start w:val="1"/>
    </w:lvl>
  </w:abstractNum>
  <w:abstractNum w:abstractNumId="35">
    <w:nsid w:val="32FFF902"/>
    <w:multiLevelType w:val="hybridMultilevel"/>
    <w:lvl w:ilvl="0">
      <w:lvlJc w:val="left"/>
      <w:lvlText w:val="%1."/>
      <w:numFmt w:val="decimal"/>
      <w:start w:val="1"/>
    </w:lvl>
  </w:abstractNum>
  <w:abstractNum w:abstractNumId="36">
    <w:nsid w:val="684A481A"/>
    <w:multiLevelType w:val="hybridMultilevel"/>
    <w:lvl w:ilvl="0">
      <w:lvlJc w:val="left"/>
      <w:lvlText w:val="%1."/>
      <w:numFmt w:val="decimal"/>
      <w:start w:val="1"/>
    </w:lvl>
  </w:abstractNum>
  <w:abstractNum w:abstractNumId="37">
    <w:nsid w:val="579478FE"/>
    <w:multiLevelType w:val="hybridMultilevel"/>
    <w:lvl w:ilvl="0">
      <w:lvlJc w:val="left"/>
      <w:lvlText w:val="%1."/>
      <w:numFmt w:val="decimal"/>
      <w:start w:val="1"/>
    </w:lvl>
  </w:abstractNum>
  <w:abstractNum w:abstractNumId="38">
    <w:nsid w:val="749ABB43"/>
    <w:multiLevelType w:val="hybridMultilevel"/>
    <w:lvl w:ilvl="0">
      <w:lvlJc w:val="left"/>
      <w:lvlText w:val="%1."/>
      <w:numFmt w:val="decimal"/>
      <w:start w:val="3"/>
    </w:lvl>
  </w:abstractNum>
  <w:abstractNum w:abstractNumId="39">
    <w:nsid w:val="3DC240FB"/>
    <w:multiLevelType w:val="hybridMultilevel"/>
    <w:lvl w:ilvl="0">
      <w:lvlJc w:val="left"/>
      <w:lvlText w:val="%1."/>
      <w:numFmt w:val="upperLetter"/>
      <w:start w:val="2"/>
    </w:lvl>
  </w:abstractNum>
  <w:abstractNum w:abstractNumId="40">
    <w:nsid w:val="1BA026FA"/>
    <w:multiLevelType w:val="hybridMultilevel"/>
    <w:lvl w:ilvl="0">
      <w:lvlJc w:val="left"/>
      <w:lvlText w:val="%1."/>
      <w:numFmt w:val="upperLetter"/>
      <w:start w:val="3"/>
    </w:lvl>
  </w:abstractNum>
  <w:abstractNum w:abstractNumId="41">
    <w:nsid w:val="79A1DEAA"/>
    <w:multiLevelType w:val="hybridMultilevel"/>
    <w:lvl w:ilvl="0">
      <w:lvlJc w:val="left"/>
      <w:lvlText w:val="%1."/>
      <w:numFmt w:val="decimal"/>
      <w:start w:val="1"/>
    </w:lvl>
  </w:abstractNum>
  <w:abstractNum w:abstractNumId="42">
    <w:nsid w:val="75C6C33A"/>
    <w:multiLevelType w:val="hybridMultilevel"/>
    <w:lvl w:ilvl="0">
      <w:lvlJc w:val="left"/>
      <w:lvlText w:val="%1."/>
      <w:numFmt w:val="decimal"/>
      <w:start w:val="5"/>
    </w:lvl>
  </w:abstractNum>
  <w:abstractNum w:abstractNumId="43">
    <w:nsid w:val="12E685FB"/>
    <w:multiLevelType w:val="hybridMultilevel"/>
    <w:lvl w:ilvl="0">
      <w:lvlJc w:val="left"/>
      <w:lvlText w:val="%1."/>
      <w:numFmt w:val="upperLetter"/>
      <w:start w:val="4"/>
    </w:lvl>
  </w:abstractNum>
  <w:abstractNum w:abstractNumId="44">
    <w:nsid w:val="70C6A529"/>
    <w:multiLevelType w:val="hybridMultilevel"/>
    <w:lvl w:ilvl="0">
      <w:lvlJc w:val="left"/>
      <w:lvlText w:val="%1."/>
      <w:numFmt w:val="upperLetter"/>
      <w:start w:val="5"/>
    </w:lvl>
  </w:abstractNum>
  <w:abstractNum w:abstractNumId="45">
    <w:nsid w:val="520EEDD1"/>
    <w:multiLevelType w:val="hybridMultilevel"/>
    <w:lvl w:ilvl="0">
      <w:lvlJc w:val="left"/>
      <w:lvlText w:val="%1"/>
      <w:numFmt w:val="upperLetter"/>
      <w:start w:val="1"/>
    </w:lvl>
    <w:lvl w:ilvl="1">
      <w:lvlJc w:val="left"/>
      <w:lvlText w:val="%2."/>
      <w:numFmt w:val="decimal"/>
      <w:start w:val="1"/>
    </w:lvl>
  </w:abstractNum>
  <w:abstractNum w:abstractNumId="46">
    <w:nsid w:val="374A3FE6"/>
    <w:multiLevelType w:val="hybridMultilevel"/>
    <w:lvl w:ilvl="0">
      <w:lvlJc w:val="left"/>
      <w:lvlText w:val="%1."/>
      <w:numFmt w:val="upperLetter"/>
      <w:start w:val="6"/>
    </w:lvl>
    <w:lvl w:ilvl="1">
      <w:lvlJc w:val="left"/>
      <w:lvlText w:val="%2"/>
      <w:numFmt w:val="decimal"/>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
      <w:numFmt w:val="bullet"/>
      <w:start w:val="1"/>
    </w:lvl>
  </w:abstractNum>
  <w:abstractNum w:abstractNumId="58">
    <w:nsid w:val="741226BB"/>
    <w:multiLevelType w:val="hybridMultilevel"/>
    <w:lvl w:ilvl="0">
      <w:lvlJc w:val="left"/>
      <w:lvlText w:val="●"/>
      <w:numFmt w:val="bullet"/>
      <w:start w:val="1"/>
    </w:lvl>
  </w:abstractNum>
  <w:abstractNum w:abstractNumId="59">
    <w:nsid w:val="D34B6A8"/>
    <w:multiLevelType w:val="hybridMultilevel"/>
    <w:lvl w:ilvl="0">
      <w:lvlJc w:val="left"/>
      <w:lvlText w:val="●"/>
      <w:numFmt w:val="bullet"/>
      <w:start w:val="1"/>
    </w:lvl>
  </w:abstractNum>
  <w:abstractNum w:abstractNumId="60">
    <w:nsid w:val="10233C9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jpeg"/><Relationship Id="rId74" Type="http://schemas.openxmlformats.org/officeDocument/2006/relationships/image" Target="media/image62.png"/><Relationship Id="rId75" Type="http://schemas.openxmlformats.org/officeDocument/2006/relationships/image" Target="media/image63.png"/><Relationship Id="rId85" Type="http://schemas.openxmlformats.org/officeDocument/2006/relationships/image" Target="media/image64.png"/><Relationship Id="rId92" Type="http://schemas.openxmlformats.org/officeDocument/2006/relationships/image" Target="media/image65.png"/><Relationship Id="rId93" Type="http://schemas.openxmlformats.org/officeDocument/2006/relationships/image" Target="media/image66.png"/><Relationship Id="rId94" Type="http://schemas.openxmlformats.org/officeDocument/2006/relationships/image" Target="media/image67.png"/><Relationship Id="rId95" Type="http://schemas.openxmlformats.org/officeDocument/2006/relationships/image" Target="media/image68.png"/><Relationship Id="rId96" Type="http://schemas.openxmlformats.org/officeDocument/2006/relationships/image" Target="media/image69.png"/><Relationship Id="rId97" Type="http://schemas.openxmlformats.org/officeDocument/2006/relationships/image" Target="media/image70.png"/><Relationship Id="rId98" Type="http://schemas.openxmlformats.org/officeDocument/2006/relationships/image" Target="media/image71.jpeg"/><Relationship Id="rId99" Type="http://schemas.openxmlformats.org/officeDocument/2006/relationships/image" Target="media/image72.jpeg"/><Relationship Id="rId100" Type="http://schemas.openxmlformats.org/officeDocument/2006/relationships/image" Target="media/image73.png"/><Relationship Id="rId101" Type="http://schemas.openxmlformats.org/officeDocument/2006/relationships/image" Target="media/image74.jpeg"/><Relationship Id="rId102" Type="http://schemas.openxmlformats.org/officeDocument/2006/relationships/image" Target="media/image75.jpeg"/><Relationship Id="rId103" Type="http://schemas.openxmlformats.org/officeDocument/2006/relationships/image" Target="media/image76.png"/><Relationship Id="rId104" Type="http://schemas.openxmlformats.org/officeDocument/2006/relationships/image" Target="media/image77.jpeg"/><Relationship Id="rId105" Type="http://schemas.openxmlformats.org/officeDocument/2006/relationships/image" Target="media/image78.jpeg"/><Relationship Id="rId106" Type="http://schemas.openxmlformats.org/officeDocument/2006/relationships/image" Target="media/image79.png"/><Relationship Id="rId107" Type="http://schemas.openxmlformats.org/officeDocument/2006/relationships/image" Target="media/image80.jpeg"/><Relationship Id="rId108" Type="http://schemas.openxmlformats.org/officeDocument/2006/relationships/image" Target="media/image81.jpeg"/><Relationship Id="rId109" Type="http://schemas.openxmlformats.org/officeDocument/2006/relationships/image" Target="media/image82.png"/><Relationship Id="rId110" Type="http://schemas.openxmlformats.org/officeDocument/2006/relationships/image" Target="media/image83.jpeg"/><Relationship Id="rId111" Type="http://schemas.openxmlformats.org/officeDocument/2006/relationships/image" Target="media/image84.jpeg"/><Relationship Id="rId112" Type="http://schemas.openxmlformats.org/officeDocument/2006/relationships/image" Target="media/image85.png"/><Relationship Id="rId113" Type="http://schemas.openxmlformats.org/officeDocument/2006/relationships/image" Target="media/image86.jpeg"/><Relationship Id="rId114" Type="http://schemas.openxmlformats.org/officeDocument/2006/relationships/image" Target="media/image87.jpeg"/><Relationship Id="rId115" Type="http://schemas.openxmlformats.org/officeDocument/2006/relationships/image" Target="media/image88.png"/><Relationship Id="rId116" Type="http://schemas.openxmlformats.org/officeDocument/2006/relationships/image" Target="media/image89.jpeg"/><Relationship Id="rId117" Type="http://schemas.openxmlformats.org/officeDocument/2006/relationships/image" Target="media/image90.png"/><Relationship Id="rId118" Type="http://schemas.openxmlformats.org/officeDocument/2006/relationships/image" Target="media/image91.png"/><Relationship Id="rId119" Type="http://schemas.openxmlformats.org/officeDocument/2006/relationships/image" Target="media/image92.jpeg"/><Relationship Id="rId120" Type="http://schemas.openxmlformats.org/officeDocument/2006/relationships/image" Target="media/image93.png"/><Relationship Id="rId121" Type="http://schemas.openxmlformats.org/officeDocument/2006/relationships/image" Target="media/image94.png"/><Relationship Id="rId122" Type="http://schemas.openxmlformats.org/officeDocument/2006/relationships/image" Target="media/image95.png"/><Relationship Id="rId123" Type="http://schemas.openxmlformats.org/officeDocument/2006/relationships/image" Target="media/image96.png"/><Relationship Id="rId124" Type="http://schemas.openxmlformats.org/officeDocument/2006/relationships/image" Target="media/image97.png"/><Relationship Id="rId125" Type="http://schemas.openxmlformats.org/officeDocument/2006/relationships/image" Target="media/image98.png"/><Relationship Id="rId126" Type="http://schemas.openxmlformats.org/officeDocument/2006/relationships/image" Target="media/image99.png"/><Relationship Id="rId127" Type="http://schemas.openxmlformats.org/officeDocument/2006/relationships/image" Target="media/image100.png"/><Relationship Id="rId128" Type="http://schemas.openxmlformats.org/officeDocument/2006/relationships/image" Target="media/image101.png"/><Relationship Id="rId129" Type="http://schemas.openxmlformats.org/officeDocument/2006/relationships/image" Target="media/image102.png"/><Relationship Id="rId130" Type="http://schemas.openxmlformats.org/officeDocument/2006/relationships/image" Target="media/image103.png"/><Relationship Id="rId131" Type="http://schemas.openxmlformats.org/officeDocument/2006/relationships/image" Target="media/image104.png"/><Relationship Id="rId132" Type="http://schemas.openxmlformats.org/officeDocument/2006/relationships/image" Target="media/image105.png"/><Relationship Id="rId133" Type="http://schemas.openxmlformats.org/officeDocument/2006/relationships/image" Target="media/image106.png"/><Relationship Id="rId134" Type="http://schemas.openxmlformats.org/officeDocument/2006/relationships/image" Target="media/image107.png"/><Relationship Id="rId66" Type="http://schemas.openxmlformats.org/officeDocument/2006/relationships/hyperlink" Target="https://www.sec.gov/ix?doc=/Archives/edgar/data/1798562/000110465923037110/tmc-20221231x10k.htm" TargetMode="External"/><Relationship Id="rId67" Type="http://schemas.openxmlformats.org/officeDocument/2006/relationships/hyperlink" Target="https://www.sec.gov/ix?doc=/Archives/edgar/data/1798562/000110465923022723/tm237104d2_8k.htm" TargetMode="External"/><Relationship Id="rId68" Type="http://schemas.openxmlformats.org/officeDocument/2006/relationships/hyperlink" Target="https://www.sec.gov/ix?doc=/Archives/edgar/data/1798562/000110465923023295/tm237199d2_8k.htm" TargetMode="External"/><Relationship Id="rId69" Type="http://schemas.openxmlformats.org/officeDocument/2006/relationships/hyperlink" Target="https://www.sec.gov/ix?doc=/Archives/edgar/data/1798562/000110465923024088/tm237472d2_8k.htm" TargetMode="External"/><Relationship Id="rId70" Type="http://schemas.openxmlformats.org/officeDocument/2006/relationships/hyperlink" Target="https://www.sec.gov/Archives/edgar/data/1798562/000121390021047279/ea146988-8a12b_tmcthemetals.htm" TargetMode="External"/><Relationship Id="rId76" Type="http://schemas.openxmlformats.org/officeDocument/2006/relationships/hyperlink" Target="https://www.sec.gov/Archives/edgar/data/1798562/000121390021013347/ea137001ex2-1_sustainable.htm" TargetMode="External"/><Relationship Id="rId77" Type="http://schemas.openxmlformats.org/officeDocument/2006/relationships/hyperlink" Target="https://www.sec.gov/Archives/edgar/data/1798562/000121390021048261/ea147253ex3-1_tmcthemet.htm" TargetMode="External"/><Relationship Id="rId78" Type="http://schemas.openxmlformats.org/officeDocument/2006/relationships/hyperlink" Target="https://www.sec.gov/Archives/edgar/data/1798562/000121390021048261/ea147253ex3-2_tmcthemet.htm" TargetMode="External"/><Relationship Id="rId79" Type="http://schemas.openxmlformats.org/officeDocument/2006/relationships/hyperlink" Target="https://www.sec.gov/Archives/edgar/data/1798562/000121390021048261/ea147253ex4-1_tmcthemet.htm" TargetMode="External"/><Relationship Id="rId80" Type="http://schemas.openxmlformats.org/officeDocument/2006/relationships/hyperlink" Target="https://www.sec.gov/Archives/edgar/data/1798562/000121390020011491/ea121545ex4-1_sustainable.htm" TargetMode="External"/><Relationship Id="rId81" Type="http://schemas.openxmlformats.org/officeDocument/2006/relationships/hyperlink" Target="https://www.sec.gov/Archives/edgar/data/1798562/000121390021020731/fs42021ex4-5_sustainable.htm" TargetMode="External"/><Relationship Id="rId82" Type="http://schemas.openxmlformats.org/officeDocument/2006/relationships/hyperlink" Target="https://www.sec.gov/Archives/edgar/data/1798562/000121390021040480/fs42021a5_sustainableopp.htm#T108" TargetMode="External"/><Relationship Id="rId83" Type="http://schemas.openxmlformats.org/officeDocument/2006/relationships/hyperlink" Target="https://www.sec.gov/Archives/edgar/data/1798562/000121390021040480/fs42021a5_sustainableopp.htm#T104" TargetMode="External"/><Relationship Id="rId84" Type="http://schemas.openxmlformats.org/officeDocument/2006/relationships/hyperlink" Target="https://www.sec.gov/Archives/edgar/data/1798562/000121390021040480/fs42021a5_sustainableopp.htm#T105" TargetMode="External"/><Relationship Id="rId86" Type="http://schemas.openxmlformats.org/officeDocument/2006/relationships/hyperlink" Target="https://www.sec.gov/ix?doc=/Archives/edgar/data/1798562/000121390021051893/fs12021_tmcthemetals.htm#T898" TargetMode="External"/><Relationship Id="rId87" Type="http://schemas.openxmlformats.org/officeDocument/2006/relationships/hyperlink" Target="https://www.sec.gov/Archives/edgar/data/1798562/000110465922045575/tmc-20211231xex24d2.htm" TargetMode="External"/><Relationship Id="rId88" Type="http://schemas.openxmlformats.org/officeDocument/2006/relationships/hyperlink" Target="https://www.sec.gov/Archives/edgar/data/1798562/000110465922121882/tm2231259d1_ex24-3.htm" TargetMode="External"/><Relationship Id="rId89" Type="http://schemas.openxmlformats.org/officeDocument/2006/relationships/hyperlink" Target="https://www.sec.gov/Archives/edgar/data/1798562/000121390021033645/fs42021a2ex96-1_sustainable.htm" TargetMode="External"/><Relationship Id="rId90" Type="http://schemas.openxmlformats.org/officeDocument/2006/relationships/hyperlink" Target="https://www.sec.gov/Archives/edgar/data/1798562/000121390021033645/fs42021a2ex96-2_sustainable.htm" TargetMode="External"/><Relationship Id="rId91" Type="http://schemas.openxmlformats.org/officeDocument/2006/relationships/hyperlink" Target="https://www.sec.gov/Archives/edgar/data/1798562/000110465922045575/tmc-20211231x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2023-03-27T19:17:25Z</dcterms:created>
  <dcterms:modified xsi:type="dcterms:W3CDTF">2023-03-27T19:17:25Z</dcterms:modified>
</cp:coreProperties>
</file>