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6879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68795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8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O'Sullivan Anthony</w:t>
              </w:r>
            </w:hyperlink>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TMC the metals Co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TMC</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80" w:type="dxa"/>
            <w:vAlign w:val="bottom"/>
            <w:gridSpan w:val="3"/>
            <w:vMerge w:val="continue"/>
          </w:tcPr>
          <w:p>
            <w:pPr>
              <w:spacing w:after="0"/>
              <w:rPr>
                <w:sz w:val="5"/>
                <w:szCs w:val="5"/>
                <w:color w:val="auto"/>
              </w:rPr>
            </w:pPr>
          </w:p>
        </w:tc>
        <w:tc>
          <w:tcPr>
            <w:tcW w:w="15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60" w:type="dxa"/>
            <w:vAlign w:val="bottom"/>
            <w:tcBorders>
              <w:top w:val="single" w:sz="8" w:color="0000EE"/>
            </w:tcBorders>
          </w:tcPr>
          <w:p>
            <w:pPr>
              <w:spacing w:after="0"/>
              <w:rPr>
                <w:sz w:val="5"/>
                <w:szCs w:val="5"/>
                <w:color w:val="auto"/>
              </w:rPr>
            </w:pPr>
          </w:p>
        </w:tc>
        <w:tc>
          <w:tcPr>
            <w:tcW w:w="1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920" w:type="dxa"/>
            <w:vAlign w:val="bottom"/>
            <w:tcBorders>
              <w:top w:val="single" w:sz="8" w:color="0000EE"/>
              <w:bottom w:val="single" w:sz="8" w:color="9A9A9A"/>
            </w:tcBorders>
          </w:tcPr>
          <w:p>
            <w:pPr>
              <w:spacing w:after="0"/>
              <w:rPr>
                <w:sz w:val="16"/>
                <w:szCs w:val="16"/>
                <w:color w:val="auto"/>
              </w:rPr>
            </w:pPr>
          </w:p>
        </w:tc>
        <w:tc>
          <w:tcPr>
            <w:tcW w:w="380" w:type="dxa"/>
            <w:vAlign w:val="bottom"/>
            <w:tcBorders>
              <w:bottom w:val="single" w:sz="8" w:color="9A9A9A"/>
            </w:tcBorders>
          </w:tcPr>
          <w:p>
            <w:pPr>
              <w:spacing w:after="0"/>
              <w:rPr>
                <w:sz w:val="16"/>
                <w:szCs w:val="16"/>
                <w:color w:val="auto"/>
              </w:rPr>
            </w:pPr>
          </w:p>
        </w:tc>
        <w:tc>
          <w:tcPr>
            <w:tcW w:w="15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920" w:type="dxa"/>
            <w:vAlign w:val="bottom"/>
            <w:tcBorders>
              <w:top w:val="single" w:sz="8" w:color="EEEEEE"/>
            </w:tcBorders>
          </w:tcPr>
          <w:p>
            <w:pPr>
              <w:spacing w:after="0"/>
              <w:rPr>
                <w:sz w:val="2"/>
                <w:szCs w:val="2"/>
                <w:color w:val="auto"/>
              </w:rPr>
            </w:pPr>
          </w:p>
        </w:tc>
        <w:tc>
          <w:tcPr>
            <w:tcW w:w="380" w:type="dxa"/>
            <w:vAlign w:val="bottom"/>
            <w:tcBorders>
              <w:top w:val="single" w:sz="8" w:color="EEEEEE"/>
            </w:tcBorders>
          </w:tcPr>
          <w:p>
            <w:pPr>
              <w:spacing w:after="0"/>
              <w:rPr>
                <w:sz w:val="2"/>
                <w:szCs w:val="2"/>
                <w:color w:val="auto"/>
              </w:rPr>
            </w:pPr>
          </w:p>
        </w:tc>
        <w:tc>
          <w:tcPr>
            <w:tcW w:w="15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60" w:type="dxa"/>
            <w:vAlign w:val="bottom"/>
            <w:tcBorders>
              <w:bottom w:val="single" w:sz="8" w:color="2C2C2C"/>
            </w:tcBorders>
          </w:tcPr>
          <w:p>
            <w:pPr>
              <w:spacing w:after="0"/>
              <w:rPr>
                <w:sz w:val="2"/>
                <w:szCs w:val="2"/>
                <w:color w:val="auto"/>
              </w:rPr>
            </w:pPr>
          </w:p>
        </w:tc>
        <w:tc>
          <w:tcPr>
            <w:tcW w:w="16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30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TMC THE METALS COMPANY INC., 595</w:t>
            </w:r>
          </w:p>
        </w:tc>
        <w:tc>
          <w:tcPr>
            <w:tcW w:w="2220" w:type="dxa"/>
            <w:vAlign w:val="bottom"/>
            <w:gridSpan w:val="3"/>
          </w:tcPr>
          <w:p>
            <w:pPr>
              <w:ind w:left="160"/>
              <w:spacing w:after="0"/>
              <w:rPr>
                <w:sz w:val="20"/>
                <w:szCs w:val="20"/>
                <w:color w:val="auto"/>
              </w:rPr>
            </w:pPr>
            <w:r>
              <w:rPr>
                <w:rFonts w:ascii="Arial" w:cs="Arial" w:eastAsia="Arial" w:hAnsi="Arial"/>
                <w:sz w:val="17"/>
                <w:szCs w:val="17"/>
                <w:color w:val="0000FF"/>
              </w:rPr>
              <w:t>03/20/2023</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HOWE STREET, 10TH FLOOR</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ind w:right="115"/>
        <w:spacing w:after="0"/>
        <w:rPr>
          <w:sz w:val="20"/>
          <w:szCs w:val="20"/>
          <w:color w:val="auto"/>
        </w:rPr>
      </w:pPr>
      <w:r>
        <w:rPr>
          <w:rFonts w:ascii="Arial" w:cs="Arial" w:eastAsia="Arial" w:hAnsi="Arial"/>
          <w:sz w:val="17"/>
          <w:szCs w:val="17"/>
          <w:color w:val="0000FF"/>
        </w:rPr>
        <w:t>Chief Development Officer</w:t>
      </w:r>
    </w:p>
    <w:p>
      <w:pPr>
        <w:spacing w:after="0" w:line="402" w:lineRule="exact"/>
        <w:rPr>
          <w:sz w:val="20"/>
          <w:szCs w:val="20"/>
          <w:color w:val="auto"/>
        </w:rPr>
      </w:pPr>
    </w:p>
    <w:p>
      <w:pPr>
        <w:sectPr>
          <w:pgSz w:w="11900" w:h="16838" w:orient="portrait"/>
          <w:cols w:equalWidth="0" w:num="2">
            <w:col w:w="7660" w:space="75"/>
            <w:col w:w="3265"/>
          </w:cols>
          <w:pgMar w:left="460" w:top="225" w:right="439" w:bottom="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5"/>
          </w:tcPr>
          <w:p>
            <w:pPr>
              <w:ind w:left="2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5"/>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ind w:left="380"/>
              <w:spacing w:after="0"/>
              <w:rPr>
                <w:sz w:val="20"/>
                <w:szCs w:val="20"/>
                <w:color w:val="auto"/>
              </w:rPr>
            </w:pPr>
            <w:r>
              <w:rPr>
                <w:rFonts w:ascii="Arial" w:cs="Arial" w:eastAsia="Arial" w:hAnsi="Arial"/>
                <w:sz w:val="13"/>
                <w:szCs w:val="13"/>
                <w:color w:val="auto"/>
              </w:rPr>
              <w:t>Line)</w:t>
            </w:r>
          </w:p>
        </w:tc>
        <w:tc>
          <w:tcPr>
            <w:tcW w:w="1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7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20" w:type="dxa"/>
            <w:vAlign w:val="bottom"/>
            <w:gridSpan w:val="5"/>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vMerge w:val="restart"/>
          </w:tcPr>
          <w:p>
            <w:pPr>
              <w:spacing w:after="0"/>
              <w:rPr>
                <w:sz w:val="20"/>
                <w:szCs w:val="20"/>
                <w:color w:val="auto"/>
              </w:rPr>
            </w:pPr>
            <w:r>
              <w:rPr>
                <w:rFonts w:ascii="Arial" w:cs="Arial" w:eastAsia="Arial" w:hAnsi="Arial"/>
                <w:sz w:val="17"/>
                <w:szCs w:val="17"/>
                <w:color w:val="0000FF"/>
              </w:rPr>
              <w:t>VANCOUVER</w:t>
            </w:r>
          </w:p>
        </w:tc>
        <w:tc>
          <w:tcPr>
            <w:tcW w:w="720" w:type="dxa"/>
            <w:vAlign w:val="bottom"/>
            <w:vMerge w:val="restart"/>
          </w:tcPr>
          <w:p>
            <w:pPr>
              <w:ind w:left="60"/>
              <w:spacing w:after="0"/>
              <w:rPr>
                <w:sz w:val="20"/>
                <w:szCs w:val="20"/>
                <w:color w:val="auto"/>
              </w:rPr>
            </w:pPr>
            <w:r>
              <w:rPr>
                <w:rFonts w:ascii="Arial" w:cs="Arial" w:eastAsia="Arial" w:hAnsi="Arial"/>
                <w:sz w:val="17"/>
                <w:szCs w:val="17"/>
                <w:color w:val="0000FF"/>
              </w:rPr>
              <w:t>A1</w:t>
            </w:r>
          </w:p>
        </w:tc>
        <w:tc>
          <w:tcPr>
            <w:tcW w:w="1900" w:type="dxa"/>
            <w:vAlign w:val="bottom"/>
            <w:gridSpan w:val="2"/>
            <w:vMerge w:val="restart"/>
          </w:tcPr>
          <w:p>
            <w:pPr>
              <w:ind w:left="560"/>
              <w:spacing w:after="0"/>
              <w:rPr>
                <w:sz w:val="20"/>
                <w:szCs w:val="20"/>
                <w:color w:val="auto"/>
              </w:rPr>
            </w:pPr>
            <w:r>
              <w:rPr>
                <w:rFonts w:ascii="Arial" w:cs="Arial" w:eastAsia="Arial" w:hAnsi="Arial"/>
                <w:sz w:val="17"/>
                <w:szCs w:val="17"/>
                <w:color w:val="0000FF"/>
              </w:rPr>
              <w:t>V6C 2T5</w:t>
            </w:r>
          </w:p>
        </w:tc>
        <w:tc>
          <w:tcPr>
            <w:tcW w:w="1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20" w:type="dxa"/>
            <w:vAlign w:val="bottom"/>
            <w:gridSpan w:val="5"/>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90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8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9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1760" w:type="dxa"/>
            <w:vAlign w:val="bottom"/>
            <w:tcBorders>
              <w:bottom w:val="single" w:sz="8" w:color="9A9A9A"/>
            </w:tcBorders>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4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20" w:type="dxa"/>
            <w:vAlign w:val="bottom"/>
            <w:vMerge w:val="restart"/>
          </w:tcPr>
          <w:p>
            <w:pPr>
              <w:ind w:left="60"/>
              <w:spacing w:after="0"/>
              <w:rPr>
                <w:sz w:val="20"/>
                <w:szCs w:val="20"/>
                <w:color w:val="auto"/>
              </w:rPr>
            </w:pPr>
            <w:r>
              <w:rPr>
                <w:rFonts w:ascii="Arial" w:cs="Arial" w:eastAsia="Arial" w:hAnsi="Arial"/>
                <w:sz w:val="13"/>
                <w:szCs w:val="13"/>
                <w:color w:val="auto"/>
              </w:rPr>
              <w:t>(State)</w:t>
            </w:r>
          </w:p>
        </w:tc>
        <w:tc>
          <w:tcPr>
            <w:tcW w:w="190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8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72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1760" w:type="dxa"/>
            <w:vAlign w:val="bottom"/>
            <w:tcBorders>
              <w:bottom w:val="single" w:sz="8" w:color="2C2C2C"/>
            </w:tcBorders>
          </w:tcPr>
          <w:p>
            <w:pPr>
              <w:spacing w:after="0"/>
              <w:rPr>
                <w:sz w:val="11"/>
                <w:szCs w:val="11"/>
                <w:color w:val="auto"/>
              </w:rPr>
            </w:pPr>
          </w:p>
        </w:tc>
        <w:tc>
          <w:tcPr>
            <w:tcW w:w="5340" w:type="dxa"/>
            <w:vAlign w:val="bottom"/>
            <w:tcBorders>
              <w:bottom w:val="single" w:sz="8" w:color="2C2C2C"/>
            </w:tcBorders>
            <w:gridSpan w:val="8"/>
          </w:tcPr>
          <w:p>
            <w:pPr>
              <w:spacing w:after="0"/>
              <w:rPr>
                <w:sz w:val="11"/>
                <w:szCs w:val="11"/>
                <w:color w:val="auto"/>
              </w:rPr>
            </w:pPr>
          </w:p>
        </w:tc>
        <w:tc>
          <w:tcPr>
            <w:tcW w:w="98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116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10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80" w:type="dxa"/>
            <w:vAlign w:val="bottom"/>
            <w:tcBorders>
              <w:top w:val="single" w:sz="8" w:color="2C2C2C"/>
            </w:tcBorders>
          </w:tcPr>
          <w:p>
            <w:pPr>
              <w:spacing w:after="0"/>
              <w:rPr>
                <w:sz w:val="21"/>
                <w:szCs w:val="21"/>
                <w:color w:val="auto"/>
              </w:rPr>
            </w:pPr>
          </w:p>
        </w:tc>
        <w:tc>
          <w:tcPr>
            <w:tcW w:w="88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160" w:type="dxa"/>
            <w:vAlign w:val="bottom"/>
            <w:tcBorders>
              <w:bottom w:val="single" w:sz="8" w:color="2C2C2C"/>
            </w:tcBorders>
            <w:gridSpan w:val="4"/>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gridSpan w:val="2"/>
          </w:tcPr>
          <w:p>
            <w:pPr>
              <w:ind w:left="920"/>
              <w:spacing w:after="0"/>
              <w:rPr>
                <w:sz w:val="20"/>
                <w:szCs w:val="20"/>
                <w:color w:val="auto"/>
              </w:rPr>
            </w:pPr>
            <w:r>
              <w:rPr>
                <w:rFonts w:ascii="Arial" w:cs="Arial" w:eastAsia="Arial" w:hAnsi="Arial"/>
                <w:sz w:val="12"/>
                <w:szCs w:val="12"/>
                <w:b w:val="1"/>
                <w:bCs w:val="1"/>
                <w:color w:val="auto"/>
              </w:rPr>
              <w:t>2. Transaction</w:t>
            </w:r>
          </w:p>
        </w:tc>
        <w:tc>
          <w:tcPr>
            <w:tcW w:w="1200" w:type="dxa"/>
            <w:vAlign w:val="bottom"/>
          </w:tcPr>
          <w:p>
            <w:pPr>
              <w:ind w:left="1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2"/>
          </w:tcPr>
          <w:p>
            <w:pPr>
              <w:ind w:left="920"/>
              <w:spacing w:after="0" w:line="131"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900" w:type="dxa"/>
            <w:vAlign w:val="bottom"/>
            <w:gridSpan w:val="2"/>
          </w:tcPr>
          <w:p>
            <w:pPr>
              <w:jc w:val="center"/>
              <w:ind w:left="84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7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8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6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8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0"/>
                <w:szCs w:val="10"/>
                <w:color w:val="auto"/>
              </w:rPr>
            </w:pPr>
          </w:p>
        </w:tc>
        <w:tc>
          <w:tcPr>
            <w:tcW w:w="8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72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860" w:type="dxa"/>
            <w:vAlign w:val="bottom"/>
            <w:gridSpan w:val="2"/>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90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Common Shares</w:t>
            </w:r>
          </w:p>
        </w:tc>
        <w:tc>
          <w:tcPr>
            <w:tcW w:w="7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2"/>
              <w:spacing w:after="0"/>
              <w:rPr>
                <w:sz w:val="20"/>
                <w:szCs w:val="20"/>
                <w:color w:val="auto"/>
              </w:rPr>
            </w:pPr>
            <w:r>
              <w:rPr>
                <w:rFonts w:ascii="Arial" w:cs="Arial" w:eastAsia="Arial" w:hAnsi="Arial"/>
                <w:sz w:val="17"/>
                <w:szCs w:val="17"/>
                <w:color w:val="0000FF"/>
                <w:w w:val="93"/>
              </w:rPr>
              <w:t>03/20/2023</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243,223</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555,723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Common Shares</w:t>
            </w:r>
          </w:p>
        </w:tc>
        <w:tc>
          <w:tcPr>
            <w:tcW w:w="7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2"/>
              <w:spacing w:after="0"/>
              <w:rPr>
                <w:sz w:val="20"/>
                <w:szCs w:val="20"/>
                <w:color w:val="auto"/>
              </w:rPr>
            </w:pPr>
            <w:r>
              <w:rPr>
                <w:rFonts w:ascii="Arial" w:cs="Arial" w:eastAsia="Arial" w:hAnsi="Arial"/>
                <w:sz w:val="17"/>
                <w:szCs w:val="17"/>
                <w:color w:val="0000FF"/>
                <w:w w:val="93"/>
              </w:rPr>
              <w:t>03/20/2023</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5"/>
              </w:rPr>
              <w:t>200,277</w:t>
            </w:r>
            <w:r>
              <w:rPr>
                <w:rFonts w:ascii="Arial" w:cs="Arial" w:eastAsia="Arial" w:hAnsi="Arial"/>
                <w:sz w:val="22"/>
                <w:szCs w:val="22"/>
                <w:color w:val="008000"/>
                <w:w w:val="85"/>
                <w:vertAlign w:val="superscript"/>
              </w:rPr>
              <w:t>(2)</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1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61"/>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0.00</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756,000</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Common Shares</w:t>
            </w:r>
          </w:p>
        </w:tc>
        <w:tc>
          <w:tcPr>
            <w:tcW w:w="7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2"/>
              <w:spacing w:after="0"/>
              <w:rPr>
                <w:sz w:val="20"/>
                <w:szCs w:val="20"/>
                <w:color w:val="auto"/>
              </w:rPr>
            </w:pPr>
            <w:r>
              <w:rPr>
                <w:rFonts w:ascii="Arial" w:cs="Arial" w:eastAsia="Arial" w:hAnsi="Arial"/>
                <w:sz w:val="17"/>
                <w:szCs w:val="17"/>
                <w:color w:val="0000FF"/>
                <w:w w:val="93"/>
              </w:rPr>
              <w:t>03/28/2023</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97,393</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0.7188</w:t>
            </w:r>
            <w:r>
              <w:rPr>
                <w:rFonts w:ascii="Arial" w:cs="Arial" w:eastAsia="Arial" w:hAnsi="Arial"/>
                <w:sz w:val="22"/>
                <w:szCs w:val="22"/>
                <w:color w:val="008000"/>
                <w:w w:val="88"/>
                <w:vertAlign w:val="superscript"/>
              </w:rPr>
              <w:t>(3)</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658,607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w w:val="92"/>
              </w:rPr>
              <w:t>Common Shares</w:t>
            </w:r>
          </w:p>
        </w:tc>
        <w:tc>
          <w:tcPr>
            <w:tcW w:w="720" w:type="dxa"/>
            <w:vAlign w:val="bottom"/>
            <w:tcBorders>
              <w:bottom w:val="single" w:sz="8" w:color="2C2C2C"/>
            </w:tcBorders>
          </w:tcPr>
          <w:p>
            <w:pPr>
              <w:spacing w:after="0"/>
              <w:rPr>
                <w:sz w:val="24"/>
                <w:szCs w:val="24"/>
                <w:color w:val="auto"/>
              </w:rPr>
            </w:pPr>
          </w:p>
        </w:tc>
        <w:tc>
          <w:tcPr>
            <w:tcW w:w="1900" w:type="dxa"/>
            <w:vAlign w:val="bottom"/>
            <w:tcBorders>
              <w:bottom w:val="single" w:sz="8" w:color="2C2C2C"/>
            </w:tcBorders>
            <w:gridSpan w:val="2"/>
          </w:tcPr>
          <w:p>
            <w:pPr>
              <w:jc w:val="center"/>
              <w:ind w:left="862"/>
              <w:spacing w:after="0"/>
              <w:rPr>
                <w:sz w:val="20"/>
                <w:szCs w:val="20"/>
                <w:color w:val="auto"/>
              </w:rPr>
            </w:pPr>
            <w:r>
              <w:rPr>
                <w:rFonts w:ascii="Arial" w:cs="Arial" w:eastAsia="Arial" w:hAnsi="Arial"/>
                <w:sz w:val="17"/>
                <w:szCs w:val="17"/>
                <w:color w:val="0000FF"/>
                <w:w w:val="93"/>
              </w:rPr>
              <w:t>03/29/2023</w:t>
            </w:r>
          </w:p>
        </w:tc>
        <w:tc>
          <w:tcPr>
            <w:tcW w:w="1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S</w:t>
            </w:r>
          </w:p>
        </w:tc>
        <w:tc>
          <w:tcPr>
            <w:tcW w:w="8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2"/>
              </w:rPr>
              <w:t>85,170</w:t>
            </w:r>
          </w:p>
        </w:tc>
        <w:tc>
          <w:tcPr>
            <w:tcW w:w="4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0.7207</w:t>
            </w:r>
            <w:r>
              <w:rPr>
                <w:rFonts w:ascii="Arial" w:cs="Arial" w:eastAsia="Arial" w:hAnsi="Arial"/>
                <w:sz w:val="22"/>
                <w:szCs w:val="22"/>
                <w:color w:val="008000"/>
                <w:w w:val="88"/>
                <w:vertAlign w:val="superscript"/>
              </w:rPr>
              <w:t>(4)</w:t>
            </w:r>
          </w:p>
        </w:tc>
        <w:tc>
          <w:tcPr>
            <w:tcW w:w="104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573,437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1260" w:type="dxa"/>
            <w:vAlign w:val="bottom"/>
            <w:gridSpan w:val="2"/>
          </w:tcPr>
          <w:p>
            <w:pPr>
              <w:ind w:left="60"/>
              <w:spacing w:after="0"/>
              <w:rPr>
                <w:sz w:val="20"/>
                <w:szCs w:val="20"/>
                <w:color w:val="auto"/>
              </w:rPr>
            </w:pPr>
            <w:r>
              <w:rPr>
                <w:rFonts w:ascii="Arial" w:cs="Arial" w:eastAsia="Arial" w:hAnsi="Arial"/>
                <w:sz w:val="17"/>
                <w:szCs w:val="17"/>
                <w:color w:val="0000FF"/>
                <w:w w:val="92"/>
              </w:rPr>
              <w:t>Common Shares</w:t>
            </w:r>
          </w:p>
        </w:tc>
        <w:tc>
          <w:tcPr>
            <w:tcW w:w="720" w:type="dxa"/>
            <w:vAlign w:val="bottom"/>
          </w:tcPr>
          <w:p>
            <w:pPr>
              <w:spacing w:after="0"/>
              <w:rPr>
                <w:sz w:val="24"/>
                <w:szCs w:val="24"/>
                <w:color w:val="auto"/>
              </w:rPr>
            </w:pPr>
          </w:p>
        </w:tc>
        <w:tc>
          <w:tcPr>
            <w:tcW w:w="1900" w:type="dxa"/>
            <w:vAlign w:val="bottom"/>
            <w:gridSpan w:val="2"/>
          </w:tcPr>
          <w:p>
            <w:pPr>
              <w:jc w:val="center"/>
              <w:ind w:left="862"/>
              <w:spacing w:after="0"/>
              <w:rPr>
                <w:sz w:val="20"/>
                <w:szCs w:val="20"/>
                <w:color w:val="auto"/>
              </w:rPr>
            </w:pPr>
            <w:r>
              <w:rPr>
                <w:rFonts w:ascii="Arial" w:cs="Arial" w:eastAsia="Arial" w:hAnsi="Arial"/>
                <w:sz w:val="17"/>
                <w:szCs w:val="17"/>
                <w:color w:val="0000FF"/>
                <w:w w:val="93"/>
              </w:rPr>
              <w:t>03/30/2023</w:t>
            </w:r>
          </w:p>
        </w:tc>
        <w:tc>
          <w:tcPr>
            <w:tcW w:w="1200" w:type="dxa"/>
            <w:vAlign w:val="bottom"/>
          </w:tcPr>
          <w:p>
            <w:pPr>
              <w:spacing w:after="0"/>
              <w:rPr>
                <w:sz w:val="24"/>
                <w:szCs w:val="24"/>
                <w:color w:val="auto"/>
              </w:rPr>
            </w:pPr>
          </w:p>
        </w:tc>
        <w:tc>
          <w:tcPr>
            <w:tcW w:w="800" w:type="dxa"/>
            <w:vAlign w:val="bottom"/>
          </w:tcPr>
          <w:p>
            <w:pPr>
              <w:ind w:left="180"/>
              <w:spacing w:after="0"/>
              <w:rPr>
                <w:sz w:val="20"/>
                <w:szCs w:val="20"/>
                <w:color w:val="auto"/>
              </w:rPr>
            </w:pPr>
            <w:r>
              <w:rPr>
                <w:rFonts w:ascii="Arial" w:cs="Arial" w:eastAsia="Arial" w:hAnsi="Arial"/>
                <w:sz w:val="13"/>
                <w:szCs w:val="13"/>
                <w:color w:val="0000FF"/>
              </w:rPr>
              <w:t>S</w:t>
            </w:r>
          </w:p>
        </w:tc>
        <w:tc>
          <w:tcPr>
            <w:tcW w:w="840" w:type="dxa"/>
            <w:vAlign w:val="bottom"/>
          </w:tcPr>
          <w:p>
            <w:pPr>
              <w:jc w:val="center"/>
              <w:spacing w:after="0"/>
              <w:rPr>
                <w:sz w:val="20"/>
                <w:szCs w:val="20"/>
                <w:color w:val="auto"/>
              </w:rPr>
            </w:pPr>
            <w:r>
              <w:rPr>
                <w:rFonts w:ascii="Arial" w:cs="Arial" w:eastAsia="Arial" w:hAnsi="Arial"/>
                <w:sz w:val="17"/>
                <w:szCs w:val="17"/>
                <w:color w:val="0000FF"/>
                <w:w w:val="92"/>
              </w:rPr>
              <w:t>60,660</w:t>
            </w:r>
          </w:p>
        </w:tc>
        <w:tc>
          <w:tcPr>
            <w:tcW w:w="46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60" w:type="dxa"/>
            <w:vAlign w:val="bottom"/>
            <w:gridSpan w:val="2"/>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0.7836</w:t>
            </w:r>
            <w:r>
              <w:rPr>
                <w:rFonts w:ascii="Arial" w:cs="Arial" w:eastAsia="Arial" w:hAnsi="Arial"/>
                <w:sz w:val="22"/>
                <w:szCs w:val="22"/>
                <w:color w:val="008000"/>
                <w:w w:val="88"/>
                <w:vertAlign w:val="superscript"/>
              </w:rPr>
              <w:t>(5)</w:t>
            </w:r>
          </w:p>
        </w:tc>
        <w:tc>
          <w:tcPr>
            <w:tcW w:w="1040" w:type="dxa"/>
            <w:vAlign w:val="bottom"/>
          </w:tcPr>
          <w:p>
            <w:pPr>
              <w:ind w:left="280"/>
              <w:spacing w:after="0"/>
              <w:rPr>
                <w:sz w:val="20"/>
                <w:szCs w:val="20"/>
                <w:color w:val="auto"/>
              </w:rPr>
            </w:pPr>
            <w:r>
              <w:rPr>
                <w:rFonts w:ascii="Arial" w:cs="Arial" w:eastAsia="Arial" w:hAnsi="Arial"/>
                <w:sz w:val="17"/>
                <w:szCs w:val="17"/>
                <w:color w:val="0000FF"/>
              </w:rPr>
              <w:t>512,777</w:t>
            </w:r>
          </w:p>
        </w:tc>
        <w:tc>
          <w:tcPr>
            <w:tcW w:w="980" w:type="dxa"/>
            <w:vAlign w:val="bottom"/>
          </w:tcPr>
          <w:p>
            <w:pPr>
              <w:ind w:left="460"/>
              <w:spacing w:after="0"/>
              <w:rPr>
                <w:sz w:val="20"/>
                <w:szCs w:val="20"/>
                <w:color w:val="auto"/>
              </w:rPr>
            </w:pPr>
            <w:r>
              <w:rPr>
                <w:rFonts w:ascii="Arial" w:cs="Arial" w:eastAsia="Arial" w:hAnsi="Arial"/>
                <w:sz w:val="17"/>
                <w:szCs w:val="17"/>
                <w:color w:val="0000FF"/>
              </w:rPr>
              <w:t>D</w:t>
            </w: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51"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JOZEM</w:t>
      </w:r>
    </w:p>
    <w:p>
      <w:pPr>
        <w:spacing w:after="0" w:line="25"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Pty Ltd.,</w:t>
      </w:r>
    </w:p>
    <w:p>
      <w:pPr>
        <w:spacing w:after="0" w:line="18"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Trustee of</w:t>
      </w:r>
    </w:p>
    <w:p>
      <w:pPr>
        <w:ind w:left="80"/>
        <w:spacing w:after="0" w:line="215" w:lineRule="auto"/>
        <w:tabs>
          <w:tab w:leader="none" w:pos="8320" w:val="left"/>
          <w:tab w:leader="none" w:pos="9580" w:val="left"/>
          <w:tab w:leader="none" w:pos="10120" w:val="left"/>
        </w:tabs>
        <w:rPr>
          <w:sz w:val="20"/>
          <w:szCs w:val="20"/>
          <w:color w:val="auto"/>
        </w:rPr>
      </w:pPr>
      <w:r>
        <w:rPr>
          <w:rFonts w:ascii="Arial" w:cs="Arial" w:eastAsia="Arial" w:hAnsi="Arial"/>
          <w:sz w:val="16"/>
          <w:szCs w:val="16"/>
          <w:color w:val="0000FF"/>
        </w:rPr>
        <w:t>Common Shares</w:t>
      </w:r>
      <w:r>
        <w:rPr>
          <w:sz w:val="20"/>
          <w:szCs w:val="20"/>
          <w:color w:val="auto"/>
        </w:rPr>
        <w:tab/>
      </w:r>
      <w:r>
        <w:rPr>
          <w:rFonts w:ascii="Arial" w:cs="Arial" w:eastAsia="Arial" w:hAnsi="Arial"/>
          <w:sz w:val="16"/>
          <w:szCs w:val="16"/>
          <w:color w:val="0000FF"/>
        </w:rPr>
        <w:t>575,110</w:t>
      </w:r>
      <w:r>
        <w:rPr>
          <w:sz w:val="20"/>
          <w:szCs w:val="20"/>
          <w:color w:val="auto"/>
        </w:rPr>
        <w:tab/>
      </w:r>
      <w:r>
        <w:rPr>
          <w:rFonts w:ascii="Arial" w:cs="Arial" w:eastAsia="Arial" w:hAnsi="Arial"/>
          <w:sz w:val="16"/>
          <w:szCs w:val="16"/>
          <w:color w:val="0000FF"/>
        </w:rPr>
        <w:t>I</w:t>
      </w:r>
      <w:r>
        <w:rPr>
          <w:sz w:val="20"/>
          <w:szCs w:val="20"/>
          <w:color w:val="auto"/>
        </w:rPr>
        <w:tab/>
      </w:r>
      <w:r>
        <w:rPr>
          <w:rFonts w:ascii="Arial" w:cs="Arial" w:eastAsia="Arial" w:hAnsi="Arial"/>
          <w:sz w:val="23"/>
          <w:szCs w:val="23"/>
          <w:color w:val="0000FF"/>
          <w:vertAlign w:val="superscript"/>
        </w:rPr>
        <w:t>the</w:t>
      </w:r>
    </w:p>
    <w:p>
      <w:pPr>
        <w:spacing w:after="0" w:line="1"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O'Sullivan</w:t>
      </w:r>
    </w:p>
    <w:p>
      <w:pPr>
        <w:spacing w:after="0" w:line="11"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Family</w:t>
      </w:r>
    </w:p>
    <w:p>
      <w:pPr>
        <w:spacing w:after="0" w:line="18" w:lineRule="exact"/>
        <w:rPr>
          <w:sz w:val="20"/>
          <w:szCs w:val="20"/>
          <w:color w:val="auto"/>
        </w:rPr>
      </w:pPr>
    </w:p>
    <w:p>
      <w:pPr>
        <w:ind w:left="10140"/>
        <w:spacing w:after="0"/>
        <w:rPr>
          <w:sz w:val="20"/>
          <w:szCs w:val="20"/>
          <w:color w:val="auto"/>
        </w:rPr>
      </w:pPr>
      <w:r>
        <w:rPr>
          <w:rFonts w:ascii="Arial" w:cs="Arial" w:eastAsia="Arial" w:hAnsi="Arial"/>
          <w:sz w:val="17"/>
          <w:szCs w:val="17"/>
          <w:color w:val="0000FF"/>
        </w:rPr>
        <w:t>Trust No.</w:t>
      </w:r>
    </w:p>
    <w:p>
      <w:pPr>
        <w:ind w:left="10140"/>
        <w:spacing w:after="0" w:line="185" w:lineRule="auto"/>
        <w:rPr>
          <w:sz w:val="20"/>
          <w:szCs w:val="20"/>
          <w:color w:val="auto"/>
        </w:rPr>
      </w:pPr>
      <w:r>
        <w:rPr>
          <w:rFonts w:ascii="Arial" w:cs="Arial" w:eastAsia="Arial" w:hAnsi="Arial"/>
          <w:sz w:val="26"/>
          <w:szCs w:val="26"/>
          <w:color w:val="0000FF"/>
          <w:vertAlign w:val="subscript"/>
        </w:rPr>
        <w:t>1</w:t>
      </w:r>
      <w:r>
        <w:rPr>
          <w:rFonts w:ascii="Arial" w:cs="Arial" w:eastAsia="Arial" w:hAnsi="Arial"/>
          <w:sz w:val="10"/>
          <w:szCs w:val="10"/>
          <w:color w:val="008000"/>
        </w:rPr>
        <w:t>(6)</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8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Consists of restricted stock units ("RSUs"). Each RSU represents the right to receive one common share upon vesting. The RSUs were granted and vested upon issuance as part of the Issuer's short-term incentive plan.</w:t>
      </w:r>
    </w:p>
    <w:p>
      <w:pPr>
        <w:spacing w:after="0" w:line="15" w:lineRule="exact"/>
        <w:rPr>
          <w:rFonts w:ascii="Arial" w:cs="Arial" w:eastAsia="Arial" w:hAnsi="Arial"/>
          <w:sz w:val="13"/>
          <w:szCs w:val="13"/>
          <w:color w:val="008000"/>
        </w:rPr>
      </w:pPr>
    </w:p>
    <w:p>
      <w:pPr>
        <w:ind w:left="40" w:right="1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RSUs were granted as part of the Issuer's long-term incentive plan and vest over a three year period as follows, subject to continued service through each vesting date: 1/3 on the first anniversary of March 20, 2023 (the "Grant Date"), 1/3 on the second anniversary of the Grant Date and 1/3 on the third anniversary of the Grant Date.</w:t>
      </w:r>
    </w:p>
    <w:p>
      <w:pPr>
        <w:spacing w:after="0" w:line="15" w:lineRule="exact"/>
        <w:rPr>
          <w:rFonts w:ascii="Arial" w:cs="Arial" w:eastAsia="Arial" w:hAnsi="Arial"/>
          <w:sz w:val="13"/>
          <w:szCs w:val="13"/>
          <w:color w:val="008000"/>
        </w:rPr>
      </w:pPr>
    </w:p>
    <w:p>
      <w:pPr>
        <w:ind w:left="40" w:right="5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$0.70 to $0.7801 per common share. The Reporting Person undertakes to provide, upon request by the SEC staff, the Issuer or a security holder of the Issuer, full information regarding the number of common shares sold at each price.</w:t>
      </w:r>
    </w:p>
    <w:p>
      <w:pPr>
        <w:ind w:left="40" w:right="4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$0.7050 to $0.7461 per common share. The Reporting Person undertakes to provide, upon request by the SEC staff, the Issuer or a security holder of the Issuer, full information regarding the number of common shares sold at each price.</w:t>
      </w:r>
    </w:p>
    <w:p>
      <w:pPr>
        <w:ind w:left="40" w:right="14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reflects the average selling price of the common shares sold. These common shares were sold in multiple transactions at prices ranging from $0.75 to $0.80 per common share. The Reporting Person undertakes to provide, upon request by the SEC staff, the Issuer or a security holder of the Issuer, full information regarding the number of common shares sold at each price.</w:t>
      </w: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is the sole director of JOZEM Pty Ltd., which is the trustee of The O'Sullivan Family Trust No. 1.</w:t>
      </w:r>
    </w:p>
    <w:p>
      <w:pPr>
        <w:ind w:left="6580"/>
        <w:spacing w:after="0" w:line="186" w:lineRule="auto"/>
        <w:rPr>
          <w:sz w:val="20"/>
          <w:szCs w:val="20"/>
          <w:color w:val="auto"/>
        </w:rPr>
      </w:pPr>
      <w:r>
        <w:rPr>
          <w:rFonts w:ascii="Arial" w:cs="Arial" w:eastAsia="Arial" w:hAnsi="Arial"/>
          <w:sz w:val="17"/>
          <w:szCs w:val="17"/>
          <w:color w:val="0000FF"/>
        </w:rPr>
        <w:t xml:space="preserve">/s/ Jeffrey Cohan, Attorney-in- </w:t>
      </w:r>
      <w:r>
        <w:rPr>
          <w:rFonts w:ascii="Arial" w:cs="Arial" w:eastAsia="Arial" w:hAnsi="Arial"/>
          <w:sz w:val="34"/>
          <w:szCs w:val="34"/>
          <w:color w:val="0000FF"/>
          <w:vertAlign w:val="subscript"/>
        </w:rPr>
        <w:t>04/05/2023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44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25" w:right="439" w:bottom="0" w:gutter="0" w:footer="0" w:header="0"/>
          <w:type w:val="continuous"/>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874198" TargetMode="External"/><Relationship Id="rId13" Type="http://schemas.openxmlformats.org/officeDocument/2006/relationships/hyperlink" Target="http://www.sec.gov/cgi-bin/browse-edgar?action=getcompany&amp;CIK=00017985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2023-04-05T15:13:37Z</dcterms:created>
  <dcterms:modified xsi:type="dcterms:W3CDTF">2023-04-05T15:13:37Z</dcterms:modified>
</cp:coreProperties>
</file>