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Barron Gerard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TMC the metals Co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TMC THE METALS COMPANY INC., 595</w:t>
            </w:r>
          </w:p>
        </w:tc>
        <w:tc>
          <w:tcPr>
            <w:tcW w:w="2220" w:type="dxa"/>
            <w:vAlign w:val="bottom"/>
            <w:gridSpan w:val="3"/>
          </w:tcPr>
          <w:p>
            <w:pPr>
              <w:ind w:left="160"/>
              <w:spacing w:after="0"/>
              <w:rPr>
                <w:sz w:val="20"/>
                <w:szCs w:val="20"/>
                <w:color w:val="auto"/>
              </w:rPr>
            </w:pPr>
            <w:r>
              <w:rPr>
                <w:rFonts w:ascii="Arial" w:cs="Arial" w:eastAsia="Arial" w:hAnsi="Arial"/>
                <w:sz w:val="17"/>
                <w:szCs w:val="17"/>
                <w:color w:val="0000FF"/>
              </w:rPr>
              <w:t>03/20/2023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HOWE STREET, 10TH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1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265"/>
          </w:cols>
          <w:pgMar w:left="460" w:top="225" w:right="43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right"/>
              <w:ind w:right="4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03/20/2023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rPr>
              <w:t>382,907</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15,880,396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03/20/2023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1,439,220</w:t>
            </w:r>
            <w:r>
              <w:rPr>
                <w:rFonts w:ascii="Arial" w:cs="Arial" w:eastAsia="Arial" w:hAnsi="Arial"/>
                <w:sz w:val="22"/>
                <w:szCs w:val="22"/>
                <w:color w:val="008000"/>
                <w:w w:val="91"/>
                <w:vertAlign w:val="superscript"/>
              </w:rPr>
              <w:t>(2)</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ind w:right="14"/>
              <w:spacing w:after="0"/>
              <w:rPr>
                <w:sz w:val="20"/>
                <w:szCs w:val="20"/>
                <w:color w:val="auto"/>
              </w:rPr>
            </w:pPr>
            <w:r>
              <w:rPr>
                <w:rFonts w:ascii="Arial" w:cs="Arial" w:eastAsia="Arial" w:hAnsi="Arial"/>
                <w:sz w:val="17"/>
                <w:szCs w:val="17"/>
                <w:color w:val="0000FF"/>
                <w:w w:val="98"/>
              </w:rPr>
              <w:t>17,319,616</w:t>
            </w:r>
            <w:r>
              <w:rPr>
                <w:rFonts w:ascii="Arial" w:cs="Arial" w:eastAsia="Arial" w:hAnsi="Arial"/>
                <w:sz w:val="22"/>
                <w:szCs w:val="22"/>
                <w:color w:val="008000"/>
                <w:w w:val="98"/>
                <w:vertAlign w:val="superscript"/>
              </w:rPr>
              <w:t>(3)</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40" w:right="1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granted as part of the Issuer's long-term incentive plan and vest over a three year period as follows, subject to continued service through each vesting date: 1/3 on the first anniversary of March 20, 2023 (the "Grant Date"), 1/3 on the second anniversary of the Grant Date and 1/3 on the third anniversary of the Grant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35,000 common shares purchased by the Reporting Person on March 28, 2023.</w:t>
      </w:r>
    </w:p>
    <w:p>
      <w:pPr>
        <w:ind w:left="6580"/>
        <w:spacing w:after="0" w:line="186"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4"/>
          <w:szCs w:val="34"/>
          <w:color w:val="0000FF"/>
          <w:vertAlign w:val="subscript"/>
        </w:rPr>
        <w:t>04/05/2023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2023-04-05T15:17:13Z</dcterms:created>
  <dcterms:modified xsi:type="dcterms:W3CDTF">2023-04-05T15:17:13Z</dcterms:modified>
</cp:coreProperties>
</file>