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322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60" w:type="dxa"/>
            <w:vAlign w:val="bottom"/>
            <w:gridSpan w:val="2"/>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ILVES Erika</w:t>
              </w:r>
            </w:hyperlink>
          </w:p>
        </w:tc>
        <w:tc>
          <w:tcPr>
            <w:tcW w:w="8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TMC the metals Co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60" w:type="dxa"/>
            <w:vAlign w:val="bottom"/>
            <w:tcBorders>
              <w:top w:val="single" w:sz="8" w:color="0000EE"/>
            </w:tcBorders>
          </w:tcPr>
          <w:p>
            <w:pPr>
              <w:spacing w:after="0"/>
              <w:rPr>
                <w:sz w:val="5"/>
                <w:szCs w:val="5"/>
                <w:color w:val="auto"/>
              </w:rPr>
            </w:pPr>
          </w:p>
        </w:tc>
        <w:tc>
          <w:tcPr>
            <w:tcW w:w="1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100" w:type="dxa"/>
            <w:vAlign w:val="bottom"/>
            <w:tcBorders>
              <w:top w:val="single" w:sz="8" w:color="0000EE"/>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84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60" w:type="dxa"/>
            <w:vAlign w:val="bottom"/>
            <w:tcBorders>
              <w:bottom w:val="single" w:sz="8" w:color="2C2C2C"/>
            </w:tcBorders>
          </w:tcPr>
          <w:p>
            <w:pPr>
              <w:spacing w:after="0"/>
              <w:rPr>
                <w:sz w:val="2"/>
                <w:szCs w:val="2"/>
                <w:color w:val="auto"/>
              </w:rPr>
            </w:pPr>
          </w:p>
        </w:tc>
        <w:tc>
          <w:tcPr>
            <w:tcW w:w="16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Arial" w:cs="Arial" w:eastAsia="Arial" w:hAnsi="Arial"/>
                <w:sz w:val="13"/>
                <w:szCs w:val="13"/>
                <w:color w:val="auto"/>
              </w:rPr>
              <w:t>(Last)</w:t>
            </w:r>
          </w:p>
        </w:tc>
        <w:tc>
          <w:tcPr>
            <w:tcW w:w="840" w:type="dxa"/>
            <w:vAlign w:val="bottom"/>
          </w:tcPr>
          <w:p>
            <w:pPr>
              <w:ind w:left="6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TMC THE METALS COMPANY INC., 595</w:t>
            </w:r>
          </w:p>
        </w:tc>
        <w:tc>
          <w:tcPr>
            <w:tcW w:w="2220" w:type="dxa"/>
            <w:vAlign w:val="bottom"/>
            <w:gridSpan w:val="3"/>
          </w:tcPr>
          <w:p>
            <w:pPr>
              <w:ind w:left="160"/>
              <w:spacing w:after="0"/>
              <w:rPr>
                <w:sz w:val="20"/>
                <w:szCs w:val="20"/>
                <w:color w:val="auto"/>
              </w:rPr>
            </w:pPr>
            <w:r>
              <w:rPr>
                <w:rFonts w:ascii="Arial" w:cs="Arial" w:eastAsia="Arial" w:hAnsi="Arial"/>
                <w:sz w:val="17"/>
                <w:szCs w:val="17"/>
                <w:color w:val="0000FF"/>
              </w:rPr>
              <w:t>03/20/2023</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HOWE STREET, 10TH FLOOR</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805"/>
        <w:spacing w:after="0"/>
        <w:rPr>
          <w:sz w:val="20"/>
          <w:szCs w:val="20"/>
          <w:color w:val="auto"/>
        </w:rPr>
      </w:pPr>
      <w:r>
        <w:rPr>
          <w:rFonts w:ascii="Arial" w:cs="Arial" w:eastAsia="Arial" w:hAnsi="Arial"/>
          <w:sz w:val="17"/>
          <w:szCs w:val="17"/>
          <w:color w:val="0000FF"/>
        </w:rPr>
        <w:t>Chief Strategy Officer</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80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20" w:type="dxa"/>
            <w:vAlign w:val="bottom"/>
            <w:gridSpan w:val="7"/>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2"/>
            <w:vMerge w:val="restart"/>
          </w:tcPr>
          <w:p>
            <w:pPr>
              <w:spacing w:after="0"/>
              <w:rPr>
                <w:sz w:val="20"/>
                <w:szCs w:val="20"/>
                <w:color w:val="auto"/>
              </w:rPr>
            </w:pPr>
            <w:r>
              <w:rPr>
                <w:rFonts w:ascii="Arial" w:cs="Arial" w:eastAsia="Arial" w:hAnsi="Arial"/>
                <w:sz w:val="17"/>
                <w:szCs w:val="17"/>
                <w:color w:val="0000FF"/>
              </w:rPr>
              <w:t>VANCOUVER  A1</w:t>
            </w:r>
          </w:p>
        </w:tc>
        <w:tc>
          <w:tcPr>
            <w:tcW w:w="8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V6C 2T5</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3"/>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6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3"/>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Shares</w:t>
            </w: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03/20/2023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85"/>
              </w:rPr>
              <w:t>267,696</w:t>
            </w:r>
            <w:r>
              <w:rPr>
                <w:rFonts w:ascii="Arial" w:cs="Arial" w:eastAsia="Arial" w:hAnsi="Arial"/>
                <w:sz w:val="22"/>
                <w:szCs w:val="22"/>
                <w:color w:val="008000"/>
                <w:w w:val="85"/>
                <w:vertAlign w:val="superscript"/>
              </w:rPr>
              <w:t>(1)</w:t>
            </w:r>
          </w:p>
        </w:tc>
        <w:tc>
          <w:tcPr>
            <w:tcW w:w="6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55"/>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0000FF"/>
                <w:w w:val="91"/>
              </w:rPr>
              <w:t>803,469</w:t>
            </w:r>
          </w:p>
        </w:tc>
        <w:tc>
          <w:tcPr>
            <w:tcW w:w="920" w:type="dxa"/>
            <w:vAlign w:val="bottom"/>
            <w:tcBorders>
              <w:bottom w:val="single" w:sz="8" w:color="2C2C2C"/>
            </w:tcBorders>
          </w:tcPr>
          <w:p>
            <w:pPr>
              <w:jc w:val="center"/>
              <w:ind w:right="53"/>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Shares</w:t>
            </w: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03/20/2023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85"/>
              </w:rPr>
              <w:t>562,987</w:t>
            </w:r>
            <w:r>
              <w:rPr>
                <w:rFonts w:ascii="Arial" w:cs="Arial" w:eastAsia="Arial" w:hAnsi="Arial"/>
                <w:sz w:val="22"/>
                <w:szCs w:val="22"/>
                <w:color w:val="008000"/>
                <w:w w:val="85"/>
                <w:vertAlign w:val="superscript"/>
              </w:rPr>
              <w:t>(2)</w:t>
            </w:r>
          </w:p>
        </w:tc>
        <w:tc>
          <w:tcPr>
            <w:tcW w:w="6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55"/>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1,366,456</w:t>
            </w:r>
          </w:p>
        </w:tc>
        <w:tc>
          <w:tcPr>
            <w:tcW w:w="920" w:type="dxa"/>
            <w:vAlign w:val="bottom"/>
            <w:tcBorders>
              <w:bottom w:val="single" w:sz="8" w:color="2C2C2C"/>
            </w:tcBorders>
          </w:tcPr>
          <w:p>
            <w:pPr>
              <w:jc w:val="center"/>
              <w:ind w:right="53"/>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Shares</w:t>
            </w:r>
          </w:p>
        </w:tc>
        <w:tc>
          <w:tcPr>
            <w:tcW w:w="8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gridSpan w:val="2"/>
            <w:vMerge w:val="restart"/>
          </w:tcPr>
          <w:p>
            <w:pPr>
              <w:jc w:val="center"/>
              <w:ind w:right="20"/>
              <w:spacing w:after="0"/>
              <w:rPr>
                <w:sz w:val="20"/>
                <w:szCs w:val="20"/>
                <w:color w:val="auto"/>
              </w:rPr>
            </w:pPr>
            <w:r>
              <w:rPr>
                <w:rFonts w:ascii="Arial" w:cs="Arial" w:eastAsia="Arial" w:hAnsi="Arial"/>
                <w:sz w:val="17"/>
                <w:szCs w:val="17"/>
                <w:color w:val="0000FF"/>
                <w:w w:val="92"/>
              </w:rPr>
              <w:t>30,682</w:t>
            </w:r>
          </w:p>
        </w:tc>
        <w:tc>
          <w:tcPr>
            <w:tcW w:w="920" w:type="dxa"/>
            <w:vAlign w:val="bottom"/>
            <w:vMerge w:val="restart"/>
          </w:tcPr>
          <w:p>
            <w:pPr>
              <w:jc w:val="center"/>
              <w:ind w:right="53"/>
              <w:spacing w:after="0"/>
              <w:rPr>
                <w:sz w:val="20"/>
                <w:szCs w:val="20"/>
                <w:color w:val="auto"/>
              </w:rPr>
            </w:pPr>
            <w:r>
              <w:rPr>
                <w:rFonts w:ascii="Arial" w:cs="Arial" w:eastAsia="Arial" w:hAnsi="Arial"/>
                <w:sz w:val="17"/>
                <w:szCs w:val="17"/>
                <w:color w:val="0000FF"/>
                <w:w w:val="83"/>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children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148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restricted stock units ("RSUs"). Each RSU represents the right to receive one common share upon vesting. The RSUs were granted and vested upon issuance as part of the Issuer's short-term incentive plan.</w:t>
      </w:r>
    </w:p>
    <w:p>
      <w:pPr>
        <w:spacing w:after="0" w:line="15" w:lineRule="exact"/>
        <w:rPr>
          <w:rFonts w:ascii="Arial" w:cs="Arial" w:eastAsia="Arial" w:hAnsi="Arial"/>
          <w:sz w:val="13"/>
          <w:szCs w:val="13"/>
          <w:color w:val="008000"/>
        </w:rPr>
      </w:pPr>
    </w:p>
    <w:p>
      <w:pPr>
        <w:ind w:left="40" w:right="180" w:firstLine="7"/>
        <w:spacing w:after="0" w:line="257"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RSUs were granted as part of the Issuer's long-term incentive plan and vest over a three year period as follows, subject to continued service through each vesting date: 1/3 on the first anniversary of March 20, 2023 (the "Grant Date"), 1/3 on the second anniversary of the Grant Date and 1/3 on the third anniversary of the Grant Date.</w:t>
      </w:r>
    </w:p>
    <w:p>
      <w:pPr>
        <w:ind w:left="6580"/>
        <w:spacing w:after="0" w:line="182" w:lineRule="auto"/>
        <w:rPr>
          <w:sz w:val="20"/>
          <w:szCs w:val="20"/>
          <w:color w:val="auto"/>
        </w:rPr>
      </w:pPr>
      <w:r>
        <w:rPr>
          <w:rFonts w:ascii="Arial" w:cs="Arial" w:eastAsia="Arial" w:hAnsi="Arial"/>
          <w:sz w:val="17"/>
          <w:szCs w:val="17"/>
          <w:color w:val="0000FF"/>
        </w:rPr>
        <w:t xml:space="preserve">/s/ Jeffrey Cohan, Attorney-in- </w:t>
      </w:r>
      <w:r>
        <w:rPr>
          <w:rFonts w:ascii="Arial" w:cs="Arial" w:eastAsia="Arial" w:hAnsi="Arial"/>
          <w:sz w:val="32"/>
          <w:szCs w:val="32"/>
          <w:color w:val="0000FF"/>
          <w:vertAlign w:val="subscript"/>
        </w:rPr>
        <w:t>04/05/2023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44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8778" TargetMode="External"/><Relationship Id="rId13"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2023-04-05T15:13:42Z</dcterms:created>
  <dcterms:modified xsi:type="dcterms:W3CDTF">2023-04-05T15:13:42Z</dcterms:modified>
</cp:coreProperties>
</file>