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TMC THE METALS COMPANY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without par value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87261Y 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Gerard Barron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TMC the metals company Inc.</w:t>
      </w:r>
    </w:p>
    <w:p>
      <w:pPr>
        <w:jc w:val="center"/>
        <w:ind w:right="-19"/>
        <w:spacing w:after="0" w:line="192" w:lineRule="auto"/>
        <w:rPr>
          <w:sz w:val="20"/>
          <w:szCs w:val="20"/>
          <w:color w:val="auto"/>
        </w:rPr>
      </w:pPr>
      <w:r>
        <w:rPr>
          <w:rFonts w:ascii="Arial" w:cs="Arial" w:eastAsia="Arial" w:hAnsi="Arial"/>
          <w:sz w:val="18"/>
          <w:szCs w:val="18"/>
          <w:b w:val="1"/>
          <w:bCs w:val="1"/>
          <w:color w:val="auto"/>
        </w:rPr>
        <w:t>595 Howe Street, 10</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Vancouver, British Columbia, Canada V6C2T5</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(574) 252-9333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L. Fantozzi,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Daniel T. Kajunski,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Financial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Boston, Massachusetts 02111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20, 2023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jc w:val="both"/>
        <w:ind w:left="100" w:hanging="93"/>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SCHEDULE 13D</w:t>
      </w:r>
    </w:p>
    <w:p>
      <w:pPr>
        <w:spacing w:after="0" w:line="235" w:lineRule="exact"/>
        <w:rPr>
          <w:sz w:val="20"/>
          <w:szCs w:val="20"/>
          <w:color w:val="auto"/>
        </w:rPr>
      </w:pPr>
    </w:p>
    <w:p>
      <w:pPr>
        <w:ind w:left="20"/>
        <w:spacing w:after="0"/>
        <w:tabs>
          <w:tab w:leader="none" w:pos="732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2 of 5</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10 TO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603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03115"/>
                    </a:xfrm>
                    <a:prstGeom prst="rect">
                      <a:avLst/>
                    </a:prstGeom>
                    <a:noFill/>
                  </pic:spPr>
                </pic:pic>
              </a:graphicData>
            </a:graphic>
          </wp:anchor>
        </w:drawing>
      </w:r>
    </w:p>
    <w:p>
      <w:pPr>
        <w:spacing w:after="0" w:line="273" w:lineRule="exact"/>
        <w:rPr>
          <w:sz w:val="20"/>
          <w:szCs w:val="20"/>
          <w:color w:val="auto"/>
        </w:rPr>
      </w:pPr>
    </w:p>
    <w:p>
      <w:pPr>
        <w:ind w:left="720" w:right="7840" w:hanging="547"/>
        <w:spacing w:after="0" w:line="277"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 Gerard Barron</w:t>
      </w:r>
    </w:p>
    <w:p>
      <w:pPr>
        <w:spacing w:after="0" w:line="35" w:lineRule="exact"/>
        <w:rPr>
          <w:sz w:val="20"/>
          <w:szCs w:val="20"/>
          <w:color w:val="auto"/>
        </w:rPr>
      </w:pPr>
    </w:p>
    <w:p>
      <w:pPr>
        <w:ind w:left="720" w:hanging="547"/>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72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76" w:lineRule="exact"/>
        <w:rPr>
          <w:sz w:val="20"/>
          <w:szCs w:val="20"/>
          <w:color w:val="auto"/>
        </w:rPr>
      </w:pPr>
    </w:p>
    <w:p>
      <w:pPr>
        <w:ind w:left="720" w:hanging="547"/>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90" w:lineRule="exact"/>
        <w:rPr>
          <w:sz w:val="20"/>
          <w:szCs w:val="20"/>
          <w:color w:val="auto"/>
        </w:rPr>
      </w:pPr>
    </w:p>
    <w:p>
      <w:pPr>
        <w:ind w:left="720" w:right="8900" w:hanging="547"/>
        <w:spacing w:after="0" w:line="252"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PF</w:t>
      </w:r>
      <w:r>
        <w:rPr>
          <w:rFonts w:ascii="Arial" w:cs="Arial" w:eastAsia="Arial" w:hAnsi="Arial"/>
          <w:sz w:val="29"/>
          <w:szCs w:val="29"/>
          <w:color w:val="auto"/>
          <w:vertAlign w:val="superscript"/>
        </w:rPr>
        <w:t>1</w:t>
      </w:r>
    </w:p>
    <w:p>
      <w:pPr>
        <w:spacing w:after="0" w:line="2" w:lineRule="exact"/>
        <w:rPr>
          <w:sz w:val="20"/>
          <w:szCs w:val="20"/>
          <w:color w:val="auto"/>
        </w:rPr>
      </w:pPr>
    </w:p>
    <w:p>
      <w:pPr>
        <w:ind w:left="720" w:hanging="54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 w:lineRule="exact"/>
        <w:rPr>
          <w:rFonts w:ascii="Arial" w:cs="Arial" w:eastAsia="Arial" w:hAnsi="Arial"/>
          <w:sz w:val="18"/>
          <w:szCs w:val="18"/>
          <w:color w:val="auto"/>
        </w:rPr>
      </w:pPr>
    </w:p>
    <w:p>
      <w:pPr>
        <w:ind w:left="7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8" w:lineRule="exact"/>
        <w:rPr>
          <w:sz w:val="20"/>
          <w:szCs w:val="20"/>
          <w:color w:val="auto"/>
        </w:rPr>
      </w:pPr>
    </w:p>
    <w:p>
      <w:pPr>
        <w:ind w:left="720" w:right="6860" w:hanging="547"/>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Australia</w:t>
      </w:r>
    </w:p>
    <w:tbl>
      <w:tblPr>
        <w:tblLayout w:type="fixed"/>
        <w:tblInd w:w="0" w:type="dxa"/>
        <w:tblCellMar>
          <w:top w:w="0" w:type="dxa"/>
          <w:left w:w="0" w:type="dxa"/>
          <w:bottom w:w="0" w:type="dxa"/>
          <w:right w:w="0" w:type="dxa"/>
        </w:tblCellMar>
      </w:tblPr>
      <w:tr>
        <w:trPr>
          <w:trHeight w:val="235"/>
        </w:trPr>
        <w:tc>
          <w:tcPr>
            <w:tcW w:w="2840" w:type="dxa"/>
            <w:vAlign w:val="bottom"/>
            <w:tcBorders>
              <w:top w:val="single" w:sz="8" w:color="auto"/>
              <w:right w:val="single" w:sz="8" w:color="auto"/>
            </w:tcBorders>
          </w:tcPr>
          <w:p>
            <w:pPr>
              <w:spacing w:after="0"/>
              <w:rPr>
                <w:sz w:val="20"/>
                <w:szCs w:val="20"/>
                <w:color w:val="auto"/>
              </w:rPr>
            </w:pPr>
          </w:p>
        </w:tc>
        <w:tc>
          <w:tcPr>
            <w:tcW w:w="5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w:t>
            </w:r>
          </w:p>
        </w:tc>
        <w:tc>
          <w:tcPr>
            <w:tcW w:w="78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6"/>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right w:val="single" w:sz="8" w:color="auto"/>
            </w:tcBorders>
          </w:tcPr>
          <w:p>
            <w:pPr>
              <w:spacing w:after="0"/>
              <w:rPr>
                <w:sz w:val="23"/>
                <w:szCs w:val="23"/>
                <w:color w:val="auto"/>
              </w:rPr>
            </w:pPr>
          </w:p>
        </w:tc>
        <w:tc>
          <w:tcPr>
            <w:tcW w:w="7840" w:type="dxa"/>
            <w:vAlign w:val="bottom"/>
          </w:tcPr>
          <w:p>
            <w:pPr>
              <w:ind w:left="140"/>
              <w:spacing w:after="0" w:line="266" w:lineRule="exact"/>
              <w:rPr>
                <w:sz w:val="20"/>
                <w:szCs w:val="20"/>
                <w:color w:val="auto"/>
              </w:rPr>
            </w:pPr>
            <w:r>
              <w:rPr>
                <w:rFonts w:ascii="Arial" w:cs="Arial" w:eastAsia="Arial" w:hAnsi="Arial"/>
                <w:sz w:val="18"/>
                <w:szCs w:val="18"/>
                <w:color w:val="auto"/>
              </w:rPr>
              <w:t>19,527,000 shares of Common Shares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48"/>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560" w:type="dxa"/>
            <w:vAlign w:val="bottom"/>
            <w:tcBorders>
              <w:bottom w:val="single" w:sz="8" w:color="auto"/>
              <w:right w:val="single" w:sz="8" w:color="auto"/>
            </w:tcBorders>
          </w:tcPr>
          <w:p>
            <w:pPr>
              <w:spacing w:after="0"/>
              <w:rPr>
                <w:sz w:val="4"/>
                <w:szCs w:val="4"/>
                <w:color w:val="auto"/>
              </w:rPr>
            </w:pPr>
          </w:p>
        </w:tc>
        <w:tc>
          <w:tcPr>
            <w:tcW w:w="7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84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8</w:t>
            </w:r>
          </w:p>
        </w:tc>
        <w:tc>
          <w:tcPr>
            <w:tcW w:w="784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vMerge w:val="continue"/>
          </w:tcPr>
          <w:p>
            <w:pPr>
              <w:spacing w:after="0"/>
              <w:rPr>
                <w:sz w:val="5"/>
                <w:szCs w:val="5"/>
                <w:color w:val="auto"/>
              </w:rPr>
            </w:pPr>
          </w:p>
        </w:tc>
        <w:tc>
          <w:tcPr>
            <w:tcW w:w="7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84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840" w:type="dxa"/>
            <w:vAlign w:val="bottom"/>
            <w:vMerge w:val="restart"/>
          </w:tcPr>
          <w:p>
            <w:pPr>
              <w:ind w:lef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82"/>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560" w:type="dxa"/>
            <w:vAlign w:val="bottom"/>
            <w:tcBorders>
              <w:right w:val="single" w:sz="8" w:color="auto"/>
            </w:tcBorders>
          </w:tcPr>
          <w:p>
            <w:pPr>
              <w:spacing w:after="0"/>
              <w:rPr>
                <w:sz w:val="7"/>
                <w:szCs w:val="7"/>
                <w:color w:val="auto"/>
              </w:rPr>
            </w:pPr>
          </w:p>
        </w:tc>
        <w:tc>
          <w:tcPr>
            <w:tcW w:w="7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840" w:type="dxa"/>
            <w:vAlign w:val="bottom"/>
            <w:tcBorders>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7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284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9</w:t>
            </w:r>
          </w:p>
        </w:tc>
        <w:tc>
          <w:tcPr>
            <w:tcW w:w="784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2"/>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560" w:type="dxa"/>
            <w:vAlign w:val="bottom"/>
            <w:tcBorders>
              <w:right w:val="single" w:sz="8" w:color="auto"/>
            </w:tcBorders>
            <w:vMerge w:val="continue"/>
          </w:tcPr>
          <w:p>
            <w:pPr>
              <w:spacing w:after="0"/>
              <w:rPr>
                <w:sz w:val="13"/>
                <w:szCs w:val="13"/>
                <w:color w:val="auto"/>
              </w:rPr>
            </w:pPr>
          </w:p>
        </w:tc>
        <w:tc>
          <w:tcPr>
            <w:tcW w:w="7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84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7840" w:type="dxa"/>
            <w:vAlign w:val="bottom"/>
            <w:vMerge w:val="restart"/>
          </w:tcPr>
          <w:p>
            <w:pPr>
              <w:ind w:left="140"/>
              <w:spacing w:after="0" w:line="280" w:lineRule="exact"/>
              <w:rPr>
                <w:sz w:val="20"/>
                <w:szCs w:val="20"/>
                <w:color w:val="auto"/>
              </w:rPr>
            </w:pPr>
            <w:r>
              <w:rPr>
                <w:rFonts w:ascii="Arial" w:cs="Arial" w:eastAsia="Arial" w:hAnsi="Arial"/>
                <w:sz w:val="18"/>
                <w:szCs w:val="18"/>
                <w:color w:val="auto"/>
              </w:rPr>
              <w:t>19,527,000 shares of Common Shares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18"/>
                <w:szCs w:val="18"/>
                <w:color w:val="auto"/>
              </w:rPr>
            </w:pPr>
          </w:p>
        </w:tc>
        <w:tc>
          <w:tcPr>
            <w:tcW w:w="7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560" w:type="dxa"/>
            <w:vAlign w:val="bottom"/>
            <w:tcBorders>
              <w:bottom w:val="single" w:sz="8" w:color="auto"/>
              <w:right w:val="single" w:sz="8" w:color="auto"/>
            </w:tcBorders>
          </w:tcPr>
          <w:p>
            <w:pPr>
              <w:spacing w:after="0"/>
              <w:rPr>
                <w:sz w:val="3"/>
                <w:szCs w:val="3"/>
                <w:color w:val="auto"/>
              </w:rPr>
            </w:pPr>
          </w:p>
        </w:tc>
        <w:tc>
          <w:tcPr>
            <w:tcW w:w="7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840" w:type="dxa"/>
            <w:vAlign w:val="bottom"/>
            <w:tcBorders>
              <w:right w:val="single" w:sz="8" w:color="auto"/>
            </w:tcBorders>
            <w:vMerge w:val="continue"/>
          </w:tcPr>
          <w:p>
            <w:pPr>
              <w:spacing w:after="0"/>
              <w:rPr>
                <w:sz w:val="18"/>
                <w:szCs w:val="18"/>
                <w:color w:val="auto"/>
              </w:rPr>
            </w:pPr>
          </w:p>
        </w:tc>
        <w:tc>
          <w:tcPr>
            <w:tcW w:w="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784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28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8"/>
        </w:trPr>
        <w:tc>
          <w:tcPr>
            <w:tcW w:w="284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7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ind w:left="720" w:right="3980" w:hanging="547"/>
        <w:spacing w:after="0" w:line="276"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19,527,000 shares of Common Shares</w:t>
      </w:r>
    </w:p>
    <w:p>
      <w:pPr>
        <w:spacing w:after="0" w:line="36" w:lineRule="exact"/>
        <w:rPr>
          <w:rFonts w:ascii="Arial" w:cs="Arial" w:eastAsia="Arial" w:hAnsi="Arial"/>
          <w:sz w:val="18"/>
          <w:szCs w:val="18"/>
          <w:color w:val="auto"/>
        </w:rPr>
      </w:pPr>
    </w:p>
    <w:p>
      <w:pPr>
        <w:ind w:left="720" w:hanging="54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8" w:lineRule="exact"/>
        <w:rPr>
          <w:rFonts w:ascii="Arial" w:cs="Arial" w:eastAsia="Arial" w:hAnsi="Arial"/>
          <w:sz w:val="18"/>
          <w:szCs w:val="18"/>
          <w:color w:val="auto"/>
        </w:rPr>
      </w:pPr>
    </w:p>
    <w:p>
      <w:pPr>
        <w:ind w:left="7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7" w:lineRule="exact"/>
        <w:rPr>
          <w:rFonts w:ascii="Arial" w:cs="Arial" w:eastAsia="Arial" w:hAnsi="Arial"/>
          <w:sz w:val="18"/>
          <w:szCs w:val="18"/>
          <w:color w:val="auto"/>
        </w:rPr>
      </w:pPr>
    </w:p>
    <w:p>
      <w:pPr>
        <w:ind w:left="720" w:right="5380" w:hanging="547"/>
        <w:spacing w:after="0" w:line="252"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7.03% of the Common Shares</w:t>
      </w:r>
      <w:r>
        <w:rPr>
          <w:rFonts w:ascii="Arial" w:cs="Arial" w:eastAsia="Arial" w:hAnsi="Arial"/>
          <w:sz w:val="29"/>
          <w:szCs w:val="29"/>
          <w:color w:val="auto"/>
          <w:vertAlign w:val="superscript"/>
        </w:rPr>
        <w:t>2</w:t>
      </w:r>
    </w:p>
    <w:p>
      <w:pPr>
        <w:spacing w:after="0" w:line="2" w:lineRule="exact"/>
        <w:rPr>
          <w:rFonts w:ascii="Arial" w:cs="Arial" w:eastAsia="Arial" w:hAnsi="Arial"/>
          <w:sz w:val="18"/>
          <w:szCs w:val="18"/>
          <w:color w:val="auto"/>
        </w:rPr>
      </w:pPr>
    </w:p>
    <w:p>
      <w:pPr>
        <w:ind w:left="720" w:right="8020" w:hanging="547"/>
        <w:spacing w:after="0" w:line="258"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362" w:lineRule="exact"/>
        <w:rPr>
          <w:sz w:val="20"/>
          <w:szCs w:val="20"/>
          <w:color w:val="auto"/>
        </w:rPr>
      </w:pPr>
    </w:p>
    <w:p>
      <w:pPr>
        <w:jc w:val="both"/>
        <w:ind w:firstLine="8"/>
        <w:spacing w:after="0" w:line="243" w:lineRule="auto"/>
        <w:tabs>
          <w:tab w:leader="none" w:pos="177" w:val="left"/>
        </w:tabs>
        <w:numPr>
          <w:ilvl w:val="0"/>
          <w:numId w:val="8"/>
        </w:numPr>
        <w:rPr>
          <w:rFonts w:ascii="Arial" w:cs="Arial" w:eastAsia="Arial" w:hAnsi="Arial"/>
          <w:sz w:val="29"/>
          <w:szCs w:val="29"/>
          <w:color w:val="auto"/>
          <w:vertAlign w:val="superscript"/>
        </w:rPr>
      </w:pPr>
      <w:r>
        <w:rPr>
          <w:rFonts w:ascii="Arial" w:cs="Arial" w:eastAsia="Arial" w:hAnsi="Arial"/>
          <w:sz w:val="17"/>
          <w:szCs w:val="17"/>
          <w:color w:val="auto"/>
        </w:rPr>
        <w:t>Consists of (i) 15,359,562 Common Shares, (ii) 4,078,044 Common Shares underlying options that are exercisable within 60 days of March 29, 2023, and (iii) 89,394 Common Shares underlying warrants. Does not include (i) up to 520,834 restricted stock units, each representing the right to receive one Common Share upon vesting, which vest in two equal annual installments on November 22, 2023 and November 22, 2024, (ii) up to 1,439,220 restricted stock units, each representing the right to receive one Common Share upon vesting, which vest in three equal annual installments on March 20, 2024, March 20, 2025 and March 20, 2026 and (iii)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243" w:lineRule="exact"/>
        <w:rPr>
          <w:sz w:val="20"/>
          <w:szCs w:val="20"/>
          <w:color w:val="auto"/>
        </w:rPr>
      </w:pPr>
    </w:p>
    <w:p>
      <w:pPr>
        <w:ind w:right="20" w:firstLine="8"/>
        <w:spacing w:after="0" w:line="194" w:lineRule="auto"/>
        <w:tabs>
          <w:tab w:leader="none" w:pos="165"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Calculated based on 277,878,995 Common Shares issued and outstanding as of March 24, 2023, as reported in the Issuer’s Annual Report on Form 10-K filed on March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SCHEDULE 13D</w:t>
      </w:r>
    </w:p>
    <w:p>
      <w:pPr>
        <w:spacing w:after="0" w:line="235" w:lineRule="exact"/>
        <w:rPr>
          <w:sz w:val="20"/>
          <w:szCs w:val="20"/>
          <w:color w:val="auto"/>
        </w:rPr>
      </w:pPr>
    </w:p>
    <w:p>
      <w:pPr>
        <w:ind w:left="20"/>
        <w:spacing w:after="0"/>
        <w:tabs>
          <w:tab w:leader="none" w:pos="732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3 of 5</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10 TO SCHEDULE 13D</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Amendment No. 10 to Schedule 13D (this “Amendment”) relates to the common shares, no par value (the “Common Shares”), of TMC the metals company Inc. (f/k/a Sustainable Opportunities Acquisition Corp.), a company existing under the laws of British Columbia (the “Issuer”), and amends the Schedule 13D filed with the Securities and Exchange Commission on September 9, 2021, as subsequently amended on October 7, 2021, on November 30, 2021, on December 29, 2021, on February 9, 2022, on April 5, 2022, on July 6, 2022, on August 18, 2022, on January 3, 2023 and on March 29, 2023 (the “Schedule 13D”), by Gerard Barron (the “Reporting Person”).</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otherwise specified in this Amendment, all items left blank remain unchanged in all material respects and any items which are reported are deemed to amend and restate the corresponding items in the Schedule 13D. Capitalized terms used herein but not defined herein have the respective meanings ascribed to them in the Schedule 13D.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3 is hereby supplemented by adding the following at the end thereof:</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20, 2023, the Reporting Person acquired 382,907 Common Shares as part of the Issuer’s short-term incentive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4 of the Schedule 13D is hereby amended and restated in its entirety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in Item 3 is incorporated by reference into Item 4.</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14,209,752 Common Shares beneficially owned by the Reporting Person were received in connection with the September 9, 2021 completion of the initial business combination (the “Business Combination”) of Sustainable Opportunities Acquisition Corp. (the former name of the Issuer) with DeepGreen Metals Inc., 34,000 Common Shares beneficially owned by the Reporting Person were subsequently acquired by the Reporting Person on September 30, 2021, 15,500 Common Shares beneficially owned by the Reporting Person were subsequently acquired by the Reporting Person on November 22, 2021, 47,438 Common Shares and warrants to purchase 89,394 Common Shares beneficially owned by the Reporting Person were subsequently acquired by the Reporting Person on December 24, 2021, 180,869 Common Shares beneficially owned by the Reporting Person were subsequently acquired by the Reporting Person on February 9, 2022, 23,000 Common Shares beneficially owned by the Reporting Person were subsequently acquired by the Reporting Person on March 30, 2022, 25,000 Common Shares beneficially owned by the Reporting Person were subsequently acquired by the Reporting Person on June 29, 2022, 103,680 Common Shares beneficially owned by the Reporting Person were subsequently acquired by the Reporting Person on August 12, 2022, 260,416 Common Shares were subsequently acquired by the Reporting Person upon vesting of restricted stock units on November 22, 2022, 42,000 Common Shares beneficially owned by the Reporting Person were subsequently acquired by the Reporting Person on December 30, 2022, 35,000 Common Shares beneficially owned by the Reporting Person were subsequently acquired by the Reporting Person on March 28, 2023 and 382,907 Common Shares were subsequently acquired by the Reporting Person upon vesting of restricted stock units on March 20, 2023.</w:t>
      </w:r>
    </w:p>
    <w:p>
      <w:pPr>
        <w:spacing w:after="0" w:line="17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Reporting Person serves as the Chief Executive Officer and Chairman of the Board of Directors of the Issuer, and, in such capacity, may have influence over the corporate activities of the Issuer, including activities which may relate to items described in subparagraphs (a) through (j) of Item 4 of Schedule 13D.</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Except as described in this Schedule 13D, the Reporting Person does not have any present plans or proposals that relate to or would result in any of the actions described in subparagraphs (a) through (j) of Item 4 of Schedule 13D, although, subject to the agreements described herein, the Reporting Person, at any time, and from time to time, may review, reconsider and change his position and/or change his purpose and/or develop such plans and may seek to influence management of the Issuer or the Board of Directors with respect to the business and affairs of the Issuer and may from time to time consider pursuing or proposing such matters with advisors, the Issuer, or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SCHEDULE 13D</w:t>
      </w:r>
    </w:p>
    <w:p>
      <w:pPr>
        <w:spacing w:after="0" w:line="235" w:lineRule="exact"/>
        <w:rPr>
          <w:sz w:val="20"/>
          <w:szCs w:val="20"/>
          <w:color w:val="auto"/>
        </w:rPr>
      </w:pPr>
    </w:p>
    <w:p>
      <w:pPr>
        <w:ind w:left="20"/>
        <w:spacing w:after="0"/>
        <w:tabs>
          <w:tab w:leader="none" w:pos="732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4 of 5</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10 TO SCHEDULE 13D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6 of the Schedule 13D is hereby amended and restated in its entirety as follows:</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Reporting Person holds (i) 15,359,562 Common Shares, including the 103,680 Common Shares purchased in a private placement from the Issuer pursuant to a securities purchase agreement, dated August 12, 2022, with the Issuer, a copy of which was filed as Exhibit 10.2 to the Issuer’s Current Report on Form 8-K, which is incorporated herein by reference, (ii) 4,078,044 Common Shares underlying options that are exercisable within 60 days of March 29, 2023, and (iii) 89,394 Common Shares underlying warrants to purchase Common Shares at $11.50 per share that are exercisable pursuant to that certain Warrant Agreement dated as of May 8, 2020 by and between the Issuer and Continental Stock Transfer &amp; Trust Company, as warrant agent. The Reporting Person also holds 2,275,334 Common Shares underlying options that vest as follows, subject to continued service through each vesting threshold: (i) 25% if the Issuer’s market capitalization equals or exceeds $3.0 billion; (ii) 35% if the Issuer’s market capitalization equals or exceeds $6.0 billion; (iii) 20% if the International Seabed Authority grants an exploitation contract to the Issuer; and (iv) 20% upon the commencement of the first commercial production following the grant of the exploitation contract. Excludes the Special Shares held by the Reporting Person. The Reporting Person also holds (i) 520,834 restricted stock units, each representing the right to receive one Common Share upon vesting, granted to the Reporting Person on November 22, 2021 under the Issuer's 2021 Equity Incentive Plan, which will vest in two equal annual installments on November 22, 2023 and November 22, 2024, and (ii) 1,439,220 restricted stock units, each representing the right to receive one Common Share upon vesting, granted to the Reporting Person on March 20, 2023 under the Issuer's 2021 Equity Incentive Plan, which will vest in three equal annual installments on March 20, 2024, March 20, 2025 and March 20, 2026, in each case, subject to the continued service to the Issuer of the Reporting Person through the applicable vesting dates. The Reporting Person also has the right to purchase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17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Reporting Person is a party to the Amended and Restated Registration Rights Agreement, dated as of September 9, 2021, by and among the Issuer, Sustainable Opportunities Holdings LLC (the “Sponsor”), certain holders of the Sponsor and certain holders of DeepGreen (the “DeepGreen Securityholders”) (the “Registration Rights Agreement”), pursuant to which, among other things, the initial shareholders and the DeepGreen Securityholders (a) agreed not to effect any sale or distribution of certain securities of the Issuer held by them during the lock-up periods described therein and (b) were granted certain customary registration rights, including demand, piggy-back and shelf registration rights. Notably, certain shares held by the initial holders shall not be offered, sold, pledged or distributed for periods of six months or twelve months, as applicable, and certain shares held by the DeepGreen Securityholders shall not be offered, sold, pledged or distributed for periods of six months or two years, as applicable, subject to the exceptions described in the Registration Rights Agreement. The Registration Rights Agreement also provides that the Issuer will pay certain expenses relating to such registrations and indemnify the registration rights holders against (or make contributions in respect of) certain liabilities.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described herein, there are no contracts, arrangements, understandings or relationships (legal or otherwise) among the person named in Item 2 above or between such person and any other person with respect to any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hereby certifies that the information set forth in this statement is true, complete and correct.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340"/>
              <w:spacing w:after="0"/>
              <w:rPr>
                <w:sz w:val="20"/>
                <w:szCs w:val="20"/>
                <w:color w:val="auto"/>
              </w:rPr>
            </w:pPr>
            <w:r>
              <w:rPr>
                <w:rFonts w:ascii="Arial" w:cs="Arial" w:eastAsia="Arial" w:hAnsi="Arial"/>
                <w:sz w:val="18"/>
                <w:szCs w:val="18"/>
                <w:color w:val="auto"/>
              </w:rPr>
              <w:t>Dated: April 5, 2023</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Gerard Barron</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Gerard Barron</w:t>
            </w:r>
          </w:p>
        </w:tc>
      </w:tr>
      <w:tr>
        <w:trPr>
          <w:trHeight w:val="41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5"/>
      <w:numFmt w:val="bullet"/>
      <w:start w:val="1"/>
    </w:lvl>
  </w:abstractNum>
  <w:abstractNum w:abstractNumId="5">
    <w:nsid w:val="79E2A9E3"/>
    <w:multiLevelType w:val="hybridMultilevel"/>
    <w:lvl w:ilvl="0">
      <w:lvlJc w:val="left"/>
      <w:lvlText w:val="6"/>
      <w:numFmt w:val="bullet"/>
      <w:start w:val="1"/>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2023-04-05T15:28:39Z</dcterms:created>
  <dcterms:modified xsi:type="dcterms:W3CDTF">2023-04-05T15:28:39Z</dcterms:modified>
</cp:coreProperties>
</file>