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333-260126</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156845</wp:posOffset>
            </wp:positionV>
            <wp:extent cx="1911350" cy="643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11350"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248,779,861 Common Shares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9,500,000 Warrants</w:t>
      </w:r>
    </w:p>
    <w:p>
      <w:pPr>
        <w:spacing w:after="0" w:line="207" w:lineRule="exact"/>
        <w:rPr>
          <w:sz w:val="24"/>
          <w:szCs w:val="24"/>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This prospectus relates to the issuance by us of up to an aggregate of 24,500,000 of our common shares, without par value, or the Common Shares, which consists of (i) up to 9,500,000 of Common Shares that are issuable upon the exercise of private placement warrants, or the Private Placement Warrants, originally issued in a private placement in connection with the initial public offering of our predecessor company, Sustainable Opportunities Acquisition Corp., or SOAC, at an exercise price of $11.50 per Common Share, and (ii) up to 15,000,000 Common Shares that are issuable upon the exercise of 15,000,000 warrants issued in connection with the initial public offering of SOAC, or the Public Warrants, and together with the Private Placement Warrants, the Warrants.</w:t>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This prospectus also relates to the resale from time to time by the Selling Securityholders named in this prospectus, or the Selling Securityholders, of up to</w:t>
      </w:r>
    </w:p>
    <w:p>
      <w:pPr>
        <w:spacing w:after="0" w:line="27" w:lineRule="exact"/>
        <w:rPr>
          <w:sz w:val="24"/>
          <w:szCs w:val="24"/>
          <w:color w:val="auto"/>
        </w:rPr>
      </w:pPr>
    </w:p>
    <w:p>
      <w:pPr>
        <w:ind w:right="40" w:firstLine="8"/>
        <w:spacing w:after="0" w:line="251" w:lineRule="auto"/>
        <w:tabs>
          <w:tab w:leader="none" w:pos="2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9,500,000 Private Placement Warrants, (ii) 9,500,000 Common Shares that may be issued upon exercise of the Private Placement Warrants, (iii) 11,578,620 Common Shares that may be issued upon exercise of the Allseas Warrant (as defined below), (iv) an aggregate of 134,182,997 Common Shares held by SOAC’s former directors, transferees of SOAC’s sponsor, Sustainable Opportunities Holdings LLC, or the Sponsor, and certain of their transferees, collectively, the Founder Shares, Common Shares issued pursuant to certain subscription agreements to certain investors, or the PIPE Investors, immediately prior to the Closing (as defined below) of the Business Combination (as defined below) on September 9, 2021, or the PIPE Financing, Common Shares issued to certain shareholders of DeepGreen (as defined below) pursuant to the Business Combination Agreement (as defined below) and Common Shares issued to certain service providers to DeepGreen, (v) 77,277,244 Common Shares issuable to certain shareholders of DeepGreen upon the conversion of DeepGreen Earnout Shares (as defined below) pursuant to the Business Combination Agreement and (vi) 1,241,000 Common Shares issuable to the transferees of the Sponsor and their transferees upon the conversion of Sponsor Earnout Shares (as defined below).</w:t>
      </w:r>
    </w:p>
    <w:p>
      <w:pPr>
        <w:spacing w:after="0" w:line="193" w:lineRule="exact"/>
        <w:rPr>
          <w:sz w:val="24"/>
          <w:szCs w:val="24"/>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such securities and the general manner in which we and the Selling Securityholders may offer or sell the securities. More specific terms of any securities that we and the Selling Securityholders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spacing w:after="0" w:line="180"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will not receive any proceeds from the sale of Common Shares or Private Placement Warrants by the Selling Securityholders or of Common Shares by us pursuant to this prospectus, except with respect to amounts received by us upon exercise of the Warrants.</w:t>
      </w:r>
    </w:p>
    <w:p>
      <w:pPr>
        <w:spacing w:after="0" w:line="162" w:lineRule="exact"/>
        <w:rPr>
          <w:sz w:val="24"/>
          <w:szCs w:val="24"/>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However, we will pay the expenses, other than any underwriting discounts and commissions, associated with the sale of securities pursuant to this prospectus.</w:t>
      </w:r>
    </w:p>
    <w:p>
      <w:pPr>
        <w:spacing w:after="0" w:line="162" w:lineRule="exact"/>
        <w:rPr>
          <w:sz w:val="24"/>
          <w:szCs w:val="24"/>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are registering certain of the securities for resale pursuant to the Selling Securityholders’ registration rights under certain agreements between us and the Selling Securityholders. Our registration of the securities covered by this prospectus does not mean that either we or the Selling Securityholders will issue, offer or sell, as applicable, any of the securities. The Selling Securityholders may offer and sell the securities covered by this prospectus in a number of different ways and at varying prices. We provide more information about how the Selling Securityholders may sell the shares or Warrants in the section entitled “Plan of Distribution.”</w:t>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You should read this prospectus and any prospectus supplement or amendment carefully before you invest in our securities.</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Common Shares and Public Warrants are listed on the Nasdaq Global Select Market under the symbols “TMC” and “TMCWW,” respectively. On March 24, 2023, the closing price of our Common Shares was $0.81 and the closing price for our Public Warrants was $0.11.</w:t>
      </w:r>
    </w:p>
    <w:p>
      <w:pPr>
        <w:spacing w:after="0" w:line="158" w:lineRule="exact"/>
        <w:rPr>
          <w:sz w:val="24"/>
          <w:szCs w:val="24"/>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“Risk Factors” beginning on page 6 of this prospectus and in the other documents that are incorporated by reference in this prospectus.</w:t>
      </w:r>
    </w:p>
    <w:p>
      <w:pPr>
        <w:spacing w:after="0" w:line="155" w:lineRule="exact"/>
        <w:rPr>
          <w:sz w:val="24"/>
          <w:szCs w:val="24"/>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The date of this prospectus is April 14,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32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80" w:type="dxa"/>
            <w:vAlign w:val="bottom"/>
            <w:gridSpan w:val="4"/>
          </w:tcPr>
          <w:p>
            <w:pPr>
              <w:ind w:left="130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10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SUMMARY</w:t>
            </w:r>
          </w:p>
        </w:tc>
        <w:tc>
          <w:tcPr>
            <w:tcW w:w="7480" w:type="dxa"/>
            <w:vAlign w:val="bottom"/>
            <w:gridSpan w:val="9"/>
            <w:shd w:val="clear" w:color="auto" w:fill="CCEEFF"/>
          </w:tcPr>
          <w:p>
            <w:pPr>
              <w:spacing w:after="0"/>
              <w:rPr>
                <w:sz w:val="15"/>
                <w:szCs w:val="15"/>
                <w:color w:val="auto"/>
              </w:rPr>
            </w:pPr>
          </w:p>
        </w:tc>
        <w:tc>
          <w:tcPr>
            <w:tcW w:w="16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10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7480" w:type="dxa"/>
            <w:vAlign w:val="bottom"/>
            <w:gridSpan w:val="9"/>
          </w:tcPr>
          <w:p>
            <w:pPr>
              <w:spacing w:after="0"/>
              <w:rPr>
                <w:sz w:val="15"/>
                <w:szCs w:val="15"/>
                <w:color w:val="auto"/>
              </w:rPr>
            </w:pPr>
          </w:p>
        </w:tc>
        <w:tc>
          <w:tcPr>
            <w:tcW w:w="166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2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8320" w:type="dxa"/>
            <w:vAlign w:val="bottom"/>
            <w:gridSpan w:val="14"/>
            <w:shd w:val="clear" w:color="auto" w:fill="CCEEFF"/>
          </w:tcPr>
          <w:p>
            <w:pPr>
              <w:spacing w:after="0"/>
              <w:rPr>
                <w:sz w:val="15"/>
                <w:szCs w:val="15"/>
                <w:color w:val="auto"/>
              </w:rPr>
            </w:pPr>
          </w:p>
        </w:tc>
        <w:tc>
          <w:tcPr>
            <w:tcW w:w="16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58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66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5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6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58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SELLING SECURITYHOLDERS</w:t>
            </w:r>
          </w:p>
        </w:tc>
        <w:tc>
          <w:tcPr>
            <w:tcW w:w="166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10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7520" w:type="dxa"/>
            <w:vAlign w:val="bottom"/>
            <w:tcBorders>
              <w:bottom w:val="single" w:sz="8" w:color="CCEEFF"/>
            </w:tcBorders>
            <w:gridSpan w:val="10"/>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16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58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w:t>
            </w:r>
          </w:p>
        </w:tc>
        <w:tc>
          <w:tcPr>
            <w:tcW w:w="166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0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CERTAIN IMPORTANT PROVISIONS OF THE NOTICE OF ARTICLES AND ARTICLES AND THE BCBCA</w:t>
            </w:r>
          </w:p>
        </w:tc>
        <w:tc>
          <w:tcPr>
            <w:tcW w:w="12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58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OWNERSHIP AND EXCHANGE CONTROLS</w:t>
            </w:r>
          </w:p>
        </w:tc>
        <w:tc>
          <w:tcPr>
            <w:tcW w:w="166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MATERIAL U.S. FEDERAL INCOME TAX CONSIDERATIONS</w:t>
            </w:r>
          </w:p>
        </w:tc>
        <w:tc>
          <w:tcPr>
            <w:tcW w:w="4700" w:type="dxa"/>
            <w:vAlign w:val="bottom"/>
            <w:tcBorders>
              <w:bottom w:val="single" w:sz="8" w:color="CCEEFF"/>
            </w:tcBorders>
            <w:gridSpan w:val="4"/>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58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MATERIAL CANADIAN FEDERAL INCOME TAX CONSIDERATIONS</w:t>
            </w:r>
          </w:p>
        </w:tc>
        <w:tc>
          <w:tcPr>
            <w:tcW w:w="166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5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6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40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46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8120" w:type="dxa"/>
            <w:vAlign w:val="bottom"/>
            <w:tcBorders>
              <w:top w:val="single" w:sz="8" w:color="CCEEFF"/>
            </w:tcBorders>
            <w:gridSpan w:val="12"/>
          </w:tcPr>
          <w:p>
            <w:pPr>
              <w:spacing w:after="0"/>
              <w:rPr>
                <w:sz w:val="15"/>
                <w:szCs w:val="15"/>
                <w:color w:val="auto"/>
              </w:rPr>
            </w:pPr>
          </w:p>
        </w:tc>
        <w:tc>
          <w:tcPr>
            <w:tcW w:w="148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5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6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40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58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DOCUMENTS BY REFERENCE</w:t>
            </w:r>
          </w:p>
        </w:tc>
        <w:tc>
          <w:tcPr>
            <w:tcW w:w="166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41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right="760"/>
        <w:spacing w:after="0" w:line="262"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this prospectus or incorporated by reference in this prospectus. No one has been authorized to provide you with information that is different from that contained in this prospectus or incorporated by reference in this prospectus. This prospectus is dated as of the date set forth on the cover hereof. You should not assume that the information contained in this prospectus is accurate as of any date other than that date.</w:t>
      </w:r>
    </w:p>
    <w:p>
      <w:pPr>
        <w:spacing w:after="0" w:line="176"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For investors outside the United States: </w:t>
      </w:r>
      <w:r>
        <w:rPr>
          <w:rFonts w:ascii="Times New Roman" w:cs="Times New Roman" w:eastAsia="Times New Roman" w:hAnsi="Times New Roman"/>
          <w:sz w:val="18"/>
          <w:szCs w:val="18"/>
          <w:color w:val="auto"/>
        </w:rPr>
        <w:t>We have not done anything that would permit this offering or possession or distribution of this prospectus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where action for that purpose is required, other than in the United States. You are required to inform yourselves about and to observe any restrictions relating to this offering and the distribution of this prospectus.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86963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8696325"/>
                    </a:xfrm>
                    <a:prstGeom prst="rect">
                      <a:avLst/>
                    </a:prstGeom>
                    <a:noFill/>
                  </pic:spPr>
                </pic:pic>
              </a:graphicData>
            </a:graphic>
          </wp:anchor>
        </w:drawing>
        <w:t>PROSPECTUS SUMMARY</w:t>
      </w:r>
    </w:p>
    <w:p>
      <w:pPr>
        <w:spacing w:after="0" w:line="227" w:lineRule="exact"/>
        <w:rPr>
          <w:sz w:val="20"/>
          <w:szCs w:val="20"/>
          <w:color w:val="auto"/>
        </w:rPr>
      </w:pPr>
    </w:p>
    <w:p>
      <w:pPr>
        <w:ind w:left="10" w:right="40"/>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is a summary of what we believe to be the most important aspects of our business and the offering of our securities under this prospectus. We urge you to read this entire prospectus, including the more detailed consolidated financial statements, notes to the consolidated financial statements and other information incorporated by reference from our other filings with the Securities and Exchange Commission, or SEC, or included in any applicable prospectus supplement. Investing in our securities involves risks. Therefore, carefully consider the risk factors set forth in any prospectus supplements and in our most recent annual, quarterly and other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spacing w:after="0" w:line="18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About TMC the metals company Inc.</w:t>
      </w:r>
    </w:p>
    <w:p>
      <w:pPr>
        <w:spacing w:after="0" w:line="229" w:lineRule="exact"/>
        <w:rPr>
          <w:sz w:val="20"/>
          <w:szCs w:val="20"/>
          <w:color w:val="auto"/>
        </w:rPr>
      </w:pPr>
    </w:p>
    <w:p>
      <w:pPr>
        <w:ind w:left="10" w:right="520"/>
        <w:spacing w:after="0" w:line="282" w:lineRule="auto"/>
        <w:rPr>
          <w:sz w:val="20"/>
          <w:szCs w:val="20"/>
          <w:color w:val="auto"/>
        </w:rPr>
      </w:pPr>
      <w:r>
        <w:rPr>
          <w:rFonts w:ascii="Times New Roman" w:cs="Times New Roman" w:eastAsia="Times New Roman" w:hAnsi="Times New Roman"/>
          <w:sz w:val="18"/>
          <w:szCs w:val="18"/>
          <w:color w:val="auto"/>
        </w:rPr>
        <w:t>We are a deep-sea minerals exploration company focused on the collection and processing of polymetallic nodules found on the seafloor in international waters of the Clarion Clipperton Zone, or the CCZ, about 1,500 miles south-west of San Diego, California.</w:t>
      </w:r>
    </w:p>
    <w:p>
      <w:pPr>
        <w:spacing w:after="0" w:line="162" w:lineRule="exact"/>
        <w:rPr>
          <w:sz w:val="20"/>
          <w:szCs w:val="20"/>
          <w:color w:val="auto"/>
        </w:rPr>
      </w:pPr>
    </w:p>
    <w:p>
      <w:pPr>
        <w:ind w:left="10"/>
        <w:spacing w:after="0" w:line="253" w:lineRule="auto"/>
        <w:rPr>
          <w:sz w:val="20"/>
          <w:szCs w:val="20"/>
          <w:color w:val="auto"/>
        </w:rPr>
      </w:pPr>
      <w:r>
        <w:rPr>
          <w:rFonts w:ascii="Times New Roman" w:cs="Times New Roman" w:eastAsia="Times New Roman" w:hAnsi="Times New Roman"/>
          <w:sz w:val="18"/>
          <w:szCs w:val="18"/>
          <w:color w:val="auto"/>
        </w:rPr>
        <w:t>The CCZ is a geological submarine fracture zone of abyssal plains and other formations in the Eastern Pacific Ocean, with a length of around 7,240 km (4,500 miles) that spans approximately 4,500,000 square kilometers (1,700,000 square miles). Polymetallic nodules are discrete rocks that sit unattached to the seafloor, occur in significant quantities in the CCZ and have high concentrations of nickel, manganese, cobalt and copper in a single rock. These four metals contained in the polymetallic nodules are critical for the transition to low carbon energy. Our resource definition work to date shows that nodules in our contract areas represent the world’s largest estimated undeveloped source of critical battery metals. If we are able to collect polymetallic nodules from the seafloor on a commercial scale, we plan to use such nodules to produce three types of metal products: (i) feedstock for battery cathode precursors (nickel and cobalt sulfates, or intermediate nickel-copper-cobalt matte) for electric vehicles, or EVs, and renewable energy storage markets, (ii) copper cathode for EV wiring, clean energy transmission and other applications and</w:t>
      </w:r>
    </w:p>
    <w:p>
      <w:pPr>
        <w:spacing w:after="0" w:line="1" w:lineRule="exact"/>
        <w:rPr>
          <w:sz w:val="20"/>
          <w:szCs w:val="20"/>
          <w:color w:val="auto"/>
        </w:rPr>
      </w:pPr>
    </w:p>
    <w:p>
      <w:pPr>
        <w:ind w:left="10" w:right="60" w:hanging="10"/>
        <w:spacing w:after="0" w:line="255" w:lineRule="auto"/>
        <w:tabs>
          <w:tab w:leader="none" w:pos="32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manganese silicate for manganese alloy production required for steel production. Our mission is to build a carefully managed shared stock of metal, which we refer to as a metal commons, that can be used, recovered and reused for generations to come. Significant quantities of newly mined metal are required because existing metal stocks are insufficient to meet rapidly rising demand.</w:t>
      </w:r>
    </w:p>
    <w:p>
      <w:pPr>
        <w:spacing w:after="0" w:line="186" w:lineRule="exact"/>
        <w:rPr>
          <w:sz w:val="20"/>
          <w:szCs w:val="20"/>
          <w:color w:val="auto"/>
        </w:rPr>
      </w:pPr>
    </w:p>
    <w:p>
      <w:pPr>
        <w:ind w:left="10" w:right="60"/>
        <w:spacing w:after="0" w:line="269" w:lineRule="auto"/>
        <w:rPr>
          <w:sz w:val="20"/>
          <w:szCs w:val="20"/>
          <w:color w:val="auto"/>
        </w:rPr>
      </w:pPr>
      <w:r>
        <w:rPr>
          <w:rFonts w:ascii="Times New Roman" w:cs="Times New Roman" w:eastAsia="Times New Roman" w:hAnsi="Times New Roman"/>
          <w:sz w:val="17"/>
          <w:szCs w:val="17"/>
          <w:color w:val="auto"/>
        </w:rPr>
        <w:t>Exploration and exploitation of seabed minerals in international waters is regulated by the International Seabed Authority, or the ISA, an intergovernmental organization established pursuant to the 1994 Agreement Relating to the Implementation of the United Nations Convention on the Law of the Sea, or UNCLOS. The ISA grants contracts to sovereign states or to private contractors who are sponsored by a sovereign state. The ISA requires that a contractor must obtain and maintain sponsorship by a host nation that is a member of the ISA and signatory to UNCLOS, and such nation must maintain effective supervision and regulatory control over such sponsored contractor. The ISA has issued a total of 19</w:t>
      </w:r>
    </w:p>
    <w:p>
      <w:pPr>
        <w:spacing w:after="0" w:line="3" w:lineRule="exact"/>
        <w:rPr>
          <w:sz w:val="20"/>
          <w:szCs w:val="20"/>
          <w:color w:val="auto"/>
        </w:rPr>
      </w:pPr>
    </w:p>
    <w:p>
      <w:pPr>
        <w:ind w:left="10" w:right="80"/>
        <w:spacing w:after="0" w:line="234" w:lineRule="auto"/>
        <w:rPr>
          <w:sz w:val="20"/>
          <w:szCs w:val="20"/>
          <w:color w:val="auto"/>
        </w:rPr>
      </w:pPr>
      <w:r>
        <w:rPr>
          <w:rFonts w:ascii="Times New Roman" w:cs="Times New Roman" w:eastAsia="Times New Roman" w:hAnsi="Times New Roman"/>
          <w:sz w:val="18"/>
          <w:szCs w:val="18"/>
          <w:color w:val="auto"/>
        </w:rPr>
        <w:t>polymetallic nodule exploration contracts covering approximately 1.28 million km</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or 0.4% of the global seafloor, 17 of which are in the CCZ. We hold exclusive exploration and commercial rights to three of the 17 polymetallic nodule contract areas in the CCZ; two based on ISA exploration contracts through our subsidiaries Nauru Ocean Resources Inc., or NORI, and Tonga Offshore Mining Limited, or TOML, sponsored by the Republic of Nauru and the Kingdom of Tonga, respectively, and exclusive commercial rights through our subsidiary, DeepGreen Engineering Pte. Ltd. and its arrangement with Marawa Research and Exploration Limited, a company owned and sponsored by the Republic of Kiribati.</w:t>
      </w:r>
    </w:p>
    <w:p>
      <w:pPr>
        <w:spacing w:after="0" w:line="200" w:lineRule="exact"/>
        <w:rPr>
          <w:sz w:val="20"/>
          <w:szCs w:val="20"/>
          <w:color w:val="auto"/>
        </w:rPr>
      </w:pPr>
    </w:p>
    <w:p>
      <w:pPr>
        <w:ind w:left="10"/>
        <w:spacing w:after="0" w:line="252" w:lineRule="auto"/>
        <w:rPr>
          <w:sz w:val="20"/>
          <w:szCs w:val="20"/>
          <w:color w:val="auto"/>
        </w:rPr>
      </w:pPr>
      <w:r>
        <w:rPr>
          <w:rFonts w:ascii="Times New Roman" w:cs="Times New Roman" w:eastAsia="Times New Roman" w:hAnsi="Times New Roman"/>
          <w:sz w:val="18"/>
          <w:szCs w:val="18"/>
          <w:color w:val="auto"/>
        </w:rPr>
        <w:t>We have key strategic alliances with (i) Allseas Group S.A., a leading global offshore contractor, which developed and tested a pilot collection system, which is expected to be modified into an initial smaller scale commercial production system and serve as the basis for the design of a full-scale commercial production system and (ii) Glencore International AG, or Glencore, which holds offtake rights to 50% of the NORI nickel and copper production. In addition, we have worked with an engineering firm Hatch Ltd. and consultants Kingston Process Metallurgy Inc. to develop a near-zero solid waste flowsheet. The primary processing stages of the flowsheet from nodule to NiCuCo matte intermediate were demonstrated as part of our pilot plant program at FLSmidth &amp; Co. A/S’s and Xpert Process Solutions’ (a Glencore company) facilities. The matte refining stages are being tested at SGS Lakefield. The near-zero solid waste flowsheet provides a design that is expected to serve as the basis for our onshore processing facilities. After several months of joint pre-feasibility work in 2022 and in consultation with Epsilon Carbon Pvt, LTD., or Epsilon Carbon, under our March 2022 business collaboration Memorandum of Understanding, or MoU, we decided to pause this work on a new build plant in India until Project Zero has started commercial production using an existing processing facility requiring lower capital expenditures and which we believe may offer a lower risk solution to get Project Zero into production. In November 2022, we entered into a non-binding MoU with Pacific Metals Co Ltd, or PAMCO, of Japan, to evaluate the toll treatment of an initial quantity of 1.3 million tonnes of wet polymetallic nodules per year at PAMCO’s Hachinohe smelting facility starting in 2025. The toll treatment is intended to take place on a dedicated rotary kiln-electric arc furnace (RKEF) processing line and produce two products: nickel-copper-cobalt alloy — an intermediate product used as feedstock to produce Li-ion battery cathodes — and a manganese silicate product used to make silico-manganese alloy, a critical input into steel manufacturing. We expect this partnership to progress to a binding MoU and a strategic alliance in the second half of 2023, subject to successful evaluation study outcomes and agreement to mutually acceptable commercial terms, in lieu of continuing to pursue an opportunity to build a new Project Zero Plant in India together with Epsilon Carbon as was previously envisioned under our March 2022 business collaboration MoU with Epsilon Carbon. There can be no assurance that we will enter into such binding MoU or definitive strategic alliance in a particular time period, or at all, or on terms similar to those set forth in the MoU, or that if such binding MoU or definitive strategic alliance are entered into by us or that the existing facility will be able to successfully process nodules in a particular time period, or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559435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30"/>
          </w:cols>
          <w:pgMar w:left="670" w:top="1130" w:right="699" w:bottom="1440" w:gutter="0" w:footer="0" w:header="0"/>
        </w:sectPr>
      </w:pPr>
    </w:p>
    <w:bookmarkStart w:id="3" w:name="page4"/>
    <w:bookmarkEnd w:id="3"/>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5927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5927725"/>
                    </a:xfrm>
                    <a:prstGeom prst="rect">
                      <a:avLst/>
                    </a:prstGeom>
                    <a:noFill/>
                  </pic:spPr>
                </pic:pic>
              </a:graphicData>
            </a:graphic>
          </wp:anchor>
        </w:drawing>
        <w:t>We are currently focused on applying for our first exploitation contract from the ISA on the NORI Area D contract area and, subject to regulatory review by the ISA, intend to start commercial production by end of 2024 / start of 2025. To reach our objective and initiate commercial production, we are: (i) defining our resource and project economics, (ii) developing and testing an offshore nodule collection system, (iii) assessing the environmental, social and governance impacts of offshore nodule collection, and (iv) developing and testing onshore technology and systems to process collected polymetallic nodules into a manganese silicate product, and an intermediate nickel-copper-cobalt matte product and/or end-products like nickel and cobalt sulfates, and copper cathode.</w:t>
      </w:r>
    </w:p>
    <w:p>
      <w:pPr>
        <w:spacing w:after="0" w:line="18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are still in the exploration phase and have not yet declared mineral reserves. We have yet to obtain any exploitation contracts from the ISA to commence commercial scale polymetallic nodule collection in the CCZ nor have we obtained the applicable environmental and other permits required to build and operate commercial scale polymetallic nodule processing and refining plants on land.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Statements Regarding the NORI Initial Assessment and TOML Mineral Resource Statement</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estimated the size and quality of our resource in the NORI and TOML contracted areas in our SEC Regulation S-K (subpart 1300), referred to herein as the SEC Mining Rules, compliant Technical Report Summary - Initial Assessment, of the NORI Property, Clarion-Clipperton Zone, Pacific Ocean dated March 17, 2021, or the NORI Initial Assessment, and Technical Report Summary - TOML Mineral Resource, Clarion-Clipperton Zone, Pacific Ocean dated March 26, 2021, or the TOML Mineral Resource Statement, respectively, prepared by AMC Consultants Ltd., each of which is filed as an exhibit to the registration statement to which this prospectus forms a part. We plan to continue to estimate our resource in the NORI and TOML areas and develop the project economics. The initial assessment included in the NORI Initial Assessment Report is a conceptual study of the potential viability of mineral resources in NORI Area D. This initial assessment indicates that development of the mineral resource in NORI Area D is potentially technically and economically viable; however, due to the preliminary nature of project planning and design, and the untested nature of the specific seafloor production systems at a commercial scale, economic viability has not yet been demonstrated.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NORI Initial Assessment and TOML Mineral Resource Statement do not include the conversion of mineral resources to mineral reserves.</w:t>
      </w:r>
    </w:p>
    <w:p>
      <w:pPr>
        <w:spacing w:after="0" w:line="22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used in this prospectus or in the applicable report summary, the terms “mineral resource,” “measured mineral resource,” “indicated mineral resource” and “inferred mineral resource”, as applicable, are defined and used in accordance with the SEC Mining Rules.</w:t>
      </w:r>
    </w:p>
    <w:p>
      <w:pPr>
        <w:spacing w:after="0" w:line="1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You are specifically cautioned not to assume that any part or all of the mineral deposits in these categories will ever be converted into mineral reserves, as defined by the SEC. You are also cautioned that mineral resources do not have demonstrated economic value. Information concerning our mineral properties in the NORI and TOML Technical Report Summaries and in this prospectus includes information that has been prepared in accordance with the requirements of the SEC Mining Rules. Under SEC standards, mineralization, such as mineral resources, may not be classified as a “reserve” unless the determination has been made that the mineralization would be economically and legally produced or extracted at the time of the reserve determination. Inferred mineral resources have a high degree of uncertainty as to their existence and to whether they can be economically or legally commercialized. Under the SEC Mining Rules, estimates of inferred mineral resources may not form the basis of an economic analysis. It cannot be assumed that all or any part of an inferred mineral resource will ever be upgraded to a higher category. A significant amount of exploration must be completed in order to determine whether an inferred mineral resource may be upgraded to a higher category. Therefore, you are cautioned not to assume that all or any part of an inferred mineral resource exists, that it can be economically or legally commercialized, or that it will ever be upgraded to a higher category. Approximately 97% of the NORI Area D resource is categorized as measured or indicated.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20"/>
          </w:cols>
          <w:pgMar w:left="680" w:top="1134" w:right="699" w:bottom="1440" w:gutter="0" w:footer="0" w:header="0"/>
        </w:sectPr>
      </w:pPr>
    </w:p>
    <w:bookmarkStart w:id="4" w:name="page5"/>
    <w:bookmarkEnd w:id="4"/>
    <w:p>
      <w:pPr>
        <w:ind w:right="5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38703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3870325"/>
                    </a:xfrm>
                    <a:prstGeom prst="rect">
                      <a:avLst/>
                    </a:prstGeom>
                    <a:noFill/>
                  </pic:spPr>
                </pic:pic>
              </a:graphicData>
            </a:graphic>
          </wp:anchor>
        </w:drawing>
        <w:t>Likewise, you are cautioned not to assume that all or any part of measured or indicated mineral resources will ever be upgraded to mineral reserves.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For additional information related to our business and operations, please refer to the reports incorporated herein by reference, as described under the caption “Incorporation of Documents by Reference” on page 42 of this 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Corporate Information</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The Company was originally known as Sustainable Opportunities Acquisition Corp., or SOAC. On September 9, 2021, or the Closing Date, we consummated a business combination, or the Business Combination, pursuant to the terms of the business combination agreement, or the Business Combination Agreement, dated as of March 4, 2021, by and among SOAC, 1291924 B.C. Unlimited Liability Company, an unlimited liability company existing under the laws of British Columbia, Canada, and DeepGreen Metals Inc., a company existing under the laws of British Columbia, Canada, or DeepGreen. In connection with the closing of the Business Combination, or the Closing, SOAC changed its name to “TMC the metals company Inc.” Our principal executive offices are located at 595 Howe Street, 10th Floor, Vancouver, British Columbia V6C 2T5, and our telephone number is (574) 252-9333. Our website address is </w:t>
      </w:r>
      <w:r>
        <w:rPr>
          <w:rFonts w:ascii="Times New Roman" w:cs="Times New Roman" w:eastAsia="Times New Roman" w:hAnsi="Times New Roman"/>
          <w:sz w:val="18"/>
          <w:szCs w:val="18"/>
          <w:i w:val="1"/>
          <w:iCs w:val="1"/>
          <w:color w:val="auto"/>
        </w:rPr>
        <w:t>www.metals.co</w:t>
      </w:r>
      <w:r>
        <w:rPr>
          <w:rFonts w:ascii="Times New Roman" w:cs="Times New Roman" w:eastAsia="Times New Roman" w:hAnsi="Times New Roman"/>
          <w:sz w:val="18"/>
          <w:szCs w:val="18"/>
          <w:color w:val="auto"/>
        </w:rPr>
        <w:t>. The information contained on, or that can be accessed through, our website is not and shall not be deemed to be part of this prospectus. We have included our website address in this prospectus solely as an inactive textual reference. Investors should not rely on any such information in deciding whether to purchase our Common Shares or other securities.</w:t>
      </w:r>
    </w:p>
    <w:p>
      <w:pPr>
        <w:spacing w:after="0" w:line="1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All service marks, trademarks and trade names appearing in this prospectus are the property of their respective owners. We do not intend our use or display of other companies’ trade names, trademarks or service marks to imply a relationship with, or endorsement or sponsorship of us by, these other companies. Solely for convenience, trademarks and tradenames referred to in this prospectus may appear without the ® or ™ symbols, but such references are not intended to indicate in any way that we will not assert, to the fullest extent under applicable law, our rights, or that the applicable owner will not assert its rights, to these trademarks and tradenames.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40"/>
          </w:cols>
          <w:pgMar w:left="680" w:top="1134" w:right="679" w:bottom="1440" w:gutter="0" w:footer="0" w:header="0"/>
        </w:sectPr>
      </w:pPr>
    </w:p>
    <w:bookmarkStart w:id="5" w:name="page6"/>
    <w:bookmarkEnd w:id="5"/>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Common Shares</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Common Shares to be issued upon exercise of all Private Placement Warrants and Public Warrants</w:t>
      </w:r>
    </w:p>
    <w:p>
      <w:pPr>
        <w:spacing w:after="0" w:line="114"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Common Shares outstanding prior to exercise of all Warrants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-3133090</wp:posOffset>
            </wp:positionH>
            <wp:positionV relativeFrom="paragraph">
              <wp:posOffset>-264160</wp:posOffset>
            </wp:positionV>
            <wp:extent cx="7136130" cy="68103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6810375"/>
                    </a:xfrm>
                    <a:prstGeom prst="rect">
                      <a:avLst/>
                    </a:prstGeom>
                    <a:noFill/>
                  </pic:spPr>
                </pic:pic>
              </a:graphicData>
            </a:graphic>
          </wp:anchor>
        </w:drawing>
      </w: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TMC the metals company Inc.</w:t>
      </w:r>
    </w:p>
    <w:p>
      <w:pPr>
        <w:spacing w:after="0" w:line="200" w:lineRule="exact"/>
        <w:rPr>
          <w:sz w:val="20"/>
          <w:szCs w:val="20"/>
          <w:color w:val="auto"/>
        </w:rPr>
      </w:pPr>
    </w:p>
    <w:p>
      <w:pPr>
        <w:spacing w:after="0" w:line="3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24,500,000 shares</w:t>
      </w: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266,812,131 shares</w:t>
      </w:r>
      <w:r>
        <w:rPr>
          <w:rFonts w:ascii="Times New Roman" w:cs="Times New Roman" w:eastAsia="Times New Roman" w:hAnsi="Times New Roman"/>
          <w:sz w:val="29"/>
          <w:szCs w:val="29"/>
          <w:color w:val="auto"/>
          <w:vertAlign w:val="superscript"/>
        </w:rPr>
        <w:t>(1)</w:t>
      </w:r>
    </w:p>
    <w:p>
      <w:pPr>
        <w:spacing w:after="0" w:line="270" w:lineRule="exact"/>
        <w:rPr>
          <w:sz w:val="20"/>
          <w:szCs w:val="20"/>
          <w:color w:val="auto"/>
        </w:rPr>
      </w:pPr>
    </w:p>
    <w:p>
      <w:pPr>
        <w:ind w:left="40" w:right="320"/>
        <w:spacing w:after="0" w:line="266" w:lineRule="auto"/>
        <w:rPr>
          <w:sz w:val="20"/>
          <w:szCs w:val="20"/>
          <w:color w:val="auto"/>
        </w:rPr>
      </w:pPr>
      <w:r>
        <w:rPr>
          <w:rFonts w:ascii="Times New Roman" w:cs="Times New Roman" w:eastAsia="Times New Roman" w:hAnsi="Times New Roman"/>
          <w:sz w:val="18"/>
          <w:szCs w:val="18"/>
          <w:color w:val="auto"/>
        </w:rPr>
        <w:t>We will receive up to an aggregate of approximately $281,750,000 from the exercise of all 24,500,000 Warrants, assuming the exercise in full of such Warrants for cash.</w:t>
      </w:r>
    </w:p>
    <w:p>
      <w:pPr>
        <w:spacing w:after="0" w:line="176" w:lineRule="exact"/>
        <w:rPr>
          <w:sz w:val="20"/>
          <w:szCs w:val="20"/>
          <w:color w:val="auto"/>
        </w:rPr>
      </w:pPr>
    </w:p>
    <w:p>
      <w:pPr>
        <w:ind w:left="40"/>
        <w:spacing w:after="0" w:line="266" w:lineRule="auto"/>
        <w:rPr>
          <w:sz w:val="20"/>
          <w:szCs w:val="20"/>
          <w:color w:val="auto"/>
        </w:rPr>
      </w:pPr>
      <w:r>
        <w:rPr>
          <w:rFonts w:ascii="Times New Roman" w:cs="Times New Roman" w:eastAsia="Times New Roman" w:hAnsi="Times New Roman"/>
          <w:sz w:val="18"/>
          <w:szCs w:val="18"/>
          <w:color w:val="auto"/>
        </w:rPr>
        <w:t>Unless we inform you otherwise in a prospectus supplement or free writing prospectus, we intend to use the net proceeds from the exercise of such warrants for general corporate purposes.</w:t>
      </w:r>
    </w:p>
    <w:p>
      <w:pPr>
        <w:spacing w:after="0" w:line="200" w:lineRule="exact"/>
        <w:rPr>
          <w:sz w:val="20"/>
          <w:szCs w:val="20"/>
          <w:color w:val="auto"/>
        </w:rPr>
      </w:pPr>
    </w:p>
    <w:p>
      <w:pPr>
        <w:sectPr>
          <w:pgSz w:w="11900" w:h="16838" w:orient="portrait"/>
          <w:cols w:equalWidth="0" w:num="2">
            <w:col w:w="4340" w:space="160"/>
            <w:col w:w="5820"/>
          </w:cols>
          <w:pgMar w:left="760" w:top="914" w:right="819" w:bottom="1440" w:gutter="0" w:footer="0" w:header="0"/>
        </w:sectPr>
      </w:pPr>
    </w:p>
    <w:p>
      <w:pPr>
        <w:spacing w:after="0" w:line="147" w:lineRule="exact"/>
        <w:rPr>
          <w:sz w:val="20"/>
          <w:szCs w:val="20"/>
          <w:color w:val="auto"/>
        </w:rPr>
      </w:pPr>
    </w:p>
    <w:p>
      <w:pPr>
        <w:spacing w:after="0"/>
        <w:tabs>
          <w:tab w:leader="none" w:pos="4520" w:val="left"/>
        </w:tabs>
        <w:rPr>
          <w:sz w:val="20"/>
          <w:szCs w:val="20"/>
          <w:color w:val="auto"/>
        </w:rPr>
      </w:pPr>
      <w:r>
        <w:rPr>
          <w:rFonts w:ascii="Times New Roman" w:cs="Times New Roman" w:eastAsia="Times New Roman" w:hAnsi="Times New Roman"/>
          <w:sz w:val="18"/>
          <w:szCs w:val="18"/>
          <w:b w:val="1"/>
          <w:bCs w:val="1"/>
          <w:color w:val="auto"/>
        </w:rPr>
        <w:t>Resale of Common Shares and Warrants</w:t>
      </w:r>
      <w:r>
        <w:rPr>
          <w:sz w:val="20"/>
          <w:szCs w:val="20"/>
          <w:color w:val="auto"/>
        </w:rPr>
        <w:tab/>
      </w:r>
      <w:r>
        <w:rPr>
          <w:rFonts w:ascii="Times New Roman" w:cs="Times New Roman" w:eastAsia="Times New Roman" w:hAnsi="Times New Roman"/>
          <w:sz w:val="17"/>
          <w:szCs w:val="17"/>
          <w:color w:val="auto"/>
        </w:rPr>
        <w:t>248,779,861 Common Shares</w:t>
      </w:r>
    </w:p>
    <w:p>
      <w:pPr>
        <w:sectPr>
          <w:pgSz w:w="11900" w:h="16838" w:orient="portrait"/>
          <w:cols w:equalWidth="0" w:num="1">
            <w:col w:w="10320"/>
          </w:cols>
          <w:pgMar w:left="760" w:top="914" w:right="819" w:bottom="1440" w:gutter="0" w:footer="0" w:header="0"/>
          <w:type w:val="continuous"/>
        </w:sectPr>
      </w:pP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Common Shares offered by the Selling Securityholders (representing the Founder Shares, Common Shares that may be issued upon exercise of the Private Placement Warrants, Common Shares issued in the PIPE Financing, Common Shares issued or issuable to certain shareholders of DeepGreen pursuant to the Business Combination Agreement, including Common Shares that may be issued upon the conversion of DeepGreen Earnout Shares, Common Shares issuable upon the conversion of Sponsor Earnout Shares and Common Shares issued to certain service providers to DeepGreen)</w:t>
      </w:r>
    </w:p>
    <w:p>
      <w:pPr>
        <w:spacing w:after="0" w:line="363" w:lineRule="exact"/>
        <w:rPr>
          <w:sz w:val="20"/>
          <w:szCs w:val="20"/>
          <w:color w:val="auto"/>
        </w:rPr>
      </w:pPr>
    </w:p>
    <w:p>
      <w:pPr>
        <w:ind w:right="660"/>
        <w:spacing w:after="0" w:line="317" w:lineRule="auto"/>
        <w:rPr>
          <w:sz w:val="20"/>
          <w:szCs w:val="20"/>
          <w:color w:val="auto"/>
        </w:rPr>
      </w:pPr>
      <w:r>
        <w:rPr>
          <w:rFonts w:ascii="Times New Roman" w:cs="Times New Roman" w:eastAsia="Times New Roman" w:hAnsi="Times New Roman"/>
          <w:sz w:val="17"/>
          <w:szCs w:val="17"/>
          <w:b w:val="1"/>
          <w:bCs w:val="1"/>
          <w:color w:val="auto"/>
        </w:rPr>
        <w:t>Warrants offered by the Selling Securityholders (representing the Private Placement Warrants)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price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9,500,000 Private Placement Warrants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$11.50 per share, subject to adjustment as described herein</w:t>
      </w:r>
    </w:p>
    <w:p>
      <w:pPr>
        <w:spacing w:after="0" w:line="183"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8"/>
          <w:szCs w:val="18"/>
          <w:color w:val="auto"/>
        </w:rPr>
        <w:t>The Warrants are redeemable in certain circumstances. See “</w:t>
      </w:r>
      <w:r>
        <w:rPr>
          <w:rFonts w:ascii="Times New Roman" w:cs="Times New Roman" w:eastAsia="Times New Roman" w:hAnsi="Times New Roman"/>
          <w:sz w:val="18"/>
          <w:szCs w:val="18"/>
          <w:i w:val="1"/>
          <w:iCs w:val="1"/>
          <w:color w:val="auto"/>
        </w:rPr>
        <w:t>Description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 — Warrants</w:t>
      </w:r>
      <w:r>
        <w:rPr>
          <w:rFonts w:ascii="Times New Roman" w:cs="Times New Roman" w:eastAsia="Times New Roman" w:hAnsi="Times New Roman"/>
          <w:sz w:val="18"/>
          <w:szCs w:val="18"/>
          <w:color w:val="auto"/>
        </w:rPr>
        <w:t>” for further discussion.</w:t>
      </w:r>
    </w:p>
    <w:p>
      <w:pPr>
        <w:spacing w:after="0" w:line="12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will not receive any proceeds from the sale of the Common Shares and Warrants to be offered by the Selling Securityholders. With respect to Common Shares underlying the Warrants, we will not receive any proceeds from such shares except with respect to amounts received by us upon exercise of such Warrants to the extent such Warrants are exercised for cash.</w:t>
      </w:r>
    </w:p>
    <w:p>
      <w:pPr>
        <w:spacing w:after="0" w:line="200" w:lineRule="exact"/>
        <w:rPr>
          <w:sz w:val="20"/>
          <w:szCs w:val="20"/>
          <w:color w:val="auto"/>
        </w:rPr>
      </w:pPr>
    </w:p>
    <w:p>
      <w:pPr>
        <w:sectPr>
          <w:pgSz w:w="11900" w:h="16838" w:orient="portrait"/>
          <w:cols w:equalWidth="0" w:num="2">
            <w:col w:w="4340" w:space="200"/>
            <w:col w:w="5780"/>
          </w:cols>
          <w:pgMar w:left="760" w:top="914" w:right="819" w:bottom="144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31750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320"/>
          </w:cols>
          <w:pgMar w:left="760" w:top="914" w:right="819" w:bottom="1440" w:gutter="0" w:footer="0" w:header="0"/>
          <w:type w:val="continuous"/>
        </w:sectPr>
      </w:pPr>
    </w:p>
    <w:bookmarkStart w:id="6" w:name="page7"/>
    <w:bookmarkEnd w:id="6"/>
    <w:p>
      <w:pPr>
        <w:ind w:left="90"/>
        <w:spacing w:after="0"/>
        <w:rPr>
          <w:sz w:val="20"/>
          <w:szCs w:val="20"/>
          <w:color w:val="auto"/>
        </w:rPr>
      </w:pPr>
      <w:r>
        <w:rPr>
          <w:rFonts w:ascii="Times New Roman" w:cs="Times New Roman" w:eastAsia="Times New Roman" w:hAnsi="Times New Roman"/>
          <w:sz w:val="18"/>
          <w:szCs w:val="18"/>
          <w:b w:val="1"/>
          <w:bCs w:val="1"/>
          <w:color w:val="auto"/>
        </w:rPr>
        <w:t>Ticker symbols</w:t>
      </w:r>
    </w:p>
    <w:p>
      <w:pPr>
        <w:spacing w:after="0" w:line="20" w:lineRule="exact"/>
        <w:rPr>
          <w:sz w:val="20"/>
          <w:szCs w:val="20"/>
          <w:color w:val="auto"/>
        </w:rPr>
      </w:pPr>
      <w:r>
        <w:rPr>
          <w:sz w:val="20"/>
          <w:szCs w:val="20"/>
          <w:color w:val="auto"/>
        </w:rPr>
        <w:br w:type="column"/>
      </w:r>
    </w:p>
    <w:p>
      <w:pPr>
        <w:ind w:right="680"/>
        <w:spacing w:after="0" w:line="282" w:lineRule="auto"/>
        <w:rPr>
          <w:sz w:val="20"/>
          <w:szCs w:val="20"/>
          <w:color w:val="auto"/>
        </w:rPr>
      </w:pPr>
      <w:r>
        <w:rPr>
          <w:rFonts w:ascii="Times New Roman" w:cs="Times New Roman" w:eastAsia="Times New Roman" w:hAnsi="Times New Roman"/>
          <w:sz w:val="18"/>
          <w:szCs w:val="18"/>
          <w:color w:val="auto"/>
        </w:rPr>
        <w:t>“TMC” and “TMCWW” for the Common Shares and Public Warrants,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-3158490</wp:posOffset>
            </wp:positionH>
            <wp:positionV relativeFrom="paragraph">
              <wp:posOffset>-461645</wp:posOffset>
            </wp:positionV>
            <wp:extent cx="7136130" cy="11188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1118870"/>
                    </a:xfrm>
                    <a:prstGeom prst="rect">
                      <a:avLst/>
                    </a:prstGeom>
                    <a:noFill/>
                  </pic:spPr>
                </pic:pic>
              </a:graphicData>
            </a:graphic>
          </wp:anchor>
        </w:drawing>
      </w:r>
    </w:p>
    <w:p>
      <w:pPr>
        <w:spacing w:after="0" w:line="121" w:lineRule="exact"/>
        <w:rPr>
          <w:sz w:val="20"/>
          <w:szCs w:val="20"/>
          <w:color w:val="auto"/>
        </w:rPr>
      </w:pPr>
    </w:p>
    <w:p>
      <w:pPr>
        <w:sectPr>
          <w:pgSz w:w="11900" w:h="16838" w:orient="portrait"/>
          <w:cols w:equalWidth="0" w:num="2">
            <w:col w:w="3910" w:space="720"/>
            <w:col w:w="5780"/>
          </w:cols>
          <w:pgMar w:left="670" w:top="1184" w:right="819" w:bottom="1440" w:gutter="0" w:footer="0" w:header="0"/>
        </w:sectPr>
      </w:pPr>
    </w:p>
    <w:p>
      <w:pPr>
        <w:ind w:left="330" w:hanging="330"/>
        <w:spacing w:after="0" w:line="266" w:lineRule="auto"/>
        <w:tabs>
          <w:tab w:leader="none" w:pos="33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number of Common Shares outstanding as of January 31, 2023. The number of issued and outstanding Common Shares does not include the Common Shares reserved for issuance under the TMC Incentive Equity Plan or the TMC 2021 Employee Stock Purchase Plan, or reserved for issuance upon conversion of the Special Shares (as defined below).</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2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410"/>
          </w:cols>
          <w:pgMar w:left="670" w:top="1184" w:right="819" w:bottom="1440" w:gutter="0" w:footer="0" w:header="0"/>
          <w:type w:val="continuous"/>
        </w:sectPr>
      </w:pPr>
    </w:p>
    <w:bookmarkStart w:id="7" w:name="page8"/>
    <w:bookmarkEnd w:id="7"/>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You should carefully consider the risks and uncertainties and all other information, documents or reports included or incorporated by reference in this prospectus and, if applicable, any prospectus supplement or other offering materials, including the risks and uncertainties discussed under “Risk Factors” in our most recent Annual Report on Form 10-K filed with the SEC, which are incorporated by reference in this prospectus, and any updates to those risk factors included from time to time in our periodic and current reports filed with the SEC and incorporated by reference in this prospectus. Our business, financial condition or results of operations could be harmed by any of these risks. As a result, you could lose some or all of your investment in our securities. Additional risks not currently known to us or other factors not perceived by us to present significant risks to our business at this time also may impair our business operations.</w:t>
      </w:r>
    </w:p>
    <w:p>
      <w:pPr>
        <w:spacing w:after="0" w:line="200" w:lineRule="exact"/>
        <w:rPr>
          <w:sz w:val="20"/>
          <w:szCs w:val="20"/>
          <w:color w:val="auto"/>
        </w:rPr>
      </w:pPr>
    </w:p>
    <w:p>
      <w:pPr>
        <w:spacing w:after="0" w:line="2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900" w:right="459" w:bottom="1440" w:gutter="0" w:footer="0" w:header="0"/>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include forward-looking statements within the meaning of Section 27A of the Securities Act of 1933, as amended, or the Securities Act, and Section 21E of the Securities Exchange Act of 1934, as amended, or the Exchange Act,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“may,” “plan,” “potential,” “predict,” “project,” “targets,” “likely,” “will,” “would,” “could,” “should,” “continue,” and similar expressions or phrases, or the negative of those expressions or phrases, are intended to identify forward-looking statements, although not all forward-looking statements contain these identifying words. Although we believe that we have a reasonable basis for each forward-looking statement contained in this prospectus and incorporated by reference in this prospectus,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The sections in our periodic reports, including our most recent Annual Report on Form 10-K, as revised or supplemented by our subsequent Quarterly Reports on Form 10-Q or our Current Reports on Form 8-K, entitled “Business,” “Risk Factors,” and “Management’s Discussion and Analysis of Financial Condition and Results of Operations,” as well as other sections in this prospectus and the other documents or reports incorporated by reference in this prospectus, discuss some of the factors that could contribute to these differences. These forward-looking statements include, among other things, statements about:</w:t>
      </w:r>
    </w:p>
    <w:p>
      <w:pPr>
        <w:spacing w:after="0" w:line="196"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the net proceeds from this offering;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and technical feasibility of seafloor polymetallic nodule collection and processing;</w:t>
      </w:r>
    </w:p>
    <w:p>
      <w:pPr>
        <w:spacing w:after="0" w:line="225" w:lineRule="exact"/>
        <w:rPr>
          <w:rFonts w:ascii="Times New Roman" w:cs="Times New Roman" w:eastAsia="Times New Roman" w:hAnsi="Times New Roman"/>
          <w:sz w:val="18"/>
          <w:szCs w:val="18"/>
          <w:color w:val="auto"/>
        </w:rPr>
      </w:pPr>
    </w:p>
    <w:p>
      <w:pPr>
        <w:ind w:left="660" w:right="12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partners’ development and operational plans, including with respect to the planned uses of polymetallic nodules, where and how nodules will be obtained and processed, the expected environmental, social and governance impacts thereof and our plans to assess these impacts and the timing and scope of these plans, including the timing and expectations with respect to our receipt of exploitation contracts and our commercialization plans;</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and demand for battery metals and battery cathode feedstocks, copper cathode and manganese ores;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prices of battery metals and battery cathode feedstocks, copper cathode and manganese ores;</w:t>
      </w:r>
    </w:p>
    <w:p>
      <w:pPr>
        <w:spacing w:after="0" w:line="225"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content of ISA’s final exploitation regulations that will create the legal and technical framework for exploitation of polymetallic nodules in the CCZ;</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of mineral extraction from the deep seafloor and changes in mining laws and regulations;</w:t>
      </w:r>
    </w:p>
    <w:p>
      <w:pPr>
        <w:spacing w:after="0" w:line="225"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operational, environmental, social and governance risks of developing and deploying equipment to collect polymetallic nodules at sea, and to process such nodules on land;</w:t>
      </w:r>
    </w:p>
    <w:p>
      <w:pPr>
        <w:spacing w:after="0" w:line="16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sources and timing of potential revenue as well as the timing and amount of estimated future production, costs of production, other expenses, capital expenditures and requirements for additional capital;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provided by operating activities;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activities of our partners under our key strategic relationships;</w:t>
      </w:r>
    </w:p>
    <w:p>
      <w:pPr>
        <w:spacing w:after="0" w:line="225"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cash on hand to meet our working capital and capital expenditure requirements, the need for additional financing and our ability to continue as a going concern;</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9" w:name="page10"/>
    <w:bookmarkEnd w:id="9"/>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financing in the future, the nature of such financings and our plans with respect thereto;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litigation to which we are a party;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and limitations on insurance coverage;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mitigate our material weaknesses in our internal control over financial reporting;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restatement of our financial statements;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geological, metallurgical and geotechnical studies and opinions;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mineral resource estimates;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an emerging growth company, non-reporting Canadian issuer and passive foreign investment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infrastructure risks;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key management personnel and executive officers;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market conditions beyond our control;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pandemics (including from COVID-19) on our business;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cautionary statements in this prospectus and in the documents incorporated by reference in this prospectus, particularly in the “Risk Factors” section, that we believe could cause actual results or events to differ materially from the forward-looking statements that we make. For a summary of such factors, please refer to the section entitled “Risk Factors” in this prospectus, as updated and supplemented by the discussion of risks and uncertainties under “Risk Factors” contained in any supplements to this prospectus and in our most recent Annual Report on Form 10-K, as revised or supplemented by our subsequent Quarterly Reports on Form 10-Q or our Current Reports on Form 8-K, as well as any amendments thereto, as filed with the SEC and which are incorporated herein by reference. The information contained in this document is believed to be current as of the date of this document. We do not intend to update any of the forward-looking statements after the date of this document to conform these statements to actual results or to changes in our expectations, except as required by law.</w:t>
      </w:r>
    </w:p>
    <w:p>
      <w:pPr>
        <w:spacing w:after="0" w:line="19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All of the Common Shares and Warrants offered by the Selling Securityholders pursuant to this prospectus will be sold by the Selling Securityholders for their respective accounts. We will not receive any of the proceeds from these sales.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will receive up to an aggregate of approximately $281,750,000 from the exercise of the Warrants, assuming the exercise in full of all of the Warrants for cash. We expect to use the net proceeds from the exercise of the Warrants for general corporate purposes. We will have broad discretion over the use of proceeds from the exercise of the Warrants. There is no assurance that the holders of the Warrants will elect to exercise any or all of such Warrants. To the extent that the Warrants are exercised on a “cashless basis,” the amount of cash we would receive from the exercise of the Warrants will decrease.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This prospectus relates to the possible resale by the Selling Securityholders of up to 248,779,861 of our Common Shares and up to 9,500,000 Private Placement Warrants. The Selling Securityholders may from time to time offer and sell any or all of the Common Shares and warrants set forth below pursuant to this prospectus and any accompanying prospectus supplement. When we refer to the “Selling Securityholders” in this prospectus, we mean the persons listed in the table below, and the pledgees, donees, transferees, assignees, successors, designees and others who later come to hold any of the Selling Securityholders’ interest in the Common Shares or Private Placement Warrants other than through a public sale. We cannot advise you as to whether the Selling Securityholders will in fact sell any or all of such Common Shares or warrants. In addition, the Selling Securityholders may sell, transfer or otherwise dispose of, at any time and from time to time, the Common Shares and warrants in transactions exempt from the prospectus or registration requirements of the Securities Act or applicable Canadian securities law after the date of this prospectus. For purposes of this table, we have assumed that the Selling Securityholders will have sold all of the securities covered by this prospectus upon the completion of the offering.</w:t>
      </w:r>
    </w:p>
    <w:p>
      <w:pPr>
        <w:spacing w:after="0" w:line="18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following table is prepared based on information provided to us by the Selling Securityholders. It sets forth the name and address of each of the Selling Securityholders, the aggregate number of Common Shares and Private Placement Warrants that the Selling Securityholders may offer pursuant to this prospectus, and the beneficial ownership of the Selling Securityholders both before and after the offering. We have based the percentage ownership prior to this offering on 266,812,131 Common Shares and 9,500,000 Private Placement Warrants outstanding, in each case as of January 31, 2023. In calculating percentages of Common Shares owned by a particular Selling Securityholder, we treated as outstanding the number of Common Shares issuable upon exercise of that particular Selling Securityholder’s warrants or options, if any, and did not assume the exercise of any other Selling Securityholder’s warrants or options. The following tables do not reflect the beneficial ownership of any Common Shares issuable upon exercise of warrants, options or Special Shares unless such securities are exercisable or convertible within 60 days of January 31, 2023.</w:t>
      </w:r>
    </w:p>
    <w:p>
      <w:pPr>
        <w:spacing w:after="0" w:line="19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and the information is not necessarily indicative of beneficial ownership for any other purpose. The Common Shares issuable upon conversion of the Special Shares are not beneficially owned by any of the Selling Securityholders and are excluded from the beneficial ownership columns in the table below since the conversions of such Special Shares are subject to the Common Share trading price thresholds described herein. We have included a separate column for the Common Shares issuable upon conversion of the Special Shares. Unless otherwise indicated below, to our knowledge, the persons and entities named in the tables have sole voting and sole investment power with respect to all securities that they beneficially own, subject to community property laws where applicable.</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Selling Securityholder information for each additional Selling Securityholder, if any, will be set forth by prospectus supplement to the extent required prior to the time of any offer or sale of such Selling Securityholder’s securities pursuant to this prospectus. Any prospectus supplement may add, update, substitute, or change the information contained in this prospectus, including the identity of each Selling Securityholder and the number of securities registered on its behalf. A Selling Securityholder may sell or otherwise transfer all, some or none of such securities in this offering. See “</w:t>
      </w:r>
      <w:r>
        <w:rPr>
          <w:rFonts w:ascii="Times New Roman" w:cs="Times New Roman" w:eastAsia="Times New Roman" w:hAnsi="Times New Roman"/>
          <w:sz w:val="18"/>
          <w:szCs w:val="18"/>
          <w:i w:val="1"/>
          <w:iCs w:val="1"/>
          <w:color w:val="auto"/>
        </w:rPr>
        <w:t>Plan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Distribution</w:t>
      </w:r>
      <w:r>
        <w:rPr>
          <w:rFonts w:ascii="Times New Roman" w:cs="Times New Roman" w:eastAsia="Times New Roman" w:hAnsi="Times New Roman"/>
          <w:sz w:val="18"/>
          <w:szCs w:val="18"/>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4"/>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Private Placement</w:t>
            </w: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1660" w:type="dxa"/>
            <w:vAlign w:val="bottom"/>
            <w:gridSpan w:val="5"/>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 Shares</w:t>
            </w:r>
          </w:p>
        </w:tc>
        <w:tc>
          <w:tcPr>
            <w:tcW w:w="1440" w:type="dxa"/>
            <w:vAlign w:val="bottom"/>
            <w:gridSpan w:val="4"/>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2"/>
              </w:rPr>
              <w:t>Warrants</w:t>
            </w: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Issuable</w:t>
            </w:r>
          </w:p>
        </w:tc>
        <w:tc>
          <w:tcPr>
            <w:tcW w:w="1640" w:type="dxa"/>
            <w:vAlign w:val="bottom"/>
            <w:gridSpan w:val="5"/>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Private Placement</w:t>
            </w:r>
          </w:p>
        </w:tc>
        <w:tc>
          <w:tcPr>
            <w:tcW w:w="9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8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Private</w:t>
            </w:r>
          </w:p>
        </w:tc>
        <w:tc>
          <w:tcPr>
            <w:tcW w:w="1660" w:type="dxa"/>
            <w:vAlign w:val="bottom"/>
            <w:gridSpan w:val="5"/>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Beneficially Owned</w:t>
            </w:r>
          </w:p>
        </w:tc>
        <w:tc>
          <w:tcPr>
            <w:tcW w:w="1440" w:type="dxa"/>
            <w:vAlign w:val="bottom"/>
            <w:gridSpan w:val="4"/>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Beneficially</w:t>
            </w: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gridSpan w:val="4"/>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Common Shares</w:t>
            </w:r>
          </w:p>
        </w:tc>
        <w:tc>
          <w:tcPr>
            <w:tcW w:w="9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Upon</w:t>
            </w:r>
          </w:p>
        </w:tc>
        <w:tc>
          <w:tcPr>
            <w:tcW w:w="1640" w:type="dxa"/>
            <w:vAlign w:val="bottom"/>
            <w:gridSpan w:val="5"/>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Warrants Beneficially</w:t>
            </w:r>
          </w:p>
        </w:tc>
        <w:tc>
          <w:tcPr>
            <w:tcW w:w="9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8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Placement</w:t>
            </w:r>
          </w:p>
        </w:tc>
        <w:tc>
          <w:tcPr>
            <w:tcW w:w="1660" w:type="dxa"/>
            <w:vAlign w:val="bottom"/>
            <w:gridSpan w:val="5"/>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After the Offered</w:t>
            </w:r>
          </w:p>
        </w:tc>
        <w:tc>
          <w:tcPr>
            <w:tcW w:w="1440" w:type="dxa"/>
            <w:vAlign w:val="bottom"/>
            <w:gridSpan w:val="4"/>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Owned After the</w:t>
            </w: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gridSpan w:val="4"/>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Beneficially Owned</w:t>
            </w:r>
          </w:p>
        </w:tc>
        <w:tc>
          <w:tcPr>
            <w:tcW w:w="9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Conversion</w:t>
            </w:r>
          </w:p>
        </w:tc>
        <w:tc>
          <w:tcPr>
            <w:tcW w:w="1640" w:type="dxa"/>
            <w:vAlign w:val="bottom"/>
            <w:gridSpan w:val="5"/>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Owned prior to this</w:t>
            </w:r>
          </w:p>
        </w:tc>
        <w:tc>
          <w:tcPr>
            <w:tcW w:w="9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8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Warrants</w:t>
            </w:r>
          </w:p>
        </w:tc>
        <w:tc>
          <w:tcPr>
            <w:tcW w:w="1660" w:type="dxa"/>
            <w:vAlign w:val="bottom"/>
            <w:gridSpan w:val="5"/>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 Shares</w:t>
            </w:r>
          </w:p>
        </w:tc>
        <w:tc>
          <w:tcPr>
            <w:tcW w:w="1440" w:type="dxa"/>
            <w:vAlign w:val="bottom"/>
            <w:gridSpan w:val="4"/>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Offered Warrants</w:t>
            </w:r>
          </w:p>
        </w:tc>
        <w:tc>
          <w:tcPr>
            <w:tcW w:w="0" w:type="dxa"/>
            <w:vAlign w:val="bottom"/>
          </w:tcPr>
          <w:p>
            <w:pPr>
              <w:spacing w:after="0"/>
              <w:rPr>
                <w:sz w:val="1"/>
                <w:szCs w:val="1"/>
                <w:color w:val="auto"/>
              </w:rPr>
            </w:pPr>
          </w:p>
        </w:tc>
      </w:tr>
      <w:tr>
        <w:trPr>
          <w:trHeight w:val="155"/>
        </w:trPr>
        <w:tc>
          <w:tcPr>
            <w:tcW w:w="1920" w:type="dxa"/>
            <w:vAlign w:val="bottom"/>
            <w:vMerge w:val="restart"/>
          </w:tcPr>
          <w:p>
            <w:pPr>
              <w:ind w:left="280"/>
              <w:spacing w:after="0"/>
              <w:rPr>
                <w:sz w:val="20"/>
                <w:szCs w:val="20"/>
                <w:color w:val="auto"/>
              </w:rPr>
            </w:pPr>
            <w:r>
              <w:rPr>
                <w:rFonts w:ascii="Times New Roman" w:cs="Times New Roman" w:eastAsia="Times New Roman" w:hAnsi="Times New Roman"/>
                <w:sz w:val="13"/>
                <w:szCs w:val="13"/>
                <w:b w:val="1"/>
                <w:bCs w:val="1"/>
                <w:color w:val="auto"/>
              </w:rPr>
              <w:t>Selling Securityholders</w:t>
            </w:r>
            <w:r>
              <w:rPr>
                <w:rFonts w:ascii="Times New Roman" w:cs="Times New Roman" w:eastAsia="Times New Roman" w:hAnsi="Times New Roman"/>
                <w:sz w:val="20"/>
                <w:szCs w:val="20"/>
                <w:color w:val="auto"/>
                <w:vertAlign w:val="superscript"/>
              </w:rPr>
              <w:t>(1)</w:t>
            </w:r>
          </w:p>
        </w:tc>
        <w:tc>
          <w:tcPr>
            <w:tcW w:w="120" w:type="dxa"/>
            <w:vAlign w:val="bottom"/>
            <w:vMerge w:val="restart"/>
          </w:tcPr>
          <w:p>
            <w:pPr>
              <w:spacing w:after="0"/>
              <w:rPr>
                <w:sz w:val="13"/>
                <w:szCs w:val="13"/>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Prior to this Offering</w:t>
            </w:r>
          </w:p>
        </w:tc>
        <w:tc>
          <w:tcPr>
            <w:tcW w:w="24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of Special</w:t>
            </w:r>
          </w:p>
        </w:tc>
        <w:tc>
          <w:tcPr>
            <w:tcW w:w="940" w:type="dxa"/>
            <w:vAlign w:val="bottom"/>
            <w:tcBorders>
              <w:bottom w:val="single" w:sz="8" w:color="auto"/>
            </w:tcBorders>
            <w:gridSpan w:val="3"/>
          </w:tcPr>
          <w:p>
            <w:pPr>
              <w:jc w:val="center"/>
              <w:ind w:left="417"/>
              <w:spacing w:after="0"/>
              <w:rPr>
                <w:sz w:val="20"/>
                <w:szCs w:val="20"/>
                <w:color w:val="auto"/>
              </w:rPr>
            </w:pPr>
            <w:r>
              <w:rPr>
                <w:rFonts w:ascii="Times New Roman" w:cs="Times New Roman" w:eastAsia="Times New Roman" w:hAnsi="Times New Roman"/>
                <w:sz w:val="13"/>
                <w:szCs w:val="13"/>
                <w:b w:val="1"/>
                <w:bCs w:val="1"/>
                <w:color w:val="auto"/>
                <w:w w:val="96"/>
              </w:rPr>
              <w:t>Offering</w:t>
            </w:r>
          </w:p>
        </w:tc>
        <w:tc>
          <w:tcPr>
            <w:tcW w:w="4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Being</w:t>
            </w: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Being</w:t>
            </w:r>
          </w:p>
        </w:tc>
        <w:tc>
          <w:tcPr>
            <w:tcW w:w="960" w:type="dxa"/>
            <w:vAlign w:val="bottom"/>
            <w:tcBorders>
              <w:bottom w:val="single" w:sz="8" w:color="auto"/>
            </w:tcBorders>
            <w:gridSpan w:val="3"/>
          </w:tcPr>
          <w:p>
            <w:pPr>
              <w:jc w:val="center"/>
              <w:ind w:left="437"/>
              <w:spacing w:after="0"/>
              <w:rPr>
                <w:sz w:val="20"/>
                <w:szCs w:val="20"/>
                <w:color w:val="auto"/>
              </w:rPr>
            </w:pPr>
            <w:r>
              <w:rPr>
                <w:rFonts w:ascii="Times New Roman" w:cs="Times New Roman" w:eastAsia="Times New Roman" w:hAnsi="Times New Roman"/>
                <w:sz w:val="13"/>
                <w:szCs w:val="13"/>
                <w:b w:val="1"/>
                <w:bCs w:val="1"/>
                <w:color w:val="auto"/>
              </w:rPr>
              <w:t>are Sold</w:t>
            </w:r>
          </w:p>
        </w:tc>
        <w:tc>
          <w:tcPr>
            <w:tcW w:w="5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are Sold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92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7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Percent</w:t>
            </w:r>
          </w:p>
        </w:tc>
        <w:tc>
          <w:tcPr>
            <w:tcW w:w="24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24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22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Percent</w:t>
            </w:r>
          </w:p>
        </w:tc>
        <w:tc>
          <w:tcPr>
            <w:tcW w:w="22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Offered</w:t>
            </w:r>
          </w:p>
        </w:tc>
        <w:tc>
          <w:tcPr>
            <w:tcW w:w="22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Offered</w:t>
            </w:r>
          </w:p>
        </w:tc>
        <w:tc>
          <w:tcPr>
            <w:tcW w:w="2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3"/>
              </w:rPr>
              <w:t>Percent</w:t>
            </w:r>
          </w:p>
        </w:tc>
        <w:tc>
          <w:tcPr>
            <w:tcW w:w="2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w w:val="95"/>
              </w:rPr>
              <w:t>Warrants</w:t>
            </w:r>
          </w:p>
        </w:tc>
        <w:tc>
          <w:tcPr>
            <w:tcW w:w="22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Percent</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92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2"/>
                <w:szCs w:val="12"/>
                <w:color w:val="auto"/>
              </w:rPr>
              <w:t>Gerard Barron</w:t>
            </w:r>
            <w:r>
              <w:rPr>
                <w:rFonts w:ascii="Times New Roman" w:cs="Times New Roman" w:eastAsia="Times New Roman" w:hAnsi="Times New Roman"/>
                <w:sz w:val="19"/>
                <w:szCs w:val="19"/>
                <w:color w:val="auto"/>
                <w:vertAlign w:val="superscript"/>
              </w:rPr>
              <w:t>(2)</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19,019,700</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7.0%</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8,370,973</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89,394</w:t>
            </w: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22,717,557</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89,394</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4,762,510</w:t>
            </w: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1.8%</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tcPr>
          <w:p>
            <w:pPr>
              <w:spacing w:after="0" w:line="176" w:lineRule="exact"/>
              <w:rPr>
                <w:sz w:val="20"/>
                <w:szCs w:val="20"/>
                <w:color w:val="auto"/>
              </w:rPr>
            </w:pPr>
            <w:r>
              <w:rPr>
                <w:rFonts w:ascii="Times New Roman" w:cs="Times New Roman" w:eastAsia="Times New Roman" w:hAnsi="Times New Roman"/>
                <w:sz w:val="13"/>
                <w:szCs w:val="13"/>
                <w:color w:val="auto"/>
              </w:rPr>
              <w:t>Andrei Karkar</w:t>
            </w:r>
            <w:r>
              <w:rPr>
                <w:rFonts w:ascii="Times New Roman" w:cs="Times New Roman" w:eastAsia="Times New Roman" w:hAnsi="Times New Roman"/>
                <w:sz w:val="20"/>
                <w:szCs w:val="20"/>
                <w:color w:val="auto"/>
                <w:vertAlign w:val="superscript"/>
              </w:rPr>
              <w:t>(3)</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52,601,266</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19.7%</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23,341,299</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1,414,716</w:t>
            </w:r>
          </w:p>
        </w:tc>
        <w:tc>
          <w:tcPr>
            <w:tcW w:w="6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14.9%</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65,126,881</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1,414,716</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12,230,400</w:t>
            </w:r>
          </w:p>
        </w:tc>
        <w:tc>
          <w:tcPr>
            <w:tcW w:w="6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4.6%</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3"/>
                <w:szCs w:val="13"/>
                <w:color w:val="auto"/>
              </w:rPr>
              <w:t>Paul Matysek</w:t>
            </w:r>
            <w:r>
              <w:rPr>
                <w:rFonts w:ascii="Times New Roman" w:cs="Times New Roman" w:eastAsia="Times New Roman" w:hAnsi="Times New Roman"/>
                <w:sz w:val="20"/>
                <w:szCs w:val="20"/>
                <w:color w:val="auto"/>
                <w:vertAlign w:val="superscript"/>
              </w:rPr>
              <w:t>(4)</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2,425,858</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720,326</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1,943,083</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584,720</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tcPr>
          <w:p>
            <w:pPr>
              <w:spacing w:after="0" w:line="176" w:lineRule="exact"/>
              <w:rPr>
                <w:sz w:val="20"/>
                <w:szCs w:val="20"/>
                <w:color w:val="auto"/>
              </w:rPr>
            </w:pPr>
            <w:r>
              <w:rPr>
                <w:rFonts w:ascii="Times New Roman" w:cs="Times New Roman" w:eastAsia="Times New Roman" w:hAnsi="Times New Roman"/>
                <w:sz w:val="13"/>
                <w:szCs w:val="13"/>
                <w:color w:val="auto"/>
              </w:rPr>
              <w:t>Brian Paes-Braga</w:t>
            </w:r>
            <w:r>
              <w:rPr>
                <w:rFonts w:ascii="Times New Roman" w:cs="Times New Roman" w:eastAsia="Times New Roman" w:hAnsi="Times New Roman"/>
                <w:sz w:val="20"/>
                <w:szCs w:val="20"/>
                <w:color w:val="auto"/>
                <w:vertAlign w:val="superscript"/>
              </w:rPr>
              <w:t>(5)</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4,699,324</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1.8%</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341,044</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919,975</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1,562,500</w:t>
            </w:r>
          </w:p>
        </w:tc>
        <w:tc>
          <w:tcPr>
            <w:tcW w:w="6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3"/>
                <w:szCs w:val="13"/>
                <w:color w:val="auto"/>
              </w:rPr>
              <w:t>Dr. Gregory Stone</w:t>
            </w:r>
            <w:r>
              <w:rPr>
                <w:rFonts w:ascii="Times New Roman" w:cs="Times New Roman" w:eastAsia="Times New Roman" w:hAnsi="Times New Roman"/>
                <w:sz w:val="20"/>
                <w:szCs w:val="20"/>
                <w:color w:val="auto"/>
                <w:vertAlign w:val="superscript"/>
              </w:rPr>
              <w:t>(6)</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1,485,599</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19,482</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52,558</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1,452,523</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2040" w:type="dxa"/>
            <w:vAlign w:val="bottom"/>
            <w:gridSpan w:val="2"/>
          </w:tcPr>
          <w:p>
            <w:pPr>
              <w:spacing w:after="0" w:line="176" w:lineRule="exact"/>
              <w:rPr>
                <w:sz w:val="20"/>
                <w:szCs w:val="20"/>
                <w:color w:val="auto"/>
              </w:rPr>
            </w:pPr>
            <w:r>
              <w:rPr>
                <w:rFonts w:ascii="Times New Roman" w:cs="Times New Roman" w:eastAsia="Times New Roman" w:hAnsi="Times New Roman"/>
                <w:sz w:val="13"/>
                <w:szCs w:val="13"/>
                <w:color w:val="auto"/>
              </w:rPr>
              <w:t>Erika Ilves</w:t>
            </w:r>
            <w:r>
              <w:rPr>
                <w:rFonts w:ascii="Times New Roman" w:cs="Times New Roman" w:eastAsia="Times New Roman" w:hAnsi="Times New Roman"/>
                <w:sz w:val="20"/>
                <w:szCs w:val="20"/>
                <w:color w:val="auto"/>
                <w:vertAlign w:val="superscript"/>
              </w:rPr>
              <w:t>(7)</w:t>
            </w:r>
            <w:r>
              <w:rPr>
                <w:rFonts w:ascii="Times New Roman" w:cs="Times New Roman" w:eastAsia="Times New Roman" w:hAnsi="Times New Roman"/>
                <w:sz w:val="13"/>
                <w:szCs w:val="13"/>
                <w:color w:val="auto"/>
              </w:rPr>
              <w:t>f</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1,772,282</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127,890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344,989</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1,524,501</w:t>
            </w:r>
          </w:p>
        </w:tc>
        <w:tc>
          <w:tcPr>
            <w:tcW w:w="6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3"/>
                <w:szCs w:val="13"/>
                <w:color w:val="auto"/>
              </w:rPr>
              <w:t>Craig Shesky</w:t>
            </w:r>
            <w:r>
              <w:rPr>
                <w:rFonts w:ascii="Times New Roman" w:cs="Times New Roman" w:eastAsia="Times New Roman" w:hAnsi="Times New Roman"/>
                <w:sz w:val="20"/>
                <w:szCs w:val="20"/>
                <w:color w:val="auto"/>
                <w:vertAlign w:val="superscript"/>
              </w:rPr>
              <w:t>(8)</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770,498</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181,887</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490,649</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461,736</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tcPr>
          <w:p>
            <w:pPr>
              <w:spacing w:after="0" w:line="176" w:lineRule="exact"/>
              <w:rPr>
                <w:sz w:val="20"/>
                <w:szCs w:val="20"/>
                <w:color w:val="auto"/>
              </w:rPr>
            </w:pPr>
            <w:r>
              <w:rPr>
                <w:rFonts w:ascii="Times New Roman" w:cs="Times New Roman" w:eastAsia="Times New Roman" w:hAnsi="Times New Roman"/>
                <w:sz w:val="13"/>
                <w:szCs w:val="13"/>
                <w:color w:val="auto"/>
              </w:rPr>
              <w:t>Maersk Supply Service A/S</w:t>
            </w:r>
            <w:r>
              <w:rPr>
                <w:rFonts w:ascii="Times New Roman" w:cs="Times New Roman" w:eastAsia="Times New Roman" w:hAnsi="Times New Roman"/>
                <w:sz w:val="20"/>
                <w:szCs w:val="20"/>
                <w:color w:val="auto"/>
                <w:vertAlign w:val="superscript"/>
              </w:rPr>
              <w:t>(9)</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17,189,636</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6.4%</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12,265,560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29,455,196</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4"/>
        </w:trPr>
        <w:tc>
          <w:tcPr>
            <w:tcW w:w="204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auto"/>
              </w:rPr>
              <w:t>JOZEM Pty Ltd as trustee of the</w:t>
            </w:r>
          </w:p>
        </w:tc>
        <w:tc>
          <w:tcPr>
            <w:tcW w:w="7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40" w:type="dxa"/>
            <w:vAlign w:val="bottom"/>
            <w:gridSpan w:val="2"/>
            <w:shd w:val="clear" w:color="auto" w:fill="CCEEFF"/>
          </w:tcPr>
          <w:p>
            <w:pPr>
              <w:spacing w:after="0" w:line="186" w:lineRule="exact"/>
              <w:rPr>
                <w:sz w:val="20"/>
                <w:szCs w:val="20"/>
                <w:color w:val="auto"/>
              </w:rPr>
            </w:pPr>
            <w:r>
              <w:rPr>
                <w:rFonts w:ascii="Times New Roman" w:cs="Times New Roman" w:eastAsia="Times New Roman" w:hAnsi="Times New Roman"/>
                <w:sz w:val="13"/>
                <w:szCs w:val="13"/>
                <w:color w:val="auto"/>
              </w:rPr>
              <w:t>O’Sullivan Family Trust No. 1</w:t>
            </w:r>
            <w:r>
              <w:rPr>
                <w:rFonts w:ascii="Times New Roman" w:cs="Times New Roman" w:eastAsia="Times New Roman" w:hAnsi="Times New Roman"/>
                <w:sz w:val="20"/>
                <w:szCs w:val="20"/>
                <w:color w:val="auto"/>
                <w:vertAlign w:val="superscript"/>
              </w:rPr>
              <w:t>(10)</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575,110</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338,796</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913,906</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tcPr>
          <w:p>
            <w:pPr>
              <w:spacing w:after="0" w:line="176" w:lineRule="exact"/>
              <w:rPr>
                <w:sz w:val="20"/>
                <w:szCs w:val="20"/>
                <w:color w:val="auto"/>
              </w:rPr>
            </w:pPr>
            <w:r>
              <w:rPr>
                <w:rFonts w:ascii="Times New Roman" w:cs="Times New Roman" w:eastAsia="Times New Roman" w:hAnsi="Times New Roman"/>
                <w:sz w:val="13"/>
                <w:szCs w:val="13"/>
                <w:color w:val="auto"/>
              </w:rPr>
              <w:t>WTP Capital Corp.</w:t>
            </w:r>
            <w:r>
              <w:rPr>
                <w:rFonts w:ascii="Times New Roman" w:cs="Times New Roman" w:eastAsia="Times New Roman" w:hAnsi="Times New Roman"/>
                <w:sz w:val="20"/>
                <w:szCs w:val="20"/>
                <w:color w:val="auto"/>
                <w:vertAlign w:val="superscript"/>
              </w:rPr>
              <w:t>(11)</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57,893</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34,101</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91,994</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3"/>
                <w:szCs w:val="13"/>
                <w:color w:val="auto"/>
              </w:rPr>
              <w:t>Valola Holdings Corp.</w:t>
            </w:r>
            <w:r>
              <w:rPr>
                <w:rFonts w:ascii="Times New Roman" w:cs="Times New Roman" w:eastAsia="Times New Roman" w:hAnsi="Times New Roman"/>
                <w:sz w:val="20"/>
                <w:szCs w:val="20"/>
                <w:color w:val="auto"/>
                <w:vertAlign w:val="superscript"/>
              </w:rPr>
              <w:t>(12)</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2,500,000</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1,535,004</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1,535,004</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2,500,000</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78"/>
        </w:trPr>
        <w:tc>
          <w:tcPr>
            <w:tcW w:w="2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Tayla Saad</w:t>
            </w:r>
            <w:r>
              <w:rPr>
                <w:rFonts w:ascii="Times New Roman" w:cs="Times New Roman" w:eastAsia="Times New Roman" w:hAnsi="Times New Roman"/>
                <w:sz w:val="20"/>
                <w:szCs w:val="20"/>
                <w:color w:val="auto"/>
                <w:vertAlign w:val="superscript"/>
              </w:rPr>
              <w:t>(13)</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1,023,143</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4"/>
                <w:szCs w:val="24"/>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1,023,143</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49"/>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4"/>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Private Placement</w:t>
            </w: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640" w:type="dxa"/>
            <w:vAlign w:val="bottom"/>
            <w:gridSpan w:val="5"/>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Common Shares</w:t>
            </w:r>
          </w:p>
        </w:tc>
        <w:tc>
          <w:tcPr>
            <w:tcW w:w="1440" w:type="dxa"/>
            <w:vAlign w:val="bottom"/>
            <w:gridSpan w:val="4"/>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2"/>
              </w:rPr>
              <w:t>Warrants</w:t>
            </w: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Issuable</w:t>
            </w:r>
          </w:p>
        </w:tc>
        <w:tc>
          <w:tcPr>
            <w:tcW w:w="1660" w:type="dxa"/>
            <w:vAlign w:val="bottom"/>
            <w:gridSpan w:val="5"/>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Private Placement</w:t>
            </w:r>
          </w:p>
        </w:tc>
        <w:tc>
          <w:tcPr>
            <w:tcW w:w="8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8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Private</w:t>
            </w:r>
          </w:p>
        </w:tc>
        <w:tc>
          <w:tcPr>
            <w:tcW w:w="1640" w:type="dxa"/>
            <w:vAlign w:val="bottom"/>
            <w:gridSpan w:val="5"/>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Beneficially Owned</w:t>
            </w:r>
          </w:p>
        </w:tc>
        <w:tc>
          <w:tcPr>
            <w:tcW w:w="1440" w:type="dxa"/>
            <w:vAlign w:val="bottom"/>
            <w:gridSpan w:val="4"/>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Beneficially</w:t>
            </w: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gridSpan w:val="4"/>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Common Shares</w:t>
            </w:r>
          </w:p>
        </w:tc>
        <w:tc>
          <w:tcPr>
            <w:tcW w:w="9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Upon</w:t>
            </w:r>
          </w:p>
        </w:tc>
        <w:tc>
          <w:tcPr>
            <w:tcW w:w="1660" w:type="dxa"/>
            <w:vAlign w:val="bottom"/>
            <w:gridSpan w:val="5"/>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Warrants Beneficially</w:t>
            </w:r>
          </w:p>
        </w:tc>
        <w:tc>
          <w:tcPr>
            <w:tcW w:w="8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8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Placement</w:t>
            </w:r>
          </w:p>
        </w:tc>
        <w:tc>
          <w:tcPr>
            <w:tcW w:w="1640" w:type="dxa"/>
            <w:vAlign w:val="bottom"/>
            <w:gridSpan w:val="5"/>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After the Offered</w:t>
            </w:r>
          </w:p>
        </w:tc>
        <w:tc>
          <w:tcPr>
            <w:tcW w:w="1440" w:type="dxa"/>
            <w:vAlign w:val="bottom"/>
            <w:gridSpan w:val="4"/>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Owned After the</w:t>
            </w: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gridSpan w:val="4"/>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Beneficially Owned</w:t>
            </w:r>
          </w:p>
        </w:tc>
        <w:tc>
          <w:tcPr>
            <w:tcW w:w="9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Conversion</w:t>
            </w:r>
          </w:p>
        </w:tc>
        <w:tc>
          <w:tcPr>
            <w:tcW w:w="1660" w:type="dxa"/>
            <w:vAlign w:val="bottom"/>
            <w:gridSpan w:val="5"/>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Owned prior to this</w:t>
            </w:r>
          </w:p>
        </w:tc>
        <w:tc>
          <w:tcPr>
            <w:tcW w:w="8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8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Warrants</w:t>
            </w:r>
          </w:p>
        </w:tc>
        <w:tc>
          <w:tcPr>
            <w:tcW w:w="1640" w:type="dxa"/>
            <w:vAlign w:val="bottom"/>
            <w:gridSpan w:val="5"/>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Common Shares</w:t>
            </w:r>
          </w:p>
        </w:tc>
        <w:tc>
          <w:tcPr>
            <w:tcW w:w="1440" w:type="dxa"/>
            <w:vAlign w:val="bottom"/>
            <w:gridSpan w:val="4"/>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Offered Warrants</w:t>
            </w:r>
          </w:p>
        </w:tc>
        <w:tc>
          <w:tcPr>
            <w:tcW w:w="0" w:type="dxa"/>
            <w:vAlign w:val="bottom"/>
          </w:tcPr>
          <w:p>
            <w:pPr>
              <w:spacing w:after="0"/>
              <w:rPr>
                <w:sz w:val="1"/>
                <w:szCs w:val="1"/>
                <w:color w:val="auto"/>
              </w:rPr>
            </w:pPr>
          </w:p>
        </w:tc>
      </w:tr>
      <w:tr>
        <w:trPr>
          <w:trHeight w:val="155"/>
        </w:trPr>
        <w:tc>
          <w:tcPr>
            <w:tcW w:w="1920" w:type="dxa"/>
            <w:vAlign w:val="bottom"/>
            <w:vMerge w:val="restart"/>
          </w:tcPr>
          <w:p>
            <w:pPr>
              <w:ind w:left="280"/>
              <w:spacing w:after="0"/>
              <w:rPr>
                <w:sz w:val="20"/>
                <w:szCs w:val="20"/>
                <w:color w:val="auto"/>
              </w:rPr>
            </w:pPr>
            <w:r>
              <w:rPr>
                <w:rFonts w:ascii="Times New Roman" w:cs="Times New Roman" w:eastAsia="Times New Roman" w:hAnsi="Times New Roman"/>
                <w:sz w:val="13"/>
                <w:szCs w:val="13"/>
                <w:b w:val="1"/>
                <w:bCs w:val="1"/>
                <w:color w:val="auto"/>
              </w:rPr>
              <w:t>Selling Securityholders</w:t>
            </w:r>
            <w:r>
              <w:rPr>
                <w:rFonts w:ascii="Times New Roman" w:cs="Times New Roman" w:eastAsia="Times New Roman" w:hAnsi="Times New Roman"/>
                <w:sz w:val="20"/>
                <w:szCs w:val="20"/>
                <w:color w:val="auto"/>
                <w:vertAlign w:val="superscript"/>
              </w:rPr>
              <w:t>(1)</w:t>
            </w:r>
          </w:p>
        </w:tc>
        <w:tc>
          <w:tcPr>
            <w:tcW w:w="120" w:type="dxa"/>
            <w:vAlign w:val="bottom"/>
            <w:vMerge w:val="restart"/>
          </w:tcPr>
          <w:p>
            <w:pPr>
              <w:spacing w:after="0"/>
              <w:rPr>
                <w:sz w:val="13"/>
                <w:szCs w:val="13"/>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Prior to this Offering</w:t>
            </w:r>
          </w:p>
        </w:tc>
        <w:tc>
          <w:tcPr>
            <w:tcW w:w="240" w:type="dxa"/>
            <w:vAlign w:val="bottom"/>
          </w:tcPr>
          <w:p>
            <w:pPr>
              <w:spacing w:after="0"/>
              <w:rPr>
                <w:sz w:val="13"/>
                <w:szCs w:val="13"/>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of Special</w:t>
            </w:r>
          </w:p>
        </w:tc>
        <w:tc>
          <w:tcPr>
            <w:tcW w:w="960" w:type="dxa"/>
            <w:vAlign w:val="bottom"/>
            <w:tcBorders>
              <w:bottom w:val="single" w:sz="8" w:color="auto"/>
            </w:tcBorders>
            <w:gridSpan w:val="3"/>
          </w:tcPr>
          <w:p>
            <w:pPr>
              <w:jc w:val="center"/>
              <w:ind w:left="397"/>
              <w:spacing w:after="0"/>
              <w:rPr>
                <w:sz w:val="20"/>
                <w:szCs w:val="20"/>
                <w:color w:val="auto"/>
              </w:rPr>
            </w:pPr>
            <w:r>
              <w:rPr>
                <w:rFonts w:ascii="Times New Roman" w:cs="Times New Roman" w:eastAsia="Times New Roman" w:hAnsi="Times New Roman"/>
                <w:sz w:val="13"/>
                <w:szCs w:val="13"/>
                <w:b w:val="1"/>
                <w:bCs w:val="1"/>
                <w:color w:val="auto"/>
                <w:w w:val="96"/>
              </w:rPr>
              <w:t>Offering</w:t>
            </w:r>
          </w:p>
        </w:tc>
        <w:tc>
          <w:tcPr>
            <w:tcW w:w="4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Being</w:t>
            </w: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Being</w:t>
            </w:r>
          </w:p>
        </w:tc>
        <w:tc>
          <w:tcPr>
            <w:tcW w:w="940" w:type="dxa"/>
            <w:vAlign w:val="bottom"/>
            <w:tcBorders>
              <w:bottom w:val="single" w:sz="8" w:color="auto"/>
            </w:tcBorders>
            <w:gridSpan w:val="3"/>
          </w:tcPr>
          <w:p>
            <w:pPr>
              <w:jc w:val="center"/>
              <w:ind w:left="437"/>
              <w:spacing w:after="0"/>
              <w:rPr>
                <w:sz w:val="20"/>
                <w:szCs w:val="20"/>
                <w:color w:val="auto"/>
              </w:rPr>
            </w:pPr>
            <w:r>
              <w:rPr>
                <w:rFonts w:ascii="Times New Roman" w:cs="Times New Roman" w:eastAsia="Times New Roman" w:hAnsi="Times New Roman"/>
                <w:sz w:val="13"/>
                <w:szCs w:val="13"/>
                <w:b w:val="1"/>
                <w:bCs w:val="1"/>
                <w:color w:val="auto"/>
                <w:w w:val="95"/>
              </w:rPr>
              <w:t>are Sold</w:t>
            </w:r>
          </w:p>
        </w:tc>
        <w:tc>
          <w:tcPr>
            <w:tcW w:w="5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are Sold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2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7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Percent</w:t>
            </w:r>
          </w:p>
        </w:tc>
        <w:tc>
          <w:tcPr>
            <w:tcW w:w="24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26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2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89"/>
              </w:rPr>
              <w:t>Percent</w:t>
            </w:r>
          </w:p>
        </w:tc>
        <w:tc>
          <w:tcPr>
            <w:tcW w:w="22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Offered</w:t>
            </w:r>
          </w:p>
        </w:tc>
        <w:tc>
          <w:tcPr>
            <w:tcW w:w="22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Offered</w:t>
            </w:r>
          </w:p>
        </w:tc>
        <w:tc>
          <w:tcPr>
            <w:tcW w:w="22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3"/>
              </w:rPr>
              <w:t>Percent</w:t>
            </w:r>
          </w:p>
        </w:tc>
        <w:tc>
          <w:tcPr>
            <w:tcW w:w="2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w w:val="95"/>
              </w:rPr>
              <w:t>Warrants</w:t>
            </w:r>
          </w:p>
        </w:tc>
        <w:tc>
          <w:tcPr>
            <w:tcW w:w="22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Percent</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92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2"/>
                <w:szCs w:val="12"/>
                <w:color w:val="auto"/>
              </w:rPr>
              <w:t>Bedrock Capital Corp</w:t>
            </w:r>
            <w:r>
              <w:rPr>
                <w:rFonts w:ascii="Times New Roman" w:cs="Times New Roman" w:eastAsia="Times New Roman" w:hAnsi="Times New Roman"/>
                <w:sz w:val="19"/>
                <w:szCs w:val="19"/>
                <w:color w:val="auto"/>
                <w:vertAlign w:val="superscript"/>
              </w:rPr>
              <w:t>(14)</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618,381</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364,284</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982,665</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tcPr>
          <w:p>
            <w:pPr>
              <w:spacing w:after="0" w:line="176" w:lineRule="exact"/>
              <w:rPr>
                <w:sz w:val="20"/>
                <w:szCs w:val="20"/>
                <w:color w:val="auto"/>
              </w:rPr>
            </w:pPr>
            <w:r>
              <w:rPr>
                <w:rFonts w:ascii="Times New Roman" w:cs="Times New Roman" w:eastAsia="Times New Roman" w:hAnsi="Times New Roman"/>
                <w:sz w:val="13"/>
                <w:szCs w:val="13"/>
                <w:color w:val="auto"/>
              </w:rPr>
              <w:t>David Walch</w:t>
            </w:r>
            <w:r>
              <w:rPr>
                <w:rFonts w:ascii="Times New Roman" w:cs="Times New Roman" w:eastAsia="Times New Roman" w:hAnsi="Times New Roman"/>
                <w:sz w:val="20"/>
                <w:szCs w:val="20"/>
                <w:color w:val="auto"/>
                <w:vertAlign w:val="superscript"/>
              </w:rPr>
              <w:t>(15)</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135,786</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68,207</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203,993</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20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3"/>
                <w:szCs w:val="13"/>
                <w:color w:val="auto"/>
              </w:rPr>
              <w:t>Peter Jon Deschenes, Jr</w:t>
            </w:r>
            <w:r>
              <w:rPr>
                <w:rFonts w:ascii="Times New Roman" w:cs="Times New Roman" w:eastAsia="Times New Roman" w:hAnsi="Times New Roman"/>
                <w:sz w:val="20"/>
                <w:szCs w:val="20"/>
                <w:color w:val="auto"/>
                <w:vertAlign w:val="superscript"/>
              </w:rPr>
              <w:t>(16)</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275,000</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25,000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250,000</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tcPr>
          <w:p>
            <w:pPr>
              <w:spacing w:after="0" w:line="176" w:lineRule="exact"/>
              <w:rPr>
                <w:sz w:val="20"/>
                <w:szCs w:val="20"/>
                <w:color w:val="auto"/>
              </w:rPr>
            </w:pPr>
            <w:r>
              <w:rPr>
                <w:rFonts w:ascii="Times New Roman" w:cs="Times New Roman" w:eastAsia="Times New Roman" w:hAnsi="Times New Roman"/>
                <w:sz w:val="13"/>
                <w:szCs w:val="13"/>
                <w:color w:val="auto"/>
              </w:rPr>
              <w:t>Blue Dragons AG</w:t>
            </w:r>
            <w:r>
              <w:rPr>
                <w:rFonts w:ascii="Times New Roman" w:cs="Times New Roman" w:eastAsia="Times New Roman" w:hAnsi="Times New Roman"/>
                <w:sz w:val="20"/>
                <w:szCs w:val="20"/>
                <w:color w:val="auto"/>
                <w:vertAlign w:val="superscript"/>
              </w:rPr>
              <w:t>(17)</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500,000</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500,000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20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3"/>
                <w:szCs w:val="13"/>
                <w:color w:val="auto"/>
              </w:rPr>
              <w:t>Greg Upson</w:t>
            </w:r>
            <w:r>
              <w:rPr>
                <w:rFonts w:ascii="Times New Roman" w:cs="Times New Roman" w:eastAsia="Times New Roman" w:hAnsi="Times New Roman"/>
                <w:sz w:val="20"/>
                <w:szCs w:val="20"/>
                <w:color w:val="auto"/>
                <w:vertAlign w:val="superscript"/>
              </w:rPr>
              <w:t>(18)</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5,000</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5,000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2040" w:type="dxa"/>
            <w:vAlign w:val="bottom"/>
            <w:gridSpan w:val="2"/>
          </w:tcPr>
          <w:p>
            <w:pPr>
              <w:spacing w:after="0" w:line="176" w:lineRule="exact"/>
              <w:rPr>
                <w:sz w:val="20"/>
                <w:szCs w:val="20"/>
                <w:color w:val="auto"/>
              </w:rPr>
            </w:pPr>
            <w:r>
              <w:rPr>
                <w:rFonts w:ascii="Times New Roman" w:cs="Times New Roman" w:eastAsia="Times New Roman" w:hAnsi="Times New Roman"/>
                <w:sz w:val="13"/>
                <w:szCs w:val="13"/>
                <w:color w:val="auto"/>
              </w:rPr>
              <w:t>Justin Gmelich</w:t>
            </w:r>
            <w:r>
              <w:rPr>
                <w:rFonts w:ascii="Times New Roman" w:cs="Times New Roman" w:eastAsia="Times New Roman" w:hAnsi="Times New Roman"/>
                <w:sz w:val="20"/>
                <w:szCs w:val="20"/>
                <w:color w:val="auto"/>
                <w:vertAlign w:val="superscript"/>
              </w:rPr>
              <w:t>(19)</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905,617</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395,000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3"/>
                <w:szCs w:val="13"/>
                <w:color w:val="auto"/>
              </w:rPr>
              <w:t>Daniel Ehrmann</w:t>
            </w:r>
            <w:r>
              <w:rPr>
                <w:rFonts w:ascii="Times New Roman" w:cs="Times New Roman" w:eastAsia="Times New Roman" w:hAnsi="Times New Roman"/>
                <w:sz w:val="20"/>
                <w:szCs w:val="20"/>
                <w:color w:val="auto"/>
                <w:vertAlign w:val="superscript"/>
              </w:rPr>
              <w:t>(20)</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27,367</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10,226</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37,593</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2040" w:type="dxa"/>
            <w:vAlign w:val="bottom"/>
            <w:gridSpan w:val="2"/>
          </w:tcPr>
          <w:p>
            <w:pPr>
              <w:spacing w:after="0" w:line="176" w:lineRule="exact"/>
              <w:rPr>
                <w:sz w:val="20"/>
                <w:szCs w:val="20"/>
                <w:color w:val="auto"/>
              </w:rPr>
            </w:pPr>
            <w:r>
              <w:rPr>
                <w:rFonts w:ascii="Times New Roman" w:cs="Times New Roman" w:eastAsia="Times New Roman" w:hAnsi="Times New Roman"/>
                <w:sz w:val="13"/>
                <w:szCs w:val="13"/>
                <w:color w:val="auto"/>
              </w:rPr>
              <w:t>Nico Guardans</w:t>
            </w:r>
            <w:r>
              <w:rPr>
                <w:rFonts w:ascii="Times New Roman" w:cs="Times New Roman" w:eastAsia="Times New Roman" w:hAnsi="Times New Roman"/>
                <w:sz w:val="20"/>
                <w:szCs w:val="20"/>
                <w:color w:val="auto"/>
                <w:vertAlign w:val="superscript"/>
              </w:rPr>
              <w:t>(21)</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170,786</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68,207</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238,993</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3"/>
                <w:szCs w:val="13"/>
                <w:color w:val="auto"/>
              </w:rPr>
              <w:t>Sea Otter Securities Group LLC</w:t>
            </w:r>
            <w:r>
              <w:rPr>
                <w:rFonts w:ascii="Times New Roman" w:cs="Times New Roman" w:eastAsia="Times New Roman" w:hAnsi="Times New Roman"/>
                <w:sz w:val="20"/>
                <w:szCs w:val="20"/>
                <w:color w:val="auto"/>
                <w:vertAlign w:val="superscript"/>
              </w:rPr>
              <w:t>(22)</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400,000</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400,000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2040" w:type="dxa"/>
            <w:vAlign w:val="bottom"/>
            <w:gridSpan w:val="2"/>
          </w:tcPr>
          <w:p>
            <w:pPr>
              <w:spacing w:after="0" w:line="176" w:lineRule="exact"/>
              <w:rPr>
                <w:sz w:val="20"/>
                <w:szCs w:val="20"/>
                <w:color w:val="auto"/>
              </w:rPr>
            </w:pPr>
            <w:r>
              <w:rPr>
                <w:rFonts w:ascii="Times New Roman" w:cs="Times New Roman" w:eastAsia="Times New Roman" w:hAnsi="Times New Roman"/>
                <w:sz w:val="13"/>
                <w:szCs w:val="13"/>
                <w:color w:val="auto"/>
              </w:rPr>
              <w:t>Sigsbee Investments LLC</w:t>
            </w:r>
            <w:r>
              <w:rPr>
                <w:rFonts w:ascii="Times New Roman" w:cs="Times New Roman" w:eastAsia="Times New Roman" w:hAnsi="Times New Roman"/>
                <w:sz w:val="20"/>
                <w:szCs w:val="20"/>
                <w:color w:val="auto"/>
                <w:vertAlign w:val="superscript"/>
              </w:rPr>
              <w:t>(23)</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2,939,418</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1.1%</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1,142,510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4,081,928</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3"/>
                <w:szCs w:val="13"/>
                <w:color w:val="auto"/>
              </w:rPr>
              <w:t>VPF Delphi Global</w:t>
            </w:r>
            <w:r>
              <w:rPr>
                <w:rFonts w:ascii="Times New Roman" w:cs="Times New Roman" w:eastAsia="Times New Roman" w:hAnsi="Times New Roman"/>
                <w:sz w:val="20"/>
                <w:szCs w:val="20"/>
                <w:color w:val="auto"/>
                <w:vertAlign w:val="superscript"/>
              </w:rPr>
              <w:t>(24)</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1,480,000</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1,480,000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4"/>
        </w:trPr>
        <w:tc>
          <w:tcPr>
            <w:tcW w:w="2040" w:type="dxa"/>
            <w:vAlign w:val="bottom"/>
            <w:gridSpan w:val="2"/>
          </w:tcPr>
          <w:p>
            <w:pPr>
              <w:spacing w:after="0" w:line="124" w:lineRule="exact"/>
              <w:rPr>
                <w:sz w:val="20"/>
                <w:szCs w:val="20"/>
                <w:color w:val="auto"/>
              </w:rPr>
            </w:pPr>
            <w:r>
              <w:rPr>
                <w:rFonts w:ascii="Times New Roman" w:cs="Times New Roman" w:eastAsia="Times New Roman" w:hAnsi="Times New Roman"/>
                <w:sz w:val="13"/>
                <w:szCs w:val="13"/>
                <w:color w:val="auto"/>
              </w:rPr>
              <w:t>The Justin Gmelich 2012 Family</w:t>
            </w: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40" w:type="dxa"/>
            <w:vAlign w:val="bottom"/>
            <w:gridSpan w:val="2"/>
          </w:tcPr>
          <w:p>
            <w:pPr>
              <w:spacing w:after="0" w:line="186" w:lineRule="exact"/>
              <w:rPr>
                <w:sz w:val="20"/>
                <w:szCs w:val="20"/>
                <w:color w:val="auto"/>
              </w:rPr>
            </w:pPr>
            <w:r>
              <w:rPr>
                <w:rFonts w:ascii="Times New Roman" w:cs="Times New Roman" w:eastAsia="Times New Roman" w:hAnsi="Times New Roman"/>
                <w:sz w:val="13"/>
                <w:szCs w:val="13"/>
                <w:color w:val="auto"/>
              </w:rPr>
              <w:t>Trust</w:t>
            </w:r>
            <w:r>
              <w:rPr>
                <w:rFonts w:ascii="Times New Roman" w:cs="Times New Roman" w:eastAsia="Times New Roman" w:hAnsi="Times New Roman"/>
                <w:sz w:val="20"/>
                <w:szCs w:val="20"/>
                <w:color w:val="auto"/>
                <w:vertAlign w:val="superscript"/>
              </w:rPr>
              <w:t>(25)</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510,617</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300,800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811,417</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20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3"/>
                <w:szCs w:val="13"/>
                <w:color w:val="auto"/>
              </w:rPr>
              <w:t>Helena Lupas</w:t>
            </w:r>
            <w:r>
              <w:rPr>
                <w:rFonts w:ascii="Times New Roman" w:cs="Times New Roman" w:eastAsia="Times New Roman" w:hAnsi="Times New Roman"/>
                <w:sz w:val="20"/>
                <w:szCs w:val="20"/>
                <w:color w:val="auto"/>
                <w:vertAlign w:val="superscript"/>
              </w:rPr>
              <w:t>(26)</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15,341</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9,033</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24,374</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tcPr>
          <w:p>
            <w:pPr>
              <w:spacing w:after="0" w:line="176" w:lineRule="exact"/>
              <w:rPr>
                <w:sz w:val="20"/>
                <w:szCs w:val="20"/>
                <w:color w:val="auto"/>
              </w:rPr>
            </w:pPr>
            <w:r>
              <w:rPr>
                <w:rFonts w:ascii="Times New Roman" w:cs="Times New Roman" w:eastAsia="Times New Roman" w:hAnsi="Times New Roman"/>
                <w:sz w:val="13"/>
                <w:szCs w:val="13"/>
                <w:color w:val="auto"/>
              </w:rPr>
              <w:t>Dora Lupas</w:t>
            </w:r>
            <w:r>
              <w:rPr>
                <w:rFonts w:ascii="Times New Roman" w:cs="Times New Roman" w:eastAsia="Times New Roman" w:hAnsi="Times New Roman"/>
                <w:sz w:val="20"/>
                <w:szCs w:val="20"/>
                <w:color w:val="auto"/>
                <w:vertAlign w:val="superscript"/>
              </w:rPr>
              <w:t>(26)</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15,341</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9,033</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24,374</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20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3"/>
                <w:szCs w:val="13"/>
                <w:color w:val="auto"/>
              </w:rPr>
              <w:t>Argentum Cedit Virtuti</w:t>
            </w:r>
            <w:r>
              <w:rPr>
                <w:rFonts w:ascii="Times New Roman" w:cs="Times New Roman" w:eastAsia="Times New Roman" w:hAnsi="Times New Roman"/>
                <w:sz w:val="20"/>
                <w:szCs w:val="20"/>
                <w:color w:val="auto"/>
                <w:vertAlign w:val="superscript"/>
              </w:rPr>
              <w:t>(27)</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1,000,000</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1,000,000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tcPr>
          <w:p>
            <w:pPr>
              <w:spacing w:after="0" w:line="176" w:lineRule="exact"/>
              <w:rPr>
                <w:sz w:val="20"/>
                <w:szCs w:val="20"/>
                <w:color w:val="auto"/>
              </w:rPr>
            </w:pPr>
            <w:r>
              <w:rPr>
                <w:rFonts w:ascii="Times New Roman" w:cs="Times New Roman" w:eastAsia="Times New Roman" w:hAnsi="Times New Roman"/>
                <w:sz w:val="13"/>
                <w:szCs w:val="13"/>
                <w:color w:val="auto"/>
              </w:rPr>
              <w:t>Allseas Group SA</w:t>
            </w:r>
            <w:r>
              <w:rPr>
                <w:rFonts w:ascii="Times New Roman" w:cs="Times New Roman" w:eastAsia="Times New Roman" w:hAnsi="Times New Roman"/>
                <w:sz w:val="20"/>
                <w:szCs w:val="20"/>
                <w:color w:val="auto"/>
                <w:vertAlign w:val="superscript"/>
              </w:rPr>
              <w:t>(28)</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34,280,268</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12.8%</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8,336,743</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36,367,011</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6,250,000</w:t>
            </w:r>
          </w:p>
        </w:tc>
        <w:tc>
          <w:tcPr>
            <w:tcW w:w="6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2.3%</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20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3"/>
                <w:szCs w:val="13"/>
                <w:color w:val="auto"/>
              </w:rPr>
              <w:t>Majid Fahad M Alghaslan</w:t>
            </w:r>
            <w:r>
              <w:rPr>
                <w:rFonts w:ascii="Times New Roman" w:cs="Times New Roman" w:eastAsia="Times New Roman" w:hAnsi="Times New Roman"/>
                <w:sz w:val="20"/>
                <w:szCs w:val="20"/>
                <w:color w:val="auto"/>
                <w:vertAlign w:val="superscript"/>
              </w:rPr>
              <w:t>(29)</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4,011,000</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1.5%</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200,000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3,811,000</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1.4%</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4"/>
        </w:trPr>
        <w:tc>
          <w:tcPr>
            <w:tcW w:w="2040" w:type="dxa"/>
            <w:vAlign w:val="bottom"/>
            <w:gridSpan w:val="2"/>
          </w:tcPr>
          <w:p>
            <w:pPr>
              <w:spacing w:after="0" w:line="124" w:lineRule="exact"/>
              <w:rPr>
                <w:sz w:val="20"/>
                <w:szCs w:val="20"/>
                <w:color w:val="auto"/>
              </w:rPr>
            </w:pPr>
            <w:r>
              <w:rPr>
                <w:rFonts w:ascii="Times New Roman" w:cs="Times New Roman" w:eastAsia="Times New Roman" w:hAnsi="Times New Roman"/>
                <w:sz w:val="13"/>
                <w:szCs w:val="13"/>
                <w:color w:val="auto"/>
              </w:rPr>
              <w:t>Portline Holdings Investments</w:t>
            </w: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40" w:type="dxa"/>
            <w:vAlign w:val="bottom"/>
            <w:gridSpan w:val="2"/>
          </w:tcPr>
          <w:p>
            <w:pPr>
              <w:spacing w:after="0" w:line="186" w:lineRule="exact"/>
              <w:rPr>
                <w:sz w:val="20"/>
                <w:szCs w:val="20"/>
                <w:color w:val="auto"/>
              </w:rPr>
            </w:pPr>
            <w:r>
              <w:rPr>
                <w:rFonts w:ascii="Times New Roman" w:cs="Times New Roman" w:eastAsia="Times New Roman" w:hAnsi="Times New Roman"/>
                <w:sz w:val="13"/>
                <w:szCs w:val="13"/>
                <w:color w:val="auto"/>
              </w:rPr>
              <w:t>Limited</w:t>
            </w:r>
            <w:r>
              <w:rPr>
                <w:rFonts w:ascii="Times New Roman" w:cs="Times New Roman" w:eastAsia="Times New Roman" w:hAnsi="Times New Roman"/>
                <w:sz w:val="20"/>
                <w:szCs w:val="20"/>
                <w:color w:val="auto"/>
                <w:vertAlign w:val="superscript"/>
              </w:rPr>
              <w:t>(30)</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100,000</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100,000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Deepak Natarajan</w:t>
            </w:r>
          </w:p>
        </w:tc>
        <w:tc>
          <w:tcPr>
            <w:tcW w:w="96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58,596</w:t>
            </w:r>
          </w:p>
        </w:tc>
        <w:tc>
          <w:tcPr>
            <w:tcW w:w="80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22,734</w:t>
            </w:r>
          </w:p>
        </w:tc>
        <w:tc>
          <w:tcPr>
            <w:tcW w:w="8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81,330</w:t>
            </w:r>
          </w:p>
        </w:tc>
        <w:tc>
          <w:tcPr>
            <w:tcW w:w="8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tcPr>
          <w:p>
            <w:pPr>
              <w:spacing w:after="0" w:line="176" w:lineRule="exact"/>
              <w:rPr>
                <w:sz w:val="20"/>
                <w:szCs w:val="20"/>
                <w:color w:val="auto"/>
              </w:rPr>
            </w:pPr>
            <w:r>
              <w:rPr>
                <w:rFonts w:ascii="Times New Roman" w:cs="Times New Roman" w:eastAsia="Times New Roman" w:hAnsi="Times New Roman"/>
                <w:sz w:val="13"/>
                <w:szCs w:val="13"/>
                <w:color w:val="auto"/>
              </w:rPr>
              <w:t>Isaac Barchas</w:t>
            </w:r>
            <w:r>
              <w:rPr>
                <w:rFonts w:ascii="Times New Roman" w:cs="Times New Roman" w:eastAsia="Times New Roman" w:hAnsi="Times New Roman"/>
                <w:sz w:val="20"/>
                <w:szCs w:val="20"/>
                <w:color w:val="auto"/>
                <w:vertAlign w:val="superscript"/>
              </w:rPr>
              <w:t>(31)</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30,000</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25,900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55,900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20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3"/>
                <w:szCs w:val="13"/>
                <w:color w:val="auto"/>
              </w:rPr>
              <w:t>Richard W. Gaenzle Jr</w:t>
            </w:r>
            <w:r>
              <w:rPr>
                <w:rFonts w:ascii="Times New Roman" w:cs="Times New Roman" w:eastAsia="Times New Roman" w:hAnsi="Times New Roman"/>
                <w:sz w:val="20"/>
                <w:szCs w:val="20"/>
                <w:color w:val="auto"/>
                <w:vertAlign w:val="superscript"/>
              </w:rPr>
              <w:t>(32)</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30,000</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30,000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tcPr>
          <w:p>
            <w:pPr>
              <w:spacing w:after="0" w:line="176" w:lineRule="exact"/>
              <w:rPr>
                <w:sz w:val="20"/>
                <w:szCs w:val="20"/>
                <w:color w:val="auto"/>
              </w:rPr>
            </w:pPr>
            <w:r>
              <w:rPr>
                <w:rFonts w:ascii="Times New Roman" w:cs="Times New Roman" w:eastAsia="Times New Roman" w:hAnsi="Times New Roman"/>
                <w:sz w:val="13"/>
                <w:szCs w:val="13"/>
                <w:color w:val="auto"/>
              </w:rPr>
              <w:t>1290533 B.C. Ltd</w:t>
            </w:r>
            <w:r>
              <w:rPr>
                <w:rFonts w:ascii="Times New Roman" w:cs="Times New Roman" w:eastAsia="Times New Roman" w:hAnsi="Times New Roman"/>
                <w:sz w:val="20"/>
                <w:szCs w:val="20"/>
                <w:color w:val="auto"/>
                <w:vertAlign w:val="superscript"/>
              </w:rPr>
              <w:t>(33)</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7,394,879</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2.8%</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4,356,328</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11,751,207</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20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3"/>
                <w:szCs w:val="13"/>
                <w:color w:val="auto"/>
              </w:rPr>
              <w:t>Andrew Carlyle Greig</w:t>
            </w:r>
            <w:r>
              <w:rPr>
                <w:rFonts w:ascii="Times New Roman" w:cs="Times New Roman" w:eastAsia="Times New Roman" w:hAnsi="Times New Roman"/>
                <w:sz w:val="20"/>
                <w:szCs w:val="20"/>
                <w:color w:val="auto"/>
                <w:vertAlign w:val="superscript"/>
              </w:rPr>
              <w:t>(34)</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4,812,743</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1.8%</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2,412,848</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6,508,675</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716,916</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Sterling Securities Int. Ltd</w:t>
            </w:r>
          </w:p>
        </w:tc>
        <w:tc>
          <w:tcPr>
            <w:tcW w:w="96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1,262,208</w:t>
            </w:r>
          </w:p>
        </w:tc>
        <w:tc>
          <w:tcPr>
            <w:tcW w:w="8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743,566</w:t>
            </w: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2,005,774</w:t>
            </w: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3"/>
                <w:szCs w:val="13"/>
                <w:color w:val="auto"/>
              </w:rPr>
              <w:t>Aequanimitas Limited Partnership</w:t>
            </w:r>
            <w:r>
              <w:rPr>
                <w:rFonts w:ascii="Times New Roman" w:cs="Times New Roman" w:eastAsia="Times New Roman" w:hAnsi="Times New Roman"/>
                <w:sz w:val="20"/>
                <w:szCs w:val="20"/>
                <w:color w:val="auto"/>
                <w:vertAlign w:val="superscript"/>
              </w:rPr>
              <w:t>(35)</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2,650,853</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1.0%</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995,859</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995,859</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2,650,853</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2040" w:type="dxa"/>
            <w:vAlign w:val="bottom"/>
            <w:gridSpan w:val="2"/>
          </w:tcPr>
          <w:p>
            <w:pPr>
              <w:spacing w:after="0" w:line="176" w:lineRule="exact"/>
              <w:rPr>
                <w:sz w:val="20"/>
                <w:szCs w:val="20"/>
                <w:color w:val="auto"/>
              </w:rPr>
            </w:pPr>
            <w:r>
              <w:rPr>
                <w:rFonts w:ascii="Times New Roman" w:cs="Times New Roman" w:eastAsia="Times New Roman" w:hAnsi="Times New Roman"/>
                <w:sz w:val="13"/>
                <w:szCs w:val="13"/>
                <w:color w:val="auto"/>
              </w:rPr>
              <w:t>South Lake One LLC</w:t>
            </w:r>
            <w:r>
              <w:rPr>
                <w:rFonts w:ascii="Times New Roman" w:cs="Times New Roman" w:eastAsia="Times New Roman" w:hAnsi="Times New Roman"/>
                <w:sz w:val="20"/>
                <w:szCs w:val="20"/>
                <w:color w:val="auto"/>
                <w:vertAlign w:val="superscript"/>
              </w:rPr>
              <w:t>(36)</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12,284,667</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4.6%</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1,496,537</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4,036,923</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9,744,281</w:t>
            </w:r>
          </w:p>
        </w:tc>
        <w:tc>
          <w:tcPr>
            <w:tcW w:w="6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3.7%</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3"/>
                <w:szCs w:val="13"/>
                <w:color w:val="auto"/>
              </w:rPr>
              <w:t>Cadence Capital Limited</w:t>
            </w:r>
            <w:r>
              <w:rPr>
                <w:rFonts w:ascii="Times New Roman" w:cs="Times New Roman" w:eastAsia="Times New Roman" w:hAnsi="Times New Roman"/>
                <w:sz w:val="20"/>
                <w:szCs w:val="20"/>
                <w:color w:val="auto"/>
                <w:vertAlign w:val="superscript"/>
              </w:rPr>
              <w:t>(37)</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1,029,962</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1,029,962</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tcPr>
          <w:p>
            <w:pPr>
              <w:spacing w:after="0" w:line="176" w:lineRule="exact"/>
              <w:rPr>
                <w:sz w:val="20"/>
                <w:szCs w:val="20"/>
                <w:color w:val="auto"/>
              </w:rPr>
            </w:pPr>
            <w:r>
              <w:rPr>
                <w:rFonts w:ascii="Times New Roman" w:cs="Times New Roman" w:eastAsia="Times New Roman" w:hAnsi="Times New Roman"/>
                <w:sz w:val="13"/>
                <w:szCs w:val="13"/>
                <w:color w:val="auto"/>
              </w:rPr>
              <w:t>Cadence Global Pty Limited</w:t>
            </w:r>
            <w:r>
              <w:rPr>
                <w:rFonts w:ascii="Times New Roman" w:cs="Times New Roman" w:eastAsia="Times New Roman" w:hAnsi="Times New Roman"/>
                <w:sz w:val="20"/>
                <w:szCs w:val="20"/>
                <w:color w:val="auto"/>
                <w:vertAlign w:val="superscript"/>
              </w:rPr>
              <w:t>(38)</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2,026,258</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1,193,670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3,219,928</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20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3"/>
                <w:szCs w:val="13"/>
                <w:color w:val="auto"/>
              </w:rPr>
              <w:t>Glencore International AG</w:t>
            </w:r>
            <w:r>
              <w:rPr>
                <w:rFonts w:ascii="Times New Roman" w:cs="Times New Roman" w:eastAsia="Times New Roman" w:hAnsi="Times New Roman"/>
                <w:sz w:val="20"/>
                <w:szCs w:val="20"/>
                <w:color w:val="auto"/>
                <w:vertAlign w:val="superscript"/>
              </w:rPr>
              <w:t>(39)</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2,315,724</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1,364,190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3,679,914</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Windward Prospects Limited</w:t>
            </w:r>
          </w:p>
        </w:tc>
        <w:tc>
          <w:tcPr>
            <w:tcW w:w="96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7,440,642</w:t>
            </w:r>
          </w:p>
        </w:tc>
        <w:tc>
          <w:tcPr>
            <w:tcW w:w="8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2.8%</w:t>
            </w:r>
          </w:p>
        </w:tc>
        <w:tc>
          <w:tcPr>
            <w:tcW w:w="9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4,383,288</w:t>
            </w: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11,823,930</w:t>
            </w: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3"/>
                <w:szCs w:val="13"/>
                <w:color w:val="auto"/>
              </w:rPr>
              <w:t>$PTY Limited ATP #1 Fund</w:t>
            </w:r>
            <w:r>
              <w:rPr>
                <w:rFonts w:ascii="Times New Roman" w:cs="Times New Roman" w:eastAsia="Times New Roman" w:hAnsi="Times New Roman"/>
                <w:sz w:val="20"/>
                <w:szCs w:val="20"/>
                <w:color w:val="auto"/>
                <w:vertAlign w:val="superscript"/>
              </w:rPr>
              <w:t>(40)</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567,352</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334,226</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901,578</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4"/>
        </w:trPr>
        <w:tc>
          <w:tcPr>
            <w:tcW w:w="2040" w:type="dxa"/>
            <w:vAlign w:val="bottom"/>
            <w:gridSpan w:val="2"/>
          </w:tcPr>
          <w:p>
            <w:pPr>
              <w:spacing w:after="0" w:line="124" w:lineRule="exact"/>
              <w:rPr>
                <w:sz w:val="20"/>
                <w:szCs w:val="20"/>
                <w:color w:val="auto"/>
              </w:rPr>
            </w:pPr>
            <w:r>
              <w:rPr>
                <w:rFonts w:ascii="Times New Roman" w:cs="Times New Roman" w:eastAsia="Times New Roman" w:hAnsi="Times New Roman"/>
                <w:sz w:val="13"/>
                <w:szCs w:val="13"/>
                <w:color w:val="auto"/>
              </w:rPr>
              <w:t>Wimbledon Investments PTY</w:t>
            </w: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40" w:type="dxa"/>
            <w:vAlign w:val="bottom"/>
            <w:gridSpan w:val="2"/>
          </w:tcPr>
          <w:p>
            <w:pPr>
              <w:spacing w:after="0" w:line="186" w:lineRule="exact"/>
              <w:rPr>
                <w:sz w:val="20"/>
                <w:szCs w:val="20"/>
                <w:color w:val="auto"/>
              </w:rPr>
            </w:pPr>
            <w:r>
              <w:rPr>
                <w:rFonts w:ascii="Times New Roman" w:cs="Times New Roman" w:eastAsia="Times New Roman" w:hAnsi="Times New Roman"/>
                <w:sz w:val="13"/>
                <w:szCs w:val="13"/>
                <w:color w:val="auto"/>
              </w:rPr>
              <w:t>Limited ATF Deakin Fund</w:t>
            </w:r>
            <w:r>
              <w:rPr>
                <w:rFonts w:ascii="Times New Roman" w:cs="Times New Roman" w:eastAsia="Times New Roman" w:hAnsi="Times New Roman"/>
                <w:sz w:val="20"/>
                <w:szCs w:val="20"/>
                <w:color w:val="auto"/>
                <w:vertAlign w:val="superscript"/>
              </w:rPr>
              <w:t>(41)</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567,644</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335,488</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903,132</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4"/>
        </w:trPr>
        <w:tc>
          <w:tcPr>
            <w:tcW w:w="204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auto"/>
              </w:rPr>
              <w:t>Nomura Securities International, Inc.</w:t>
            </w:r>
          </w:p>
        </w:tc>
        <w:tc>
          <w:tcPr>
            <w:tcW w:w="7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(42)</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787,962</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787,962</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204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Mintz, Levin, Cohn, Ferris, Glovsky</w:t>
            </w: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40" w:type="dxa"/>
            <w:vAlign w:val="bottom"/>
            <w:gridSpan w:val="2"/>
          </w:tcPr>
          <w:p>
            <w:pPr>
              <w:spacing w:after="0" w:line="181" w:lineRule="exact"/>
              <w:rPr>
                <w:sz w:val="20"/>
                <w:szCs w:val="20"/>
                <w:color w:val="auto"/>
              </w:rPr>
            </w:pPr>
            <w:r>
              <w:rPr>
                <w:rFonts w:ascii="Times New Roman" w:cs="Times New Roman" w:eastAsia="Times New Roman" w:hAnsi="Times New Roman"/>
                <w:sz w:val="13"/>
                <w:szCs w:val="13"/>
                <w:color w:val="auto"/>
              </w:rPr>
              <w:t>and Popeo, P.C.</w:t>
            </w:r>
            <w:r>
              <w:rPr>
                <w:rFonts w:ascii="Times New Roman" w:cs="Times New Roman" w:eastAsia="Times New Roman" w:hAnsi="Times New Roman"/>
                <w:sz w:val="20"/>
                <w:szCs w:val="20"/>
                <w:color w:val="auto"/>
                <w:vertAlign w:val="subscript"/>
              </w:rPr>
              <w:t>(43)</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36,361</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36,361</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3"/>
                <w:szCs w:val="13"/>
                <w:color w:val="auto"/>
              </w:rPr>
              <w:t>Fasken Martineau DuMoulin LLP</w:t>
            </w:r>
            <w:r>
              <w:rPr>
                <w:rFonts w:ascii="Times New Roman" w:cs="Times New Roman" w:eastAsia="Times New Roman" w:hAnsi="Times New Roman"/>
                <w:sz w:val="20"/>
                <w:szCs w:val="20"/>
                <w:color w:val="auto"/>
                <w:vertAlign w:val="superscript"/>
              </w:rPr>
              <w:t>(44)</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14,630</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14,630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tcPr>
          <w:p>
            <w:pPr>
              <w:spacing w:after="0" w:line="176" w:lineRule="exact"/>
              <w:rPr>
                <w:sz w:val="20"/>
                <w:szCs w:val="20"/>
                <w:color w:val="auto"/>
              </w:rPr>
            </w:pPr>
            <w:r>
              <w:rPr>
                <w:rFonts w:ascii="Times New Roman" w:cs="Times New Roman" w:eastAsia="Times New Roman" w:hAnsi="Times New Roman"/>
                <w:sz w:val="13"/>
                <w:szCs w:val="13"/>
                <w:color w:val="auto"/>
              </w:rPr>
              <w:t>Wedbush Securities Inc</w:t>
            </w:r>
            <w:r>
              <w:rPr>
                <w:rFonts w:ascii="Times New Roman" w:cs="Times New Roman" w:eastAsia="Times New Roman" w:hAnsi="Times New Roman"/>
                <w:sz w:val="20"/>
                <w:szCs w:val="20"/>
                <w:color w:val="auto"/>
                <w:vertAlign w:val="superscript"/>
              </w:rPr>
              <w:t>.(45)</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10,000</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10,000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3"/>
                <w:szCs w:val="13"/>
                <w:color w:val="auto"/>
              </w:rPr>
              <w:t>Northland Securities, Inc.</w:t>
            </w:r>
            <w:r>
              <w:rPr>
                <w:rFonts w:ascii="Times New Roman" w:cs="Times New Roman" w:eastAsia="Times New Roman" w:hAnsi="Times New Roman"/>
                <w:sz w:val="20"/>
                <w:szCs w:val="20"/>
                <w:color w:val="auto"/>
                <w:vertAlign w:val="superscript"/>
              </w:rPr>
              <w:t>(46)</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25,000</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25,000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2040" w:type="dxa"/>
            <w:vAlign w:val="bottom"/>
            <w:gridSpan w:val="2"/>
          </w:tcPr>
          <w:p>
            <w:pPr>
              <w:spacing w:after="0" w:line="176" w:lineRule="exact"/>
              <w:rPr>
                <w:sz w:val="20"/>
                <w:szCs w:val="20"/>
                <w:color w:val="auto"/>
              </w:rPr>
            </w:pPr>
            <w:r>
              <w:rPr>
                <w:rFonts w:ascii="Times New Roman" w:cs="Times New Roman" w:eastAsia="Times New Roman" w:hAnsi="Times New Roman"/>
                <w:sz w:val="13"/>
                <w:szCs w:val="13"/>
                <w:color w:val="auto"/>
              </w:rPr>
              <w:t>LSS Sustainable SPAC, LLC</w:t>
            </w:r>
            <w:r>
              <w:rPr>
                <w:rFonts w:ascii="Times New Roman" w:cs="Times New Roman" w:eastAsia="Times New Roman" w:hAnsi="Times New Roman"/>
                <w:sz w:val="20"/>
                <w:szCs w:val="20"/>
                <w:color w:val="auto"/>
                <w:vertAlign w:val="superscript"/>
              </w:rPr>
              <w:t>(47)</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3,786,334</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1.4%</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704,580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5,265,360</w:t>
            </w:r>
          </w:p>
        </w:tc>
        <w:tc>
          <w:tcPr>
            <w:tcW w:w="8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55.4%</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9,756,274</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5,265,360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3"/>
                <w:szCs w:val="13"/>
                <w:color w:val="auto"/>
              </w:rPr>
              <w:t>Scott Edward Leonard</w:t>
            </w:r>
            <w:r>
              <w:rPr>
                <w:rFonts w:ascii="Times New Roman" w:cs="Times New Roman" w:eastAsia="Times New Roman" w:hAnsi="Times New Roman"/>
                <w:sz w:val="20"/>
                <w:szCs w:val="20"/>
                <w:color w:val="auto"/>
                <w:vertAlign w:val="superscript"/>
              </w:rPr>
              <w:t>(48)</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25,009</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202,557</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35,625</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263,191</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35,625</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tcPr>
          <w:p>
            <w:pPr>
              <w:spacing w:after="0" w:line="176" w:lineRule="exact"/>
              <w:rPr>
                <w:sz w:val="20"/>
                <w:szCs w:val="20"/>
                <w:color w:val="auto"/>
              </w:rPr>
            </w:pPr>
            <w:r>
              <w:rPr>
                <w:rFonts w:ascii="Times New Roman" w:cs="Times New Roman" w:eastAsia="Times New Roman" w:hAnsi="Times New Roman"/>
                <w:sz w:val="13"/>
                <w:szCs w:val="13"/>
                <w:color w:val="auto"/>
              </w:rPr>
              <w:t>Gina Thomas Stryker</w:t>
            </w:r>
            <w:r>
              <w:rPr>
                <w:rFonts w:ascii="Times New Roman" w:cs="Times New Roman" w:eastAsia="Times New Roman" w:hAnsi="Times New Roman"/>
                <w:sz w:val="20"/>
                <w:szCs w:val="20"/>
                <w:color w:val="auto"/>
                <w:vertAlign w:val="superscript"/>
              </w:rPr>
              <w:t>(49)</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449,605</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83,166</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614,277</w:t>
            </w:r>
          </w:p>
        </w:tc>
        <w:tc>
          <w:tcPr>
            <w:tcW w:w="8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6.5%</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1,144,371</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614,277</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2,677</w:t>
            </w:r>
          </w:p>
        </w:tc>
        <w:tc>
          <w:tcPr>
            <w:tcW w:w="6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3"/>
                <w:szCs w:val="13"/>
                <w:color w:val="auto"/>
              </w:rPr>
              <w:t>David Quiram</w:t>
            </w:r>
            <w:r>
              <w:rPr>
                <w:rFonts w:ascii="Times New Roman" w:cs="Times New Roman" w:eastAsia="Times New Roman" w:hAnsi="Times New Roman"/>
                <w:sz w:val="20"/>
                <w:szCs w:val="20"/>
                <w:color w:val="auto"/>
                <w:vertAlign w:val="superscript"/>
              </w:rPr>
              <w:t>(50)</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151,795</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28,247</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177,768</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1.9%</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357,810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177,768</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tcPr>
          <w:p>
            <w:pPr>
              <w:spacing w:after="0" w:line="176" w:lineRule="exact"/>
              <w:rPr>
                <w:sz w:val="20"/>
                <w:szCs w:val="20"/>
                <w:color w:val="auto"/>
              </w:rPr>
            </w:pPr>
            <w:r>
              <w:rPr>
                <w:rFonts w:ascii="Times New Roman" w:cs="Times New Roman" w:eastAsia="Times New Roman" w:hAnsi="Times New Roman"/>
                <w:sz w:val="13"/>
                <w:szCs w:val="13"/>
                <w:color w:val="auto"/>
              </w:rPr>
              <w:t>Gina Quiram</w:t>
            </w:r>
            <w:r>
              <w:rPr>
                <w:rFonts w:ascii="Times New Roman" w:cs="Times New Roman" w:eastAsia="Times New Roman" w:hAnsi="Times New Roman"/>
                <w:sz w:val="20"/>
                <w:szCs w:val="20"/>
                <w:color w:val="auto"/>
                <w:vertAlign w:val="superscript"/>
              </w:rPr>
              <w:t>(51)</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143,459</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26,696</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165,893</w:t>
            </w:r>
          </w:p>
        </w:tc>
        <w:tc>
          <w:tcPr>
            <w:tcW w:w="8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1.8%</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336,048</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165,893</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3"/>
                <w:szCs w:val="13"/>
                <w:color w:val="auto"/>
              </w:rPr>
              <w:t>Susan Tanski</w:t>
            </w:r>
            <w:r>
              <w:rPr>
                <w:rFonts w:ascii="Times New Roman" w:cs="Times New Roman" w:eastAsia="Times New Roman" w:hAnsi="Times New Roman"/>
                <w:sz w:val="20"/>
                <w:szCs w:val="20"/>
                <w:color w:val="auto"/>
                <w:vertAlign w:val="superscript"/>
              </w:rPr>
              <w:t>(52)</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149,319</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27,786</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205,009</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2.2%</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382,114</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205,009</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2040" w:type="dxa"/>
            <w:vAlign w:val="bottom"/>
            <w:gridSpan w:val="2"/>
          </w:tcPr>
          <w:p>
            <w:pPr>
              <w:spacing w:after="0" w:line="176" w:lineRule="exact"/>
              <w:rPr>
                <w:sz w:val="20"/>
                <w:szCs w:val="20"/>
                <w:color w:val="auto"/>
              </w:rPr>
            </w:pPr>
            <w:r>
              <w:rPr>
                <w:rFonts w:ascii="Times New Roman" w:cs="Times New Roman" w:eastAsia="Times New Roman" w:hAnsi="Times New Roman"/>
                <w:sz w:val="13"/>
                <w:szCs w:val="13"/>
                <w:color w:val="auto"/>
              </w:rPr>
              <w:t>Arthur Wong</w:t>
            </w:r>
            <w:r>
              <w:rPr>
                <w:rFonts w:ascii="Times New Roman" w:cs="Times New Roman" w:eastAsia="Times New Roman" w:hAnsi="Times New Roman"/>
                <w:sz w:val="20"/>
                <w:szCs w:val="20"/>
                <w:color w:val="auto"/>
                <w:vertAlign w:val="superscript"/>
              </w:rPr>
              <w:t>(53)</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120,959</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22,509</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165,893</w:t>
            </w:r>
          </w:p>
        </w:tc>
        <w:tc>
          <w:tcPr>
            <w:tcW w:w="8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1.7%</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309,361</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165,893</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3"/>
                <w:szCs w:val="13"/>
                <w:color w:val="auto"/>
              </w:rPr>
              <w:t>James Sheridan</w:t>
            </w:r>
            <w:r>
              <w:rPr>
                <w:rFonts w:ascii="Times New Roman" w:cs="Times New Roman" w:eastAsia="Times New Roman" w:hAnsi="Times New Roman"/>
                <w:sz w:val="20"/>
                <w:szCs w:val="20"/>
                <w:color w:val="auto"/>
                <w:vertAlign w:val="superscript"/>
              </w:rPr>
              <w:t>(54)</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25,009</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19,352</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143,953</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1.5%</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188,314</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143,953</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tcPr>
          <w:p>
            <w:pPr>
              <w:spacing w:after="0" w:line="176" w:lineRule="exact"/>
              <w:rPr>
                <w:sz w:val="20"/>
                <w:szCs w:val="20"/>
                <w:color w:val="auto"/>
              </w:rPr>
            </w:pPr>
            <w:r>
              <w:rPr>
                <w:rFonts w:ascii="Times New Roman" w:cs="Times New Roman" w:eastAsia="Times New Roman" w:hAnsi="Times New Roman"/>
                <w:sz w:val="13"/>
                <w:szCs w:val="13"/>
                <w:color w:val="auto"/>
              </w:rPr>
              <w:t>Justin Kelly Revocable Trust</w:t>
            </w:r>
            <w:r>
              <w:rPr>
                <w:rFonts w:ascii="Times New Roman" w:cs="Times New Roman" w:eastAsia="Times New Roman" w:hAnsi="Times New Roman"/>
                <w:sz w:val="20"/>
                <w:szCs w:val="20"/>
                <w:color w:val="auto"/>
                <w:vertAlign w:val="superscript"/>
              </w:rPr>
              <w:t>(55)</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8,374</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50,000</w:t>
            </w:r>
          </w:p>
        </w:tc>
        <w:tc>
          <w:tcPr>
            <w:tcW w:w="8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58,374</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50,000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3"/>
                <w:szCs w:val="13"/>
                <w:color w:val="auto"/>
              </w:rPr>
              <w:t>Michael J. Schlembach</w:t>
            </w:r>
            <w:r>
              <w:rPr>
                <w:rFonts w:ascii="Times New Roman" w:cs="Times New Roman" w:eastAsia="Times New Roman" w:hAnsi="Times New Roman"/>
                <w:sz w:val="20"/>
                <w:szCs w:val="20"/>
                <w:color w:val="auto"/>
                <w:vertAlign w:val="superscript"/>
              </w:rPr>
              <w:t>(56)</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6,699</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6,699</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tcPr>
          <w:p>
            <w:pPr>
              <w:spacing w:after="0" w:line="176" w:lineRule="exact"/>
              <w:rPr>
                <w:sz w:val="20"/>
                <w:szCs w:val="20"/>
                <w:color w:val="auto"/>
              </w:rPr>
            </w:pPr>
            <w:r>
              <w:rPr>
                <w:rFonts w:ascii="Times New Roman" w:cs="Times New Roman" w:eastAsia="Times New Roman" w:hAnsi="Times New Roman"/>
                <w:sz w:val="13"/>
                <w:szCs w:val="13"/>
                <w:color w:val="auto"/>
              </w:rPr>
              <w:t>Strickland 2004 Family Trust</w:t>
            </w:r>
            <w:r>
              <w:rPr>
                <w:rFonts w:ascii="Times New Roman" w:cs="Times New Roman" w:eastAsia="Times New Roman" w:hAnsi="Times New Roman"/>
                <w:sz w:val="20"/>
                <w:szCs w:val="20"/>
                <w:color w:val="auto"/>
                <w:vertAlign w:val="superscript"/>
              </w:rPr>
              <w:t>(57)</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18,000</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3,350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24,687</w:t>
            </w:r>
          </w:p>
        </w:tc>
        <w:tc>
          <w:tcPr>
            <w:tcW w:w="8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46,037</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24,687</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3"/>
                <w:szCs w:val="13"/>
                <w:color w:val="auto"/>
              </w:rPr>
              <w:t>Ashwin Verma</w:t>
            </w:r>
            <w:r>
              <w:rPr>
                <w:rFonts w:ascii="Times New Roman" w:cs="Times New Roman" w:eastAsia="Times New Roman" w:hAnsi="Times New Roman"/>
                <w:sz w:val="20"/>
                <w:szCs w:val="20"/>
                <w:color w:val="auto"/>
                <w:vertAlign w:val="superscript"/>
              </w:rPr>
              <w:t>(58)</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18,000</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3,350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24,687</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46,037</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24,687</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2040" w:type="dxa"/>
            <w:vAlign w:val="bottom"/>
            <w:gridSpan w:val="2"/>
          </w:tcPr>
          <w:p>
            <w:pPr>
              <w:spacing w:after="0" w:line="176" w:lineRule="exact"/>
              <w:rPr>
                <w:sz w:val="20"/>
                <w:szCs w:val="20"/>
                <w:color w:val="auto"/>
              </w:rPr>
            </w:pPr>
            <w:r>
              <w:rPr>
                <w:rFonts w:ascii="Times New Roman" w:cs="Times New Roman" w:eastAsia="Times New Roman" w:hAnsi="Times New Roman"/>
                <w:sz w:val="13"/>
                <w:szCs w:val="13"/>
                <w:color w:val="auto"/>
              </w:rPr>
              <w:t>Kenna Gursel</w:t>
            </w:r>
            <w:r>
              <w:rPr>
                <w:rFonts w:ascii="Times New Roman" w:cs="Times New Roman" w:eastAsia="Times New Roman" w:hAnsi="Times New Roman"/>
                <w:sz w:val="20"/>
                <w:szCs w:val="20"/>
                <w:color w:val="auto"/>
                <w:vertAlign w:val="superscript"/>
              </w:rPr>
              <w:t>(59)</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20,000</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3,350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24,687</w:t>
            </w:r>
          </w:p>
        </w:tc>
        <w:tc>
          <w:tcPr>
            <w:tcW w:w="8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46,037</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24,687</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2,000</w:t>
            </w:r>
          </w:p>
        </w:tc>
        <w:tc>
          <w:tcPr>
            <w:tcW w:w="6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3"/>
                <w:szCs w:val="13"/>
                <w:color w:val="auto"/>
              </w:rPr>
              <w:t>WILLIAMS IRAT, MICHAEL</w:t>
            </w:r>
            <w:r>
              <w:rPr>
                <w:rFonts w:ascii="Times New Roman" w:cs="Times New Roman" w:eastAsia="Times New Roman" w:hAnsi="Times New Roman"/>
                <w:sz w:val="20"/>
                <w:szCs w:val="20"/>
                <w:color w:val="auto"/>
                <w:vertAlign w:val="superscript"/>
              </w:rPr>
              <w:t>(60)</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5,815</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1,082</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8,342</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15,239</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8,342</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tcPr>
          <w:p>
            <w:pPr>
              <w:spacing w:after="0" w:line="176" w:lineRule="exact"/>
              <w:rPr>
                <w:sz w:val="20"/>
                <w:szCs w:val="20"/>
                <w:color w:val="auto"/>
              </w:rPr>
            </w:pPr>
            <w:r>
              <w:rPr>
                <w:rFonts w:ascii="Times New Roman" w:cs="Times New Roman" w:eastAsia="Times New Roman" w:hAnsi="Times New Roman"/>
                <w:sz w:val="13"/>
                <w:szCs w:val="13"/>
                <w:color w:val="auto"/>
              </w:rPr>
              <w:t>M. Patrick Williams</w:t>
            </w:r>
            <w:r>
              <w:rPr>
                <w:rFonts w:ascii="Times New Roman" w:cs="Times New Roman" w:eastAsia="Times New Roman" w:hAnsi="Times New Roman"/>
                <w:sz w:val="20"/>
                <w:szCs w:val="20"/>
                <w:color w:val="auto"/>
                <w:vertAlign w:val="superscript"/>
              </w:rPr>
              <w:t>(61)</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15,846</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2,949</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21,732</w:t>
            </w:r>
          </w:p>
        </w:tc>
        <w:tc>
          <w:tcPr>
            <w:tcW w:w="8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40,527</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21,732</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3"/>
                <w:szCs w:val="13"/>
                <w:color w:val="auto"/>
              </w:rPr>
              <w:t>Allan Duncan</w:t>
            </w:r>
            <w:r>
              <w:rPr>
                <w:rFonts w:ascii="Times New Roman" w:cs="Times New Roman" w:eastAsia="Times New Roman" w:hAnsi="Times New Roman"/>
                <w:sz w:val="20"/>
                <w:szCs w:val="20"/>
                <w:color w:val="auto"/>
                <w:vertAlign w:val="superscript"/>
              </w:rPr>
              <w:t>(62)</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2,700</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502</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3,703</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6,905</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3,703</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2040" w:type="dxa"/>
            <w:vAlign w:val="bottom"/>
            <w:gridSpan w:val="2"/>
          </w:tcPr>
          <w:p>
            <w:pPr>
              <w:spacing w:after="0" w:line="176" w:lineRule="exact"/>
              <w:rPr>
                <w:sz w:val="20"/>
                <w:szCs w:val="20"/>
                <w:color w:val="auto"/>
              </w:rPr>
            </w:pPr>
            <w:r>
              <w:rPr>
                <w:rFonts w:ascii="Times New Roman" w:cs="Times New Roman" w:eastAsia="Times New Roman" w:hAnsi="Times New Roman"/>
                <w:sz w:val="13"/>
                <w:szCs w:val="13"/>
                <w:color w:val="auto"/>
              </w:rPr>
              <w:t>Jay Allen Bys</w:t>
            </w:r>
            <w:r>
              <w:rPr>
                <w:rFonts w:ascii="Times New Roman" w:cs="Times New Roman" w:eastAsia="Times New Roman" w:hAnsi="Times New Roman"/>
                <w:sz w:val="20"/>
                <w:szCs w:val="20"/>
                <w:color w:val="auto"/>
                <w:vertAlign w:val="superscript"/>
              </w:rPr>
              <w:t>(63)</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9,000</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1,675</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12,343</w:t>
            </w:r>
          </w:p>
        </w:tc>
        <w:tc>
          <w:tcPr>
            <w:tcW w:w="8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23,018</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12,343</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3"/>
                <w:szCs w:val="13"/>
                <w:color w:val="auto"/>
              </w:rPr>
              <w:t>Timothy A. Welsh</w:t>
            </w:r>
            <w:r>
              <w:rPr>
                <w:rFonts w:ascii="Times New Roman" w:cs="Times New Roman" w:eastAsia="Times New Roman" w:hAnsi="Times New Roman"/>
                <w:sz w:val="20"/>
                <w:szCs w:val="20"/>
                <w:color w:val="auto"/>
                <w:vertAlign w:val="superscript"/>
              </w:rPr>
              <w:t>(64)</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16,673</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3,103</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23,750</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43,526</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23,750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tcPr>
          <w:p>
            <w:pPr>
              <w:spacing w:after="0" w:line="176" w:lineRule="exact"/>
              <w:rPr>
                <w:sz w:val="20"/>
                <w:szCs w:val="20"/>
                <w:color w:val="auto"/>
              </w:rPr>
            </w:pPr>
            <w:r>
              <w:rPr>
                <w:rFonts w:ascii="Times New Roman" w:cs="Times New Roman" w:eastAsia="Times New Roman" w:hAnsi="Times New Roman"/>
                <w:sz w:val="13"/>
                <w:szCs w:val="13"/>
                <w:color w:val="auto"/>
              </w:rPr>
              <w:t>RVA2LGA Investors LLC</w:t>
            </w:r>
            <w:r>
              <w:rPr>
                <w:rFonts w:ascii="Times New Roman" w:cs="Times New Roman" w:eastAsia="Times New Roman" w:hAnsi="Times New Roman"/>
                <w:sz w:val="20"/>
                <w:szCs w:val="20"/>
                <w:color w:val="auto"/>
                <w:vertAlign w:val="superscript"/>
              </w:rPr>
              <w:t>(65)</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83,363</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15,513</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118,750</w:t>
            </w:r>
          </w:p>
        </w:tc>
        <w:tc>
          <w:tcPr>
            <w:tcW w:w="8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1.3%</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217,626</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118,750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20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3"/>
                <w:szCs w:val="13"/>
                <w:color w:val="auto"/>
              </w:rPr>
              <w:t>Magnetar Financial LLC</w:t>
            </w:r>
            <w:r>
              <w:rPr>
                <w:rFonts w:ascii="Times New Roman" w:cs="Times New Roman" w:eastAsia="Times New Roman" w:hAnsi="Times New Roman"/>
                <w:sz w:val="20"/>
                <w:szCs w:val="20"/>
                <w:color w:val="auto"/>
                <w:vertAlign w:val="superscript"/>
              </w:rPr>
              <w:t>(66)</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50,260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641,249</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6.7%</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691,509</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641,249</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Charlote Barron</w:t>
            </w:r>
          </w:p>
        </w:tc>
        <w:tc>
          <w:tcPr>
            <w:tcW w:w="96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396,538</w:t>
            </w:r>
          </w:p>
        </w:tc>
        <w:tc>
          <w:tcPr>
            <w:tcW w:w="8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89,394</w:t>
            </w:r>
          </w:p>
        </w:tc>
        <w:tc>
          <w:tcPr>
            <w:tcW w:w="8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136,832</w:t>
            </w: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89,394</w:t>
            </w: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349,100</w:t>
            </w:r>
          </w:p>
        </w:tc>
        <w:tc>
          <w:tcPr>
            <w:tcW w:w="60" w:type="dxa"/>
            <w:vAlign w:val="bottom"/>
          </w:tcPr>
          <w:p>
            <w:pPr>
              <w:spacing w:after="0"/>
              <w:rPr>
                <w:sz w:val="11"/>
                <w:szCs w:val="11"/>
                <w:color w:val="auto"/>
              </w:rPr>
            </w:pPr>
          </w:p>
        </w:tc>
        <w:tc>
          <w:tcPr>
            <w:tcW w:w="7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Claudia Barron</w:t>
            </w:r>
          </w:p>
        </w:tc>
        <w:tc>
          <w:tcPr>
            <w:tcW w:w="96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389,632</w:t>
            </w:r>
          </w:p>
        </w:tc>
        <w:tc>
          <w:tcPr>
            <w:tcW w:w="80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89,394</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136,832</w:t>
            </w:r>
          </w:p>
        </w:tc>
        <w:tc>
          <w:tcPr>
            <w:tcW w:w="8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89,394</w:t>
            </w:r>
          </w:p>
        </w:tc>
        <w:tc>
          <w:tcPr>
            <w:tcW w:w="8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342,194</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2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Lydia Barron</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489,338</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89,394</w:t>
            </w:r>
          </w:p>
        </w:tc>
        <w:tc>
          <w:tcPr>
            <w:tcW w:w="8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136,832</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89,394</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441,900</w:t>
            </w:r>
          </w:p>
        </w:tc>
        <w:tc>
          <w:tcPr>
            <w:tcW w:w="6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5" w:right="339" w:bottom="1440" w:gutter="0" w:footer="0" w:header="0"/>
        </w:sectPr>
      </w:pPr>
    </w:p>
    <w:bookmarkStart w:id="13" w:name="page14"/>
    <w:bookmarkEnd w:id="13"/>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17830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83080" cy="8890"/>
                    </a:xfrm>
                    <a:prstGeom prst="rect">
                      <a:avLst/>
                    </a:prstGeom>
                    <a:noFill/>
                  </pic:spPr>
                </pic:pic>
              </a:graphicData>
            </a:graphic>
          </wp:anchor>
        </w:drawing>
        <w:t>Denotes less than 1%.</w:t>
      </w:r>
    </w:p>
    <w:p>
      <w:pPr>
        <w:spacing w:after="0" w:line="225"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Selling Securityholders may be deemed to beneficially own other shares reported herein.</w:t>
      </w:r>
    </w:p>
    <w:p>
      <w:pPr>
        <w:spacing w:after="0" w:line="229" w:lineRule="exact"/>
        <w:rPr>
          <w:sz w:val="20"/>
          <w:szCs w:val="20"/>
          <w:color w:val="auto"/>
        </w:rPr>
      </w:pPr>
    </w:p>
    <w:p>
      <w:pPr>
        <w:ind w:left="660" w:right="520" w:hanging="652"/>
        <w:spacing w:after="0" w:line="188" w:lineRule="auto"/>
        <w:tabs>
          <w:tab w:leader="none" w:pos="660" w:val="left"/>
        </w:tabs>
        <w:numPr>
          <w:ilvl w:val="0"/>
          <w:numId w:val="8"/>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Unless otherwise indicated, the business address of each of these holders is c/o TMC the metals company Inc., 595 Howe Street,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Vancouver, British Columbia, Canada V6C 2T5.</w:t>
      </w:r>
    </w:p>
    <w:p>
      <w:pPr>
        <w:ind w:left="660" w:right="40" w:hanging="652"/>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14,941,656 Common Shares, and (ii) 4,078,044 Common Shares that are issuable upon exercise of options that are exercisable within 60 days of January 31, 2023. Does not include (i) 2,275,334 Common Shares underlying options that are not exercisable within 60 days of January 31, 2023, and (ii) 520,833 restricted stock units, or the RSUs, each representing the right to receive one Common Share upon vesting, that do not vest within 60 days of January 31, 2023.</w:t>
      </w:r>
    </w:p>
    <w:p>
      <w:pPr>
        <w:spacing w:after="0" w:line="1" w:lineRule="exact"/>
        <w:rPr>
          <w:rFonts w:ascii="Times New Roman" w:cs="Times New Roman" w:eastAsia="Times New Roman" w:hAnsi="Times New Roman"/>
          <w:sz w:val="18"/>
          <w:szCs w:val="18"/>
          <w:color w:val="auto"/>
        </w:rPr>
      </w:pPr>
    </w:p>
    <w:p>
      <w:pPr>
        <w:ind w:left="660" w:right="60" w:hanging="652"/>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2,677 Common Shares, (ii) 51,955,976 Common Shares held by ERAS Capital LLC, or ERAS, and (iii) 642,613 Common Shares that are issuable upon exercise of options that are exercisable within 60 days of January 31, 2023 held by Mr. Karkar. ERAS also holds 1,414,716 Private Placement Warrants to purchase 1,414,716 Common Shares. Does not include (i) 126,407 Common Shares underlying options that are not exercisable within 60 days of January 31, 2023 held by Mr. Karkar, and (ii) 73,382 RSUs that do not vest within 60 days of January 31, 2023 held by Mr. Karkar. Mr. Karkar has voting and dispositive control over the securities held by ERAS and therefore Mr. Karkar may be deemed to have beneficial ownership of the shares held by ERAS.</w:t>
      </w:r>
    </w:p>
    <w:p>
      <w:pPr>
        <w:spacing w:after="0" w:line="2" w:lineRule="exact"/>
        <w:rPr>
          <w:rFonts w:ascii="Times New Roman" w:cs="Times New Roman" w:eastAsia="Times New Roman" w:hAnsi="Times New Roman"/>
          <w:sz w:val="18"/>
          <w:szCs w:val="18"/>
          <w:color w:val="auto"/>
        </w:rPr>
      </w:pPr>
    </w:p>
    <w:p>
      <w:pPr>
        <w:ind w:left="660" w:right="40" w:hanging="652"/>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1,322,757 Common Shares, (ii) 618,381 Common Shares held by Bedrock Capital Corp., and (iii) 484,720 Common Shares that are issuable upon exercise of options that are exercisable within 60 days of January 31, 2023. Does not include 101,126 Common Shares underlying options that are not exercisable within 60 days of January 31, 2023. Mr. Matysek has voting and investment power over the shares held by Bedrock Capital Corp. The business address of such holder is 5603 - 1480 Howe Street, Vancouver, British Columbia, Canada V6Z 0G5.</w:t>
      </w:r>
    </w:p>
    <w:p>
      <w:pPr>
        <w:spacing w:after="0" w:line="1" w:lineRule="exact"/>
        <w:rPr>
          <w:rFonts w:ascii="Times New Roman" w:cs="Times New Roman" w:eastAsia="Times New Roman" w:hAnsi="Times New Roman"/>
          <w:sz w:val="18"/>
          <w:szCs w:val="18"/>
          <w:color w:val="auto"/>
        </w:rPr>
      </w:pPr>
    </w:p>
    <w:p>
      <w:pPr>
        <w:ind w:left="660" w:right="60" w:hanging="652"/>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126,407 Common Shares underlying options that are not exercisable within 60 days of January 31, 2023. Mr. Paes-Braga has voting and investment power over the shares held by WTP Capital Corp. and Valola Holdings Corp. The business address of such holder is 5603 - 1480 Howe Street, Vancouver, British Columbia, Canada V6Z 0G5.</w:t>
      </w:r>
    </w:p>
    <w:p>
      <w:pPr>
        <w:spacing w:after="0" w:line="1" w:lineRule="exact"/>
        <w:rPr>
          <w:rFonts w:ascii="Times New Roman" w:cs="Times New Roman" w:eastAsia="Times New Roman" w:hAnsi="Times New Roman"/>
          <w:sz w:val="18"/>
          <w:szCs w:val="18"/>
          <w:color w:val="auto"/>
        </w:rPr>
      </w:pPr>
    </w:p>
    <w:p>
      <w:pPr>
        <w:jc w:val="both"/>
        <w:ind w:left="660" w:right="140" w:hanging="652"/>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161,986 Common Shares, and (ii) 1,323,613 Common Shares that are issuable upon exercise of options that are exercisable within 60 days of January 31, 2023. Does not include (i) 505,630 Common Shares underlying options that are not exercisable within 60 days of January 31, 2023, and (ii) 104,167 RSUs that do not vest within 60 days of January 31, 2023.</w:t>
      </w:r>
    </w:p>
    <w:p>
      <w:pPr>
        <w:spacing w:after="0" w:line="1" w:lineRule="exact"/>
        <w:rPr>
          <w:rFonts w:ascii="Times New Roman" w:cs="Times New Roman" w:eastAsia="Times New Roman" w:hAnsi="Times New Roman"/>
          <w:sz w:val="18"/>
          <w:szCs w:val="18"/>
          <w:color w:val="auto"/>
        </w:rPr>
      </w:pPr>
    </w:p>
    <w:p>
      <w:pPr>
        <w:ind w:left="660" w:hanging="652"/>
        <w:spacing w:after="0" w:line="265" w:lineRule="auto"/>
        <w:tabs>
          <w:tab w:leader="none" w:pos="6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(i) 379,523 Common Shares, (ii) 30,682 Common Shares held of record by Ms. Ilves’ children, Helena Lupas and Dora Lupas, and (iii) 1,362,077 Common Shares that are issuable upon exercise of options that are exercisable within 60 days of January 31, 2023. Does not include (i) 1,011,259 Common Shares underlying options that are not exercisable within 60 days of January 31, 2023, and (ii) 156,250 RSUs that do not vest within 60 days of January 31, 2023. Ms. Ilves disclaims ownership over the shares held by her children, Helena Lupas and Dora Lupas.</w:t>
      </w:r>
    </w:p>
    <w:p>
      <w:pPr>
        <w:jc w:val="both"/>
        <w:ind w:left="660" w:right="60" w:hanging="652"/>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500,331 Common Shares, and (ii) 270,167 Common Shares that are issuable upon exercise of options that are exercisable within 60 days of January 31, 2023. Does not include (i) 387,898 Common Shares underlying options that are not exercisable within 60 days of January 31, 2023, and (ii) 156,250 RSUs that do not vest within 60 days of January 31, 2023.</w:t>
      </w:r>
    </w:p>
    <w:p>
      <w:pPr>
        <w:spacing w:after="0" w:line="1" w:lineRule="exact"/>
        <w:rPr>
          <w:rFonts w:ascii="Times New Roman" w:cs="Times New Roman" w:eastAsia="Times New Roman" w:hAnsi="Times New Roman"/>
          <w:sz w:val="18"/>
          <w:szCs w:val="18"/>
          <w:color w:val="auto"/>
        </w:rPr>
      </w:pPr>
    </w:p>
    <w:p>
      <w:pPr>
        <w:ind w:left="660" w:right="40" w:hanging="652"/>
        <w:spacing w:after="0" w:line="270" w:lineRule="auto"/>
        <w:tabs>
          <w:tab w:leader="none" w:pos="6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shares reported herein are held directly by Maersk Supply Services A/S, a wholly-owned subsidiary of A.P. Moller - Maersk A/S. A.P. Moller Holding A/S controls a majority of the outstanding equity interests and voting power of A.P. Moller - Maersk A/S. A.P. Moller Holding A/S is a wholly-owned subsidiary of A.P. Moller og Hustru Chastine Mc-Kinney Mollers Fond til almene Formaal, or the Moller Foundation. Ane Maersk Mc Kinney Uggla, Brigitte Possing, Lars-Erik Brenoe, Alette Maersk Mc-Kinney Sorensen and Claus Michael Valentin Hemmingsen, directors of the Moller Foundation, have voting and investment control over the shares held by Maersk Supply Service A/S. The business address of such holder is Esplanaden 50 Copenhagen K, DK-1098 Denmark. Maersk Supply Service A/S is a subsidiary of AP Moller-Maersk A/S.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14" w:name="page15"/>
    <w:bookmarkEnd w:id="14"/>
    <w:p>
      <w:pPr>
        <w:ind w:left="652" w:right="660" w:hanging="652"/>
        <w:spacing w:after="0" w:line="261" w:lineRule="auto"/>
        <w:tabs>
          <w:tab w:leader="none" w:pos="6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Anthony O’Sullivan has voting and investment control over the shares held by JOZEM Pty Ltd. The business address of such holder is 19 Tennyson Street, Bulimba, Queensland 4171.</w:t>
      </w:r>
    </w:p>
    <w:p>
      <w:pPr>
        <w:ind w:left="652" w:right="360" w:hanging="652"/>
        <w:spacing w:after="0" w:line="250" w:lineRule="auto"/>
        <w:tabs>
          <w:tab w:leader="none" w:pos="6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Paes-Braga has voting and investment power over the shares held by WTP Capital Corp. The business address of such holder is 1000-595 Howe Street, Vancouver, British Columbia, Canada V6C 2T5.</w:t>
      </w:r>
    </w:p>
    <w:p>
      <w:pPr>
        <w:ind w:left="652" w:right="20" w:hanging="652"/>
        <w:spacing w:after="0" w:line="250" w:lineRule="auto"/>
        <w:tabs>
          <w:tab w:leader="none" w:pos="6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Paes-Braga has voting and investment power over the shares held by Valola Holdings Corp. The business address of such holder is One Nexus Way, Camana Bay, Grand Cayman, Cayman Islands KY1-9005.</w:t>
      </w:r>
    </w:p>
    <w:p>
      <w:pPr>
        <w:ind w:left="652" w:right="420" w:hanging="652"/>
        <w:spacing w:after="0" w:line="250" w:lineRule="auto"/>
        <w:tabs>
          <w:tab w:leader="none" w:pos="6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such holder is 7 West Quay Road, Marina Residential Estate, 206 Pembroke Block C, Waterfront, Cape Town, South Africa 8001.</w:t>
      </w:r>
    </w:p>
    <w:p>
      <w:pPr>
        <w:ind w:left="652" w:right="140" w:hanging="652"/>
        <w:spacing w:after="0" w:line="250" w:lineRule="auto"/>
        <w:tabs>
          <w:tab w:leader="none" w:pos="6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Matysek has voting and investment power over the shares held by Bedrock Capital Corp. The business address of such holder is 5603 - 1480 Howe Street, Vancouver, British Columbia, Canada V6Z 0G5.</w:t>
      </w:r>
    </w:p>
    <w:p>
      <w:pPr>
        <w:ind w:left="652" w:hanging="652"/>
        <w:spacing w:after="0"/>
        <w:tabs>
          <w:tab w:leader="none" w:pos="6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such holder is c/o King Street, 299 Park Avenue, 40th Floor, New York, New York 10171.</w:t>
      </w:r>
    </w:p>
    <w:p>
      <w:pPr>
        <w:spacing w:after="0" w:line="9"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such holder is 115 East 67th Street, Apartment 4B, New York, New York 10065.</w:t>
      </w:r>
    </w:p>
    <w:p>
      <w:pPr>
        <w:spacing w:after="0" w:line="9" w:lineRule="exact"/>
        <w:rPr>
          <w:rFonts w:ascii="Times New Roman" w:cs="Times New Roman" w:eastAsia="Times New Roman" w:hAnsi="Times New Roman"/>
          <w:sz w:val="18"/>
          <w:szCs w:val="18"/>
          <w:color w:val="auto"/>
        </w:rPr>
      </w:pPr>
    </w:p>
    <w:p>
      <w:pPr>
        <w:ind w:left="652" w:right="340" w:hanging="652"/>
        <w:spacing w:after="0" w:line="265" w:lineRule="auto"/>
        <w:tabs>
          <w:tab w:leader="none" w:pos="652"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Christian Bolleter and Johannes Matt are each Directors of Blue Dragons AG, or Blue Dragons, and may be deemed to have voting and investment power over the shares held by Blue Dragons. The business address of such holder is Essanestrasse 91, Eschen, Liechtenstein 9492.</w:t>
      </w:r>
    </w:p>
    <w:p>
      <w:pPr>
        <w:ind w:left="652" w:hanging="652"/>
        <w:spacing w:after="0"/>
        <w:tabs>
          <w:tab w:leader="none" w:pos="6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such holder is 3270 Mathers Avenue, West Vancouver, British Columbia, Canada V7V 2K5.</w:t>
      </w:r>
    </w:p>
    <w:p>
      <w:pPr>
        <w:spacing w:after="0" w:line="9"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such holder is c/o King Street, 299 Park Avenue, 40th Floor, New York, New York 10171.</w:t>
      </w:r>
    </w:p>
    <w:p>
      <w:pPr>
        <w:spacing w:after="0" w:line="9"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such holder is 316 West 36th Street, Apartment 10A, New York, New York 10018.</w:t>
      </w:r>
    </w:p>
    <w:p>
      <w:pPr>
        <w:spacing w:after="0" w:line="9"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such holder is Flat 6, 46 Pont Street, London, United Kingdom SW1X 0AD.</w:t>
      </w:r>
    </w:p>
    <w:p>
      <w:pPr>
        <w:spacing w:after="0" w:line="9" w:lineRule="exact"/>
        <w:rPr>
          <w:rFonts w:ascii="Times New Roman" w:cs="Times New Roman" w:eastAsia="Times New Roman" w:hAnsi="Times New Roman"/>
          <w:sz w:val="18"/>
          <w:szCs w:val="18"/>
          <w:color w:val="auto"/>
        </w:rPr>
      </w:pPr>
    </w:p>
    <w:p>
      <w:pPr>
        <w:jc w:val="both"/>
        <w:ind w:left="652" w:right="260" w:hanging="652"/>
        <w:spacing w:after="0" w:line="250" w:lineRule="auto"/>
        <w:tabs>
          <w:tab w:leader="none" w:pos="6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 Otter Securities Group is a registered broker-dealer and FINRA member. Peter Smith, Peter Wisniewski and Nick Fahey may be deemed to have voting and investment power over the shares held by Sea Otter Securities Group. The business address of such holder is 107 Grand Street, 7th Floor, New York, New York 10013.</w:t>
      </w:r>
    </w:p>
    <w:p>
      <w:pPr>
        <w:spacing w:after="0" w:line="1" w:lineRule="exact"/>
        <w:rPr>
          <w:rFonts w:ascii="Times New Roman" w:cs="Times New Roman" w:eastAsia="Times New Roman" w:hAnsi="Times New Roman"/>
          <w:sz w:val="18"/>
          <w:szCs w:val="18"/>
          <w:color w:val="auto"/>
        </w:rPr>
      </w:pPr>
    </w:p>
    <w:p>
      <w:pPr>
        <w:ind w:left="652" w:right="120" w:hanging="652"/>
        <w:spacing w:after="0" w:line="250" w:lineRule="auto"/>
        <w:tabs>
          <w:tab w:leader="none" w:pos="6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Brian J. Higgins may be deemed to have voting and investment power over the shares held by Sigsbee Investments LLC. The business address of such holder is c/o King Street, 299 Park Avenue, 40th Floor, New York, New York 10171.</w:t>
      </w:r>
    </w:p>
    <w:p>
      <w:pPr>
        <w:ind w:left="652" w:right="300" w:hanging="652"/>
        <w:spacing w:after="0" w:line="250" w:lineRule="auto"/>
        <w:tabs>
          <w:tab w:leader="none" w:pos="6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Tian Tollefsen, Portfolio Manager of VPF Delphi Global, or VPF Global, may be deemed to have voting and investment power over the shares held by VPF Global. The business address of such holder is Professor Kohts vei 9, Lysaker, Norway 1327.</w:t>
      </w:r>
    </w:p>
    <w:p>
      <w:pPr>
        <w:ind w:left="652" w:right="280" w:hanging="652"/>
        <w:spacing w:after="0" w:line="250" w:lineRule="auto"/>
        <w:tabs>
          <w:tab w:leader="none" w:pos="6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Gmelich may be deemed to have voting and investment power over the shares held by the Justin Gmelich 2012 Family Trust. The business address of such holder is c/o King Street, 299 Park Avenue, 40th Floor, New York, New York 10171.</w:t>
      </w:r>
    </w:p>
    <w:p>
      <w:pPr>
        <w:ind w:left="652" w:hanging="652"/>
        <w:spacing w:after="0"/>
        <w:tabs>
          <w:tab w:leader="none" w:pos="6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of such holder is Apartment 6403, Jaddaf Waterfront Tower D1, Dubair, United Arab Emirates.</w:t>
      </w:r>
    </w:p>
    <w:p>
      <w:pPr>
        <w:spacing w:after="0" w:line="9" w:lineRule="exact"/>
        <w:rPr>
          <w:rFonts w:ascii="Times New Roman" w:cs="Times New Roman" w:eastAsia="Times New Roman" w:hAnsi="Times New Roman"/>
          <w:sz w:val="18"/>
          <w:szCs w:val="18"/>
          <w:color w:val="auto"/>
        </w:rPr>
      </w:pPr>
    </w:p>
    <w:p>
      <w:pPr>
        <w:ind w:left="652" w:right="300" w:hanging="652"/>
        <w:spacing w:after="0" w:line="250" w:lineRule="auto"/>
        <w:tabs>
          <w:tab w:leader="none" w:pos="6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Edward Heerema may be deemed to have voting and investment power over the shares held by Argentum Cedit Virtuti GCV. The business address of such holder is 18 Route de Pra de Plan, Case Postale, 411 1618 Chatel-Saint-Denis, Switzerland.</w:t>
      </w:r>
    </w:p>
    <w:p>
      <w:pPr>
        <w:ind w:left="652" w:hanging="652"/>
        <w:spacing w:after="0" w:line="250" w:lineRule="auto"/>
        <w:tabs>
          <w:tab w:leader="none" w:pos="6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22,701,648 Common Shares and (ii) 11,578,620 Common Shares issuable upon exercise of the Allseas Warrant. Does not include an aggregate of 10,850,000 Common Shares the Company intended to issue to Allseas as payment for the completion of pilot collection system trials in the Pacific Ocean, which were issued to Allseas on February 13, 2023. Mr. Edward Heerema, the Administrateur President of Allseas, has sole authority over Allseas. Mr. Heerema, Allseas Investments S.A., or Allseas Investments, the majority parent of Allseas, Argentum Cedit Virtuti GCV, the parent of Allseas Investments, and Stichting Administratiekantoor Aequa Lance Foundation, the parent of Allseas, Argentum Cedit Virtuti GCV, may be deemed to have beneficial ownership of the shares owned by Allseas. The business address of such holder is 18 Route de Pra de Plan, Case Postale, 411 1618 Chatel-Saint-Denis, Switzerland. We have a strategic relationship with Allseas in connection with the development of our collection systems.</w:t>
      </w:r>
    </w:p>
    <w:p>
      <w:pPr>
        <w:spacing w:after="0" w:line="3" w:lineRule="exact"/>
        <w:rPr>
          <w:rFonts w:ascii="Times New Roman" w:cs="Times New Roman" w:eastAsia="Times New Roman" w:hAnsi="Times New Roman"/>
          <w:sz w:val="18"/>
          <w:szCs w:val="18"/>
          <w:color w:val="auto"/>
        </w:rPr>
      </w:pPr>
    </w:p>
    <w:p>
      <w:pPr>
        <w:ind w:left="652" w:right="660" w:hanging="652"/>
        <w:spacing w:after="0" w:line="250" w:lineRule="auto"/>
        <w:tabs>
          <w:tab w:leader="none" w:pos="6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such holder is 18th Floor, Al Subaeie Tower, 5316 Street Prince Faisal Ibn Fahd Road, Khobar, Eastern Province, Kingdom of Saudi Arabia.</w:t>
      </w:r>
    </w:p>
    <w:p>
      <w:pPr>
        <w:ind w:left="652" w:right="60" w:hanging="652"/>
        <w:spacing w:after="0" w:line="260" w:lineRule="auto"/>
        <w:tabs>
          <w:tab w:leader="none" w:pos="6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Angela On Kei Leong, Ambrose So and Avraham Malamud may be deemed to have voting and investment power over the shares held by Portline Holdings Investments Limited. The business address of such holder is Wickhams Cay 1, Road Town, Tortola, British Virgin Islands.</w:t>
      </w:r>
    </w:p>
    <w:p>
      <w:pPr>
        <w:spacing w:after="0" w:line="39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337" w:right="339" w:bottom="1440" w:gutter="0" w:footer="0" w:header="0"/>
        </w:sectPr>
      </w:pPr>
    </w:p>
    <w:bookmarkStart w:id="15" w:name="page16"/>
    <w:bookmarkEnd w:id="15"/>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such holder is 902 Blanco Street, Austing Texas 78703.</w:t>
      </w:r>
    </w:p>
    <w:p>
      <w:pPr>
        <w:spacing w:after="0" w:line="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such holder is c/o Sustainable Opportunities Acquisition Corp., 1601 Bryan Street, Suite 4141, Dallas, Texas 75201.</w:t>
      </w:r>
    </w:p>
    <w:p>
      <w:pPr>
        <w:spacing w:after="0" w:line="9" w:lineRule="exact"/>
        <w:rPr>
          <w:rFonts w:ascii="Times New Roman" w:cs="Times New Roman" w:eastAsia="Times New Roman" w:hAnsi="Times New Roman"/>
          <w:sz w:val="18"/>
          <w:szCs w:val="18"/>
          <w:color w:val="auto"/>
        </w:rPr>
      </w:pPr>
    </w:p>
    <w:p>
      <w:pPr>
        <w:ind w:left="660" w:right="120" w:hanging="652"/>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David J. Foley may be deemed to have voting and investment power over the shares held by 1290533 B.C. Ltd. The business address of such holder is 38 Prince Arthur Avenue, Toronto Ontario, Canada M5R 1A9.</w:t>
      </w:r>
    </w:p>
    <w:p>
      <w:pPr>
        <w:ind w:left="660" w:right="180" w:hanging="652"/>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4,095,827 Common Shares and (ii) 716,916 Common Shares that are issuable upon exercise of options that are exercisable within 60 days of January 31, 2023. Does not include 95,238 RSUs that do not vest within 60 days of January 31, 2023. The business address of such holder is 16/1 MacQuarie Street, Teneriffe, QLD 4005 Australia.</w:t>
      </w:r>
    </w:p>
    <w:p>
      <w:pPr>
        <w:spacing w:after="0" w:line="1" w:lineRule="exact"/>
        <w:rPr>
          <w:rFonts w:ascii="Times New Roman" w:cs="Times New Roman" w:eastAsia="Times New Roman" w:hAnsi="Times New Roman"/>
          <w:sz w:val="18"/>
          <w:szCs w:val="18"/>
          <w:color w:val="auto"/>
        </w:rPr>
      </w:pPr>
    </w:p>
    <w:p>
      <w:pPr>
        <w:ind w:left="660" w:right="60" w:hanging="652"/>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2,650,853 Common Shares issuable upon exercise of the Public Warrants held by Aequanimitas Limited Partnership. Isidoro Quiroga Cortés, in his capacity as the sole limited partner of Aequanimitas Limited Partnership, or Aequanimitas, and the manager of Aequanimitas’s general partner, may be deemed to have voting and dispositive power with respect to the securities held by Aequanimitas. The business address of such holder is Presidente Riesco 5711 office 1603 Las Condes, Santiago, Chile.</w:t>
      </w:r>
    </w:p>
    <w:p>
      <w:pPr>
        <w:spacing w:after="0" w:line="1"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Isidoro Quiroga Cortés, María Victoria Quiroga Moreno, Martín Guiloff Salvador and Felipe Correa Gonz</w:t>
      </w:r>
      <w:r>
        <w:rPr>
          <w:rFonts w:ascii="Arial" w:cs="Arial" w:eastAsia="Arial" w:hAnsi="Arial"/>
          <w:sz w:val="18"/>
          <w:szCs w:val="18"/>
          <w:color w:val="auto"/>
        </w:rPr>
        <w:t>ȧ</w:t>
      </w:r>
      <w:r>
        <w:rPr>
          <w:rFonts w:ascii="Times New Roman" w:cs="Times New Roman" w:eastAsia="Times New Roman" w:hAnsi="Times New Roman"/>
          <w:sz w:val="18"/>
          <w:szCs w:val="18"/>
          <w:color w:val="auto"/>
        </w:rPr>
        <w:t>lez, in their capacity as members of the board of managers, may be deemed to have voting and dispositive power with respect to the securities held by South Lake One LLC. The business address of such holder is Presidente Riesco 5711 office 1603 Las Condes, Santiago, Chile.</w:t>
      </w:r>
    </w:p>
    <w:p>
      <w:pPr>
        <w:ind w:left="660" w:right="200" w:hanging="652"/>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Cadence Capital Limited, or Cadence Capital, is a company listed on the Australian Securities Exchange. The business address of such holder is Level 11, 131 Macquarie Street, Sydney, NSW 2000 Australia.</w:t>
      </w:r>
    </w:p>
    <w:p>
      <w:pPr>
        <w:ind w:left="660" w:right="320" w:hanging="652"/>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Cadence Global Pty Limited, or Cadence Global, is a 100% owned subsidiary of Cadence Capital, which is a company listed on the Australian Securities Exchange. Cadence Global disclaims beneficial ownership of its shares to Cadence Capital. The business address of such holder is Level 11, 131 Macquarie Street, Sydney, NSW 2000 Australia.</w:t>
      </w:r>
    </w:p>
    <w:p>
      <w:pPr>
        <w:spacing w:after="0" w:line="1" w:lineRule="exact"/>
        <w:rPr>
          <w:rFonts w:ascii="Times New Roman" w:cs="Times New Roman" w:eastAsia="Times New Roman" w:hAnsi="Times New Roman"/>
          <w:sz w:val="18"/>
          <w:szCs w:val="18"/>
          <w:color w:val="auto"/>
        </w:rPr>
      </w:pPr>
    </w:p>
    <w:p>
      <w:pPr>
        <w:ind w:left="660" w:right="460" w:hanging="652"/>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Glencore International AG is owned by Glencore plc, a publically listed entity on the London Stock Exchange. The business address of such holder is Baarermattstrasse 3, Baar, Zug, Switzerland 6340.</w:t>
      </w:r>
    </w:p>
    <w:p>
      <w:pPr>
        <w:ind w:left="660" w:hanging="652"/>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Heydon may be deemed to have voting and investment power over the shares held by $ PTY Limited ATP #1 Fund. The business address of such holder is 88 Stanmere Street, Carindale, QLD 4152 Australia. Mr. Heydon disclaims beneficial ownership over the shares held by Wimbledon Investments PTY Limited ATF Deakin Fund, which is controlled by his wife, Janis Heydon.</w:t>
      </w:r>
    </w:p>
    <w:p>
      <w:pPr>
        <w:spacing w:after="0" w:line="1" w:lineRule="exact"/>
        <w:rPr>
          <w:rFonts w:ascii="Times New Roman" w:cs="Times New Roman" w:eastAsia="Times New Roman" w:hAnsi="Times New Roman"/>
          <w:sz w:val="18"/>
          <w:szCs w:val="18"/>
          <w:color w:val="auto"/>
        </w:rPr>
      </w:pPr>
    </w:p>
    <w:p>
      <w:pPr>
        <w:jc w:val="both"/>
        <w:ind w:left="660" w:right="300" w:hanging="652"/>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Janis Heydon may be deemed to have voting and investment power over the shares held by Wimbledon Investments PTY Limited ATF Deakin Fund. The business address of such holder is 88 Stanmere Street, Carindale, QLD 4152 Australia. Ms. Heydon disclaims beneficial ownership over the shares held by $ PTY Limited ATP #1 Fund, which is controlled by her husband, David Heydon.</w:t>
      </w:r>
    </w:p>
    <w:p>
      <w:pPr>
        <w:spacing w:after="0" w:line="1" w:lineRule="exact"/>
        <w:rPr>
          <w:rFonts w:ascii="Times New Roman" w:cs="Times New Roman" w:eastAsia="Times New Roman" w:hAnsi="Times New Roman"/>
          <w:sz w:val="18"/>
          <w:szCs w:val="18"/>
          <w:color w:val="auto"/>
        </w:rPr>
      </w:pPr>
    </w:p>
    <w:p>
      <w:pPr>
        <w:ind w:left="660" w:right="500" w:hanging="652"/>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Nomura Securities International, Inc. is a registered broker-dealer and FINRA member. Received such Common Shares as consideration for advisory and placement agent services rendered in connection with the Business Combination.</w:t>
      </w: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such Common Shares in lieu of fees for professional services rendered in connection with the Business Combination.</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such Common Shares in lieu of fees for professional services rendered in connection with the Business Combination.</w:t>
      </w:r>
    </w:p>
    <w:p>
      <w:pPr>
        <w:spacing w:after="0" w:line="9" w:lineRule="exact"/>
        <w:rPr>
          <w:rFonts w:ascii="Times New Roman" w:cs="Times New Roman" w:eastAsia="Times New Roman" w:hAnsi="Times New Roman"/>
          <w:sz w:val="18"/>
          <w:szCs w:val="18"/>
          <w:color w:val="auto"/>
        </w:rPr>
      </w:pPr>
    </w:p>
    <w:p>
      <w:pPr>
        <w:ind w:left="660" w:right="460" w:hanging="652"/>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Wedbush Securities Inc. is a registered broker-dealer and FINRA member. Received such Common Shares as consideration for advisory and placement agent services rendered in connection with the Business Combination.</w:t>
      </w:r>
    </w:p>
    <w:p>
      <w:pPr>
        <w:ind w:left="660" w:right="360" w:hanging="652"/>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Northland Securities, Inc. is a registered broker-dealer and FINRA member. Received such Common Shares as consideration for advisory and placement agent services rendered in connection with the Business Combination.</w:t>
      </w:r>
    </w:p>
    <w:p>
      <w:pPr>
        <w:ind w:left="660" w:right="100" w:hanging="652"/>
        <w:spacing w:after="0" w:line="26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Scott Honour may be deemed to have voting and investment power over the shares held by LSS Sustainable SPAC, LLC. The business address of such holder is 315 Lake St E, Ste 301, Wayzata, MN 55391.</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ind w:left="652" w:right="280" w:hanging="652"/>
        <w:spacing w:after="0" w:line="257" w:lineRule="auto"/>
        <w:tabs>
          <w:tab w:leader="none" w:pos="65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25,009 Common Shares held by Scott E. Leonard IRA. Scott E. Leonard IRA also holds 35,625 Private Placement Warrants to purchase 35,625 Common Shares. Mr. Leonard may be deemed to have voting and investment power over the shares held by Scott E. Leonard IRA. The business address of such holder is 3816 Hanover St., Dallas, Texas 75225.</w:t>
      </w:r>
    </w:p>
    <w:p>
      <w:pPr>
        <w:spacing w:after="0" w:line="1" w:lineRule="exact"/>
        <w:rPr>
          <w:rFonts w:ascii="Times New Roman" w:cs="Times New Roman" w:eastAsia="Times New Roman" w:hAnsi="Times New Roman"/>
          <w:sz w:val="18"/>
          <w:szCs w:val="18"/>
          <w:color w:val="auto"/>
        </w:rPr>
      </w:pPr>
    </w:p>
    <w:p>
      <w:pPr>
        <w:ind w:left="652" w:right="180" w:hanging="652"/>
        <w:spacing w:after="0" w:line="250" w:lineRule="auto"/>
        <w:tabs>
          <w:tab w:leader="none" w:pos="65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154,261 Common Shares held by Gina Thomas Stryker, (ii) 147,672 Common Shares held by Gina Thomas Stryker 2008 Children’s Trust U/A DTD 12/09/2008 JRT and (iii) 147,672 Common Shares held by Gina Thomas Stryker 2008 Children’s Trust U/A DTD 12/09/2008 MET. Gina Thomas Stryker also holds 209,221 Private Placement Warrants to purchase 209,221 Common Shares. Gina Thomas Stryker 2008 Children’s Trust U/A DTD 12/09/2008 JRT also holds 202,528 Private Placement Warrants to purchase 202,528 Common Shares. Gina Thomas Stryker 2008 Children’s Trust U/A DTD 12/09/2008 MET also holds 202,528 Private Placement Warrants to purchase 202,528 Common Shares. Ms. Stryker is the trustee of each of these trusts. Does not include 73,382 RSUs that do not vest within 60 days of January 31, 2023. The business address of such holder is 1239 W. Bell St., Houston, TX 77019.</w:t>
      </w:r>
    </w:p>
    <w:p>
      <w:pPr>
        <w:spacing w:after="0" w:line="2" w:lineRule="exact"/>
        <w:rPr>
          <w:rFonts w:ascii="Times New Roman" w:cs="Times New Roman" w:eastAsia="Times New Roman" w:hAnsi="Times New Roman"/>
          <w:sz w:val="18"/>
          <w:szCs w:val="18"/>
          <w:color w:val="auto"/>
        </w:rPr>
      </w:pPr>
    </w:p>
    <w:p>
      <w:pPr>
        <w:ind w:left="652" w:right="20" w:hanging="652"/>
        <w:spacing w:after="0" w:line="250" w:lineRule="auto"/>
        <w:tabs>
          <w:tab w:leader="none" w:pos="65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143,459 Common Shares held by David Quiram and (ii) 8,336 Common Shares held by QUIRAM ROTH/IRA, DAVID J. David Quiram also holds 165,893 Private Placement Warrants to purchase 165,893 Common Shares. QUIRAM ROTH/IRA, DAVID J also holds 11,875 Private Placement Warrants to purchase 11,875 Common Shares. David Quiram may be deemed to have voting and investment power over the shares held by QUIRAM ROTH/IRA, DAVID J. The business address of such holder is 6707 Lake Circle Dr., Dallas, TX 75214.</w:t>
      </w:r>
    </w:p>
    <w:p>
      <w:pPr>
        <w:spacing w:after="0" w:line="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such holder is 3990 Vitruvian Way, Apt. 1263, Addison, TX 75001.</w:t>
      </w:r>
    </w:p>
    <w:p>
      <w:pPr>
        <w:spacing w:after="0" w:line="9" w:lineRule="exact"/>
        <w:rPr>
          <w:rFonts w:ascii="Times New Roman" w:cs="Times New Roman" w:eastAsia="Times New Roman" w:hAnsi="Times New Roman"/>
          <w:sz w:val="18"/>
          <w:szCs w:val="18"/>
          <w:color w:val="auto"/>
        </w:rPr>
      </w:pPr>
    </w:p>
    <w:p>
      <w:pPr>
        <w:ind w:left="652" w:hanging="652"/>
        <w:spacing w:after="0" w:line="250" w:lineRule="auto"/>
        <w:tabs>
          <w:tab w:leader="none" w:pos="65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145,151 Common Shares held by Susan Tanski and (ii) 4,168 Common Shares held by Susan B. Tanski BENE. Susan Tanski also holds 199,072 Private Placement Warrants to purchase 199,072 Common Shares. Susan B. Tanski BENE also holds 5,937 Private Placement Warrants to purchase 5,937 Common Shares. Susan Tanski may be deemed to have voting and investment power over the shares held by Susan B. Tanski BENE. The business address of such holder is 2155 Washington Ct. Apt. 504, Miami Beach, FL 33139.</w:t>
      </w:r>
    </w:p>
    <w:p>
      <w:pPr>
        <w:spacing w:after="0" w:line="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such holder is 123 Linden Avenue, Atherton, CA 94027.</w:t>
      </w:r>
    </w:p>
    <w:p>
      <w:pPr>
        <w:spacing w:after="0" w:line="9" w:lineRule="exact"/>
        <w:rPr>
          <w:rFonts w:ascii="Times New Roman" w:cs="Times New Roman" w:eastAsia="Times New Roman" w:hAnsi="Times New Roman"/>
          <w:sz w:val="18"/>
          <w:szCs w:val="18"/>
          <w:color w:val="auto"/>
        </w:rPr>
      </w:pPr>
    </w:p>
    <w:p>
      <w:pPr>
        <w:ind w:left="652" w:right="120" w:hanging="652"/>
        <w:spacing w:after="0" w:line="250" w:lineRule="auto"/>
        <w:tabs>
          <w:tab w:leader="none" w:pos="65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25,009 Common Shares held by SHERIDAN III IRAT, JAMES J. James J. Sheridan holds 108,328 Private Placement Warrants to purchase 108,328 Common Shares. SHERIDAN III IRAT, JAMES J also holds 35,625 Private Placement Warrants to purchase 35,625 Common Shares. James J. Sheridan may be deemed to have voting and investment power over the shares held by SHERIDAN III IRAT, JAMES J. The business address of such holder is 651 Bastrop Rd, Lucas, TX 75002.</w:t>
      </w:r>
    </w:p>
    <w:p>
      <w:pPr>
        <w:spacing w:after="0" w:line="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such holder is 3100 Maplewood Road, Wayzata, MN 55391.</w:t>
      </w:r>
    </w:p>
    <w:p>
      <w:pPr>
        <w:spacing w:after="0" w:line="9"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such holder is 7942 Cooper Road, Cincinnati, OH 45242.</w:t>
      </w:r>
    </w:p>
    <w:p>
      <w:pPr>
        <w:spacing w:after="0" w:line="9" w:lineRule="exact"/>
        <w:rPr>
          <w:rFonts w:ascii="Times New Roman" w:cs="Times New Roman" w:eastAsia="Times New Roman" w:hAnsi="Times New Roman"/>
          <w:sz w:val="18"/>
          <w:szCs w:val="18"/>
          <w:color w:val="auto"/>
        </w:rPr>
      </w:pPr>
    </w:p>
    <w:p>
      <w:pPr>
        <w:ind w:left="652" w:right="40" w:hanging="652"/>
        <w:spacing w:after="0" w:line="250" w:lineRule="auto"/>
        <w:tabs>
          <w:tab w:leader="none" w:pos="65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Warren L. Strickland Jr. may be deemed to have voting and investment power over the shares held by Strickland 2004 Family Trust. The business address of such holder is 28 Edge Hill Drive, Dallas, TX 75248-7915.</w:t>
      </w:r>
    </w:p>
    <w:p>
      <w:pPr>
        <w:ind w:left="652" w:hanging="652"/>
        <w:spacing w:after="0"/>
        <w:tabs>
          <w:tab w:leader="none" w:pos="65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such holder is 1555 Elm St. Apt# 3103, Dallas, TX 75201.</w:t>
      </w:r>
    </w:p>
    <w:p>
      <w:pPr>
        <w:spacing w:after="0" w:line="9"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such holder is 2539 Telegraph Ave, APT 601, Berkeley, CA 94704.</w:t>
      </w:r>
    </w:p>
    <w:p>
      <w:pPr>
        <w:spacing w:after="0" w:line="9" w:lineRule="exact"/>
        <w:rPr>
          <w:rFonts w:ascii="Times New Roman" w:cs="Times New Roman" w:eastAsia="Times New Roman" w:hAnsi="Times New Roman"/>
          <w:sz w:val="18"/>
          <w:szCs w:val="18"/>
          <w:color w:val="auto"/>
        </w:rPr>
      </w:pPr>
    </w:p>
    <w:p>
      <w:pPr>
        <w:ind w:left="652" w:right="440" w:hanging="652"/>
        <w:spacing w:after="0" w:line="250" w:lineRule="auto"/>
        <w:tabs>
          <w:tab w:leader="none" w:pos="65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Patrick Williams may be deemed to have voting and investment power over the shares held by WILLIAMS IRAT, MICHAEL. The business address of such holder is 110 Wilmington Ct., Southlake, TX 76092.</w:t>
      </w:r>
    </w:p>
    <w:p>
      <w:pPr>
        <w:ind w:left="652" w:hanging="652"/>
        <w:spacing w:after="0"/>
        <w:tabs>
          <w:tab w:leader="none" w:pos="65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such holder is 110 Wilmington Ct., Southlake, TX 76092.</w:t>
      </w:r>
    </w:p>
    <w:p>
      <w:pPr>
        <w:spacing w:after="0" w:line="9"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such holder is 3404 Drexel Dr., Dallas, Texas 75205.</w:t>
      </w:r>
    </w:p>
    <w:p>
      <w:pPr>
        <w:spacing w:after="0" w:line="9"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such holder is 9 Pintail Point, Heath, TX 75032.</w:t>
      </w:r>
    </w:p>
    <w:p>
      <w:pPr>
        <w:spacing w:after="0" w:line="9"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such holder is 484 Mississippi River Blvd. S., St. Paul, MN 55116.</w:t>
      </w:r>
    </w:p>
    <w:p>
      <w:pPr>
        <w:spacing w:after="0" w:line="9"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such holder is 4 Ampthill Road, Richmond, VA 23226.</w:t>
      </w:r>
    </w:p>
    <w:p>
      <w:pPr>
        <w:spacing w:after="0" w:line="9" w:lineRule="exact"/>
        <w:rPr>
          <w:rFonts w:ascii="Times New Roman" w:cs="Times New Roman" w:eastAsia="Times New Roman" w:hAnsi="Times New Roman"/>
          <w:sz w:val="18"/>
          <w:szCs w:val="18"/>
          <w:color w:val="auto"/>
        </w:rPr>
      </w:pPr>
    </w:p>
    <w:p>
      <w:pPr>
        <w:ind w:left="652" w:right="60" w:hanging="652"/>
        <w:spacing w:after="0" w:line="251" w:lineRule="auto"/>
        <w:tabs>
          <w:tab w:leader="none" w:pos="65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Magnetar Constellation Master Fund, LTD. holds 164,801 Private Placement Warrants to purchase 164,801 Common Shares. Magnetar Constellation Master Fund II, LTD holds 44,567 Private Placement Warrants to purchase 44,567 Common Shares. Magnetar SC Fund LTD holds 45,208 Private Placement Warrants to purchase 45,208 Common Shares. Magnetar Structured Credit Fund, LP. holds 66,049 Private Placement Warrants to purchase 66,049 Common Shares. Also includes 320,624 Private Placement Warrants to purchase 320,624 Common Shares held by transferees of Magnetar Constellation Master Fund, LTD., Magnetar Constellation Master Fund II, LTD, Magnetar SC Fund LTD and Magnetar Structured Credit Fund, LP. Magnetar Financial LLC, a Delaware limited liability company, or Magnetar Financial, shares voting and dispositive power with Magnetar Capital Partners LP, Supernova Management LLC and David J. Snyderman with regard to the shares held by Magnetar Constellation Master Fund, LTD, Magnetar Constellation Fund II, LTD and Magnetar SC Fund LTD, all Cayman Islands exempted companies, collectively the Magnetar Funds. Magnetar Financial serves as the investment adviser to the Magnetar Funds, and as such, Magnetar Financial exercises voting and investment power over the common Shares held for the Magnetar Funds’ accounts. Magnetar Capital Partners LP serves as the sole member and parent holding company of Magnetar Financial. Supernova Management LLC is the general partner of Magnetar Capital Partners LP. The manager of Supernova Management LLC is David J. Snyderman. The address of the principal business office of each of Magnetar Financial, Magnetar Capital Partners LP, Supernova Management LLC and David J. Snyderman is 1603 Orrington Avenue, 13th Floor, Evanston, Illinois 60201.</w:t>
      </w:r>
    </w:p>
    <w:p>
      <w:pPr>
        <w:spacing w:after="0" w:line="200" w:lineRule="exact"/>
        <w:rPr>
          <w:sz w:val="20"/>
          <w:szCs w:val="20"/>
          <w:color w:val="auto"/>
        </w:rPr>
      </w:pPr>
    </w:p>
    <w:p>
      <w:pPr>
        <w:spacing w:after="0" w:line="207"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72"/>
          </w:cols>
          <w:pgMar w:left="328" w:top="337" w:right="39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registering the issuance by us of up to 9,500,000 of our Common Shares issuable upon the exercise of the Private Placement Warrants and 15,000,000 of our Common Shares issuable upon the exercise of the Public Warrants. We are also registering the resale by the Selling Securityholders of up to 9,500,000 Private Placement Warrants and up to 248,779,861 of our Common Shares.</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Selling Securityholders may offer and sell, from time to time, their respective Common Shares, and Private Placement Warrants covered by this prospectus.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Securityholders may sell their securities by one or more of, or a combination of, the following methods:</w:t>
      </w:r>
    </w:p>
    <w:p>
      <w:pPr>
        <w:spacing w:after="0" w:line="183"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9" w:lineRule="exact"/>
        <w:rPr>
          <w:rFonts w:ascii="Times New Roman" w:cs="Times New Roman" w:eastAsia="Times New Roman" w:hAnsi="Times New Roman"/>
          <w:sz w:val="18"/>
          <w:szCs w:val="18"/>
          <w:color w:val="auto"/>
        </w:rPr>
      </w:pPr>
    </w:p>
    <w:p>
      <w:pPr>
        <w:ind w:left="660" w:right="34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shares as agent but may position and resell a portion of the block as principal to facilitate the transaction;</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Nasdaq;</w:t>
      </w:r>
    </w:p>
    <w:p>
      <w:pPr>
        <w:spacing w:after="0" w:line="9"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to employees, members, limited partners or stockholders of the Selling Securityholders;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 whether through an options exchange or otherwise;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secured debts and other obligations;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delivery arrangements;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agents;</w:t>
      </w:r>
    </w:p>
    <w:p>
      <w:pPr>
        <w:spacing w:after="0" w:line="9" w:lineRule="exact"/>
        <w:rPr>
          <w:rFonts w:ascii="Times New Roman" w:cs="Times New Roman" w:eastAsia="Times New Roman" w:hAnsi="Times New Roman"/>
          <w:sz w:val="18"/>
          <w:szCs w:val="18"/>
          <w:color w:val="auto"/>
        </w:rPr>
      </w:pPr>
    </w:p>
    <w:p>
      <w:pPr>
        <w:ind w:left="660" w:right="34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options transactions;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of sale, as described below, or any other method permitted pursuant to applicable law.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any securities that qualify for sale pursuant to Rule 144 may be sold under Rule 144 rather than pursuant to this prospectus.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To the extent required, this prospectus may be amended or supplemented from time to time to describe a specific plan of distribution. 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8" w:name="page19"/>
    <w:bookmarkEnd w:id="18"/>
    <w:p>
      <w:pPr>
        <w:ind w:right="260"/>
        <w:spacing w:after="0" w:line="312" w:lineRule="auto"/>
        <w:rPr>
          <w:sz w:val="20"/>
          <w:szCs w:val="20"/>
          <w:color w:val="auto"/>
        </w:rPr>
      </w:pPr>
      <w:r>
        <w:rPr>
          <w:rFonts w:ascii="Times New Roman" w:cs="Times New Roman" w:eastAsia="Times New Roman" w:hAnsi="Times New Roman"/>
          <w:sz w:val="17"/>
          <w:szCs w:val="17"/>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14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offering the securities covered by this prospectus, the Selling Securityholders and any broker-dealers who execute sales for the Selling Securityholders may be deemed to be “underwriters” within the meaning of the Securities Act in connection with such sales. Any profits realized by the Selling Securityholders and the compensation of any broker-dealer may be deemed to be underwriting discounts and commissions.</w:t>
      </w:r>
    </w:p>
    <w:p>
      <w:pPr>
        <w:spacing w:after="0" w:line="176"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76"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We will make copies of this prospectus available to the Selling Securityholders for the purpose of satisfying the prospectus delivery requirements of the Securities Act. The Selling Securityholders may indemnify any broker-dealer that participates in transactions involving the sale of the securities against certain liabilities, including liabilities arising under the Securities Act.</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 holder of Private Placement Warrants or Public Warrants may exercise its Private Placement Warrants or Public Warrants in accordance with the Warrant agreements on or before the expiration date set forth therein by surrendering, at the office of the Warrant Agent, Continental Stock Transfer &amp; Trust Company, the certificate evidencing such Private Placement Warrants or Public Warrants, with the form of election to purchase set forth thereon, properly completed and duly executed, accompanied by full payment of the exercise price and any and all applicable taxes due in connection with the exercise of the Private Placement Warrants or Public Warrants, subject to any applicable provisions relating to cashless exercises in accordance with the Warrant agreements.</w:t>
      </w:r>
    </w:p>
    <w:p>
      <w:pPr>
        <w:spacing w:after="0" w:line="18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have agreed to indemnify certain of the Selling Securityholders against certain liabilities, including certain liabilities under the Securities Act, the Exchange Act or other federal or state law.</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have agreed with certain Selling Securityholders pursuant to the Amended and Restated Registration Rights Agreement (as defined below) to use our commercially reasonable efforts to keep the registration statement of which this prospectus constitutes a part effective until such time as all securities covered by this prospectus have been sold or otherwise cease to be registrable securities.</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have also agreed with the PIPE investors pursuant to the subscription agreements for the PIPE Financing to cause the registration statement to remain effective until the earlier of (i) three years from the effective date of the registration statement, (ii) the date the Selling Securityholder ceases to hold the shares covered by the registration statement or (iii) the first date on which the Selling Securityholder can sell all of its shares under Rule 144 of the Securities Act without restriction.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summary of the material terms of the authorized capital of TMC the metals company Inc. (formerly Sustainable Opportunities Acquisition Corp.) and other securities is not intended to be a complete summary of the rights and preferences of such securities, and is qualified by reference to the notice of articles and articles of TMC the metals company Inc., or Notice and Articles, and the provisions of applicable law, including the Business Corporations Act (British Columbia), or BCBCA, and the warrant-related documents described herein, each of which are incorporated by reference as an exhibit to the registration statement of which this prospectus is a part, and certain provisions of British Columbia law. We urge you to read each of the Notice and Articles and the warrant-related documents described herein in their entirety for a complete description of the rights and preferences of our securities. Unless the context requires otherwise, all references to “we”, “us,” “our,” the “Company” and “TMC” in this section refer solely to TMC the metals company Inc. (formerly Sustainable Opportunities Acquisition Corp.) and not to our subsidiaries.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Share Capital</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authorized to issue (a) an unlimited number of Common Shares, without par value, or Common Shares, (b) an unlimited number of preferred shares, issuable in series, (c) 5,000,000 Class A Special Shares, or Class A Special Shares, (d) 10,000,000 Class B Special Shares, or Class B Special Shares, (e) 10,000,000 Class C Special Shares, or Class C Special Shares, (f) 20,000,000 Class D Special Shares, or Class D Special Shares, (g) 20,000,000 Class E Special Shares, or Class E Special Shares, (h) 20,000,000 Class F Special Shares, or Class F Special Shares, (i) 25,000,000 Class G Special Shares, or Class G Special Shares, (j) 25,000,000 Class H Special Shares, or Class H Special Shares, (k) 500,000 Class I Special Shares, or Class I Special Shares, and (l) 741,000 Class J Special Shares, or Class J Special Shares, each without par value, all such Special Shares are collectively referred to herein as the Special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Shares</w:t>
      </w:r>
    </w:p>
    <w:p>
      <w:pPr>
        <w:spacing w:after="0" w:line="22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 xml:space="preserve">As of January 31, 2023, there were 266,812,131 Common Shares issued and outstanding. As of January 31, 2023, we had approximately 108 record holders of Common Shares. Holders of Common Shares are entitled to one (1) vote per share on all matters upon which holders of shares are entitled to vote. Subject to the BCBCA and prior rights of the holders of preferred shares and any other class ranking senior to the Common Shares, the holders of Common Shares are entitled to receive dividends as, if and when declared by the board of directors. Subject to the prior rights of the holders of Special Shares and preferred shares, and any other class ranking senior to the Common Shares, in the event of our liquidation, dissolution or winding-up or other distribution of our assets among our shareholders, the holders of Common Shares will be entitled to share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the distribution of the balance of our assets. Holders of Common Shares will have no pre-emptive or conversion or exchange rights or other subscription rights. There are no redemption, retraction, purchase for cancellation or surrender provisions or sinking or purchase fund provisions applicable to Common Shares. There is no provision in the Notice and Articles requiring holders of Common Shares to contribute additional capital, or permitting or restricting the issuance of additional securities of authorized share capital or any other material restrictions. The special rights or restrictions attached to Common Shares are subject to and may be adversely affected by, the rights attached to any series of preferred shares that the board of directors may designate in the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Shares</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are authorized to issue an unlimited number of preferred shares, issuable in series. Accordingly, the board of directors is authorized, without shareholder approval but subject to the provisions of the BCBCA and the Notice and Articles, to determine the maximum number of shares of each series, create an identifying name for each series and attach such special rights or restrictions, including dividend, liquidation and voting rights, as the board of directors may determine, and such special rights or restrictions, including dividend, liquidation and voting rights, may be superior to those of the Common Shares. The issuance of preferred shares, while providing flexibility in connection with possible acquisitions and other corporate purposes, could, among other things, have the effect of delaying, deferring or discouraging potential acquisition proposals and might adversely affect the market price of the Common Shares and the voting and other rights of the holders of Common Shares. We have no current plan to issue any preferred shares.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Shares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of January 31, 2023, there were issued and outstanding (a) 4,999,973 Class A Special Shares, (b) 9,999,853 Class B Special Shares, (c) 9,999,853 Class C Special Shares, (d) 19,999,855 Class D Special Shares, (e) 19,999,855 Class E Special Shares, (f) 19,999,855 Class F Special Shares, (g) 24,999,860 Class G Special Shares, (h) 24,999,860 Class H Special Shares, (i) 500,000 Class I Special Shares, and (j) 741,000 Class J Special Shares.</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Holders of Special Shares are not entitled to any voting rights, except as required under the BCBCA in certain circumstances, and are not entitled to receive dividends. Subject to the prior rights of the holders of preferred shares, in the event of our liquidation, dissolution or winding-up or other distribution of our assets among our shareholders, the holders of Special Shares will be entitled to receive an amount equal to $0.00000000001 per Special Share, or the Redemption Price. Holders of Special Shares have no pre-emptive or exchange rights or other subscription rights. There is no provision in the Notice and Articles requiring holders of Special Shares to contribute additional capital. The special rights or restrictions attached to Special Shares are subject to and may be adversely affected by, the rights attached to any series of preferred shares that the board of directors may designate in the future. The Notice and Articles provide that the Special Shares may not be, directly or indirectly, sold, transferred, assigned, pledged, mortgaged, exchanged, hypothecated or encumbered without the prior approval of the board of directors, which shall only be given under certain circumstances specified in the Notice and Articles, or a Permitted Transfer. Notwithstanding the foregoing, any holder of Special Shares may, at any time, provide an irrevocable direction and agreement in favor of us that a proposed transfer shall be deemed not to be a Permitted Transfer and that irrevocable direction may provide that any other Permitted Transfer shall require that the transferee provide an identical type of irrevocable direction and agreement.</w:t>
      </w:r>
    </w:p>
    <w:p>
      <w:pPr>
        <w:spacing w:after="0" w:line="192"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18"/>
          <w:szCs w:val="18"/>
          <w:color w:val="auto"/>
        </w:rPr>
        <w:t>Subject to the provisions of the BCBCA, any Special Shares then outstanding shall be redeemed by us without any action on the part of the holders of Special Shares (i) at any time after the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year anniversary of the original issue date of the Special Shares or (ii) at any time after a Change of Control, in each case at the Redemption Price. For the purposes of the Notice and Articles, “Change of Control” means any transaction or series of related transactions</w:t>
      </w:r>
    </w:p>
    <w:p>
      <w:pPr>
        <w:spacing w:after="0" w:line="3" w:lineRule="exact"/>
        <w:rPr>
          <w:sz w:val="20"/>
          <w:szCs w:val="20"/>
          <w:color w:val="auto"/>
        </w:rPr>
      </w:pPr>
    </w:p>
    <w:p>
      <w:pPr>
        <w:ind w:right="120" w:firstLine="8"/>
        <w:spacing w:after="0" w:line="251"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which any person or one or more persons that are affiliates or that are acting as a “group” (as defined in Section 13(d)(3) of the Exchange Act), directly or indirectly, acquires or otherwise purchases (i) the Company or (ii) all or a material portion of assets, businesses or our Equity Securities (as defined below) or (y) that results, directly or indirectly, in our shareholders as of immediately prior to such transaction holding, in the aggregate, less than 50% of the voting Equity Securities immediately after the consummation thereof (excluding, for the avoidance of doubt, any Special Shares and the Common Shares issuable upon conversion thereof) (in the case of each of clause (x) and (y), whether by amalgamation, merger, consolidation, arrangement, tender offer, recapitalization, purchase or issuance of Equity Securities or otherwise), and “Equity Securities” shall refer to Common Shares, the preferred shares, Special Shares or any other class of shares or series thereof in capital or similar interest in us(including any stock appreciation, phantom stock, profit participation or similar rights), and any option, warrant, right or security (including debt securities) convertible, exchangeable or exercisable therefor.</w:t>
      </w:r>
    </w:p>
    <w:p>
      <w:pPr>
        <w:spacing w:after="0" w:line="19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Special Shares will automatically convert into Common Shares on a one (1) for one (1) basis (unless adjusted as described below) upon the occurrence of the following events:</w:t>
      </w:r>
    </w:p>
    <w:p>
      <w:pPr>
        <w:spacing w:after="0" w:line="162" w:lineRule="exact"/>
        <w:rPr>
          <w:sz w:val="20"/>
          <w:szCs w:val="20"/>
          <w:color w:val="auto"/>
        </w:rPr>
      </w:pPr>
    </w:p>
    <w:p>
      <w:pPr>
        <w:ind w:left="660" w:right="60" w:hanging="328"/>
        <w:spacing w:after="0" w:line="26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A Special Shares, if (a) on any twenty (20) trading days within any thirty (30) trading day period, the Common Shares trade on the principal securities exchange or securities market on which Common Shares are then traded for a price that is greater than or equal to $15.00, or (b) there occurs any transaction resulting in a Change of Control with a valuation of the Common Shares that is greater than or equal to $15.00 per Common Share;</w:t>
      </w:r>
    </w:p>
    <w:p>
      <w:pPr>
        <w:spacing w:after="0" w:line="179" w:lineRule="exact"/>
        <w:rPr>
          <w:rFonts w:ascii="Times New Roman" w:cs="Times New Roman" w:eastAsia="Times New Roman" w:hAnsi="Times New Roman"/>
          <w:sz w:val="18"/>
          <w:szCs w:val="18"/>
          <w:color w:val="auto"/>
        </w:rPr>
      </w:pPr>
    </w:p>
    <w:p>
      <w:pPr>
        <w:ind w:left="660" w:right="60" w:hanging="328"/>
        <w:spacing w:after="0" w:line="26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B Special Shares, if (a) on any twenty (20) trading days within any thirty (30) trading day period, the Common Shares trade on the principal securities exchange or securities market on which Common Shares are then traded for a price that is greater than or equal to $25.00, or (b) there occurs any transaction resulting in a Change of Control with a valuation of the Common Shares that is greater than or equal to $25.00 per Common Share;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1" w:name="page22"/>
    <w:bookmarkEnd w:id="21"/>
    <w:p>
      <w:pPr>
        <w:ind w:left="660" w:right="60" w:hanging="328"/>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C Special Shares, if (a) on any twenty (20) trading days within any thirty (30) trading day period, the Common Shares trade on the principal securities exchange or securities market on which Common Shares are then traded for a price that is greater than or equal to $35.00, or (b) there occurs any transaction resulting in a Change of Control with a valuation of the Common Shares that is greater than or equal to $35.00 per Common Share;</w:t>
      </w:r>
    </w:p>
    <w:p>
      <w:pPr>
        <w:spacing w:after="0" w:line="179" w:lineRule="exact"/>
        <w:rPr>
          <w:rFonts w:ascii="Times New Roman" w:cs="Times New Roman" w:eastAsia="Times New Roman" w:hAnsi="Times New Roman"/>
          <w:sz w:val="18"/>
          <w:szCs w:val="18"/>
          <w:color w:val="auto"/>
        </w:rPr>
      </w:pPr>
    </w:p>
    <w:p>
      <w:pPr>
        <w:ind w:left="660" w:right="60" w:hanging="328"/>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D Special Shares, if (a) on any twenty (20) trading days within any thirty (30) trading day period, the Common Shares trade on the principal securities exchange or securities market on which Common Shares are then traded for a price that is greater than or equal to $50.00, or (b) there occurs any transaction resulting in a Change of Control with a valuation of the Common Shares that is greater than or equal to $50.00 per Common Share;</w:t>
      </w:r>
    </w:p>
    <w:p>
      <w:pPr>
        <w:spacing w:after="0" w:line="179" w:lineRule="exact"/>
        <w:rPr>
          <w:rFonts w:ascii="Times New Roman" w:cs="Times New Roman" w:eastAsia="Times New Roman" w:hAnsi="Times New Roman"/>
          <w:sz w:val="18"/>
          <w:szCs w:val="18"/>
          <w:color w:val="auto"/>
        </w:rPr>
      </w:pPr>
    </w:p>
    <w:p>
      <w:pPr>
        <w:ind w:left="660" w:right="60" w:hanging="328"/>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E Special Shares, if (a) on any twenty (20) trading days within any thirty (30) trading day period, the Common Shares trade on the principal securities exchange or securities market on which Common Shares are then traded for a price that is greater than or equal to $75.00, or (b) there occurs any transaction resulting in a Change of Control with a valuation of the Common Shares that is greater than or equal to $75.00 per Common Share;</w:t>
      </w:r>
    </w:p>
    <w:p>
      <w:pPr>
        <w:spacing w:after="0" w:line="179" w:lineRule="exact"/>
        <w:rPr>
          <w:rFonts w:ascii="Times New Roman" w:cs="Times New Roman" w:eastAsia="Times New Roman" w:hAnsi="Times New Roman"/>
          <w:sz w:val="18"/>
          <w:szCs w:val="18"/>
          <w:color w:val="auto"/>
        </w:rPr>
      </w:pPr>
    </w:p>
    <w:p>
      <w:pPr>
        <w:ind w:left="660" w:right="80" w:hanging="328"/>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F Special Shares, if (a) on any twenty (20) trading days within any thirty (30) trading day period, the Common Shares trade on the principal securities exchange or securities market on which Common Shares are then traded for a price that is greater than or equal to $100.00, or (b) there occurs any transaction resulting in a Change of Control with a valuation of the Common Shares that is greater than or equal to $100.00 per Common Share;</w:t>
      </w:r>
    </w:p>
    <w:p>
      <w:pPr>
        <w:spacing w:after="0" w:line="179" w:lineRule="exact"/>
        <w:rPr>
          <w:rFonts w:ascii="Times New Roman" w:cs="Times New Roman" w:eastAsia="Times New Roman" w:hAnsi="Times New Roman"/>
          <w:sz w:val="18"/>
          <w:szCs w:val="18"/>
          <w:color w:val="auto"/>
        </w:rPr>
      </w:pPr>
    </w:p>
    <w:p>
      <w:pPr>
        <w:ind w:left="660" w:right="80" w:hanging="328"/>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G Special Shares, if (a) on any twenty (20) trading days within any thirty (30) trading day period, the Common Shares trade on the principal securities exchange or securities market on which Common Shares are then traded for a price that is greater than or equal to $150.00, or (b) there occurs any transaction resulting in a Change of Control with a valuation of the Common Shares that is greater than or equal to $150.00 per Common Share;</w:t>
      </w:r>
    </w:p>
    <w:p>
      <w:pPr>
        <w:spacing w:after="0" w:line="179" w:lineRule="exact"/>
        <w:rPr>
          <w:rFonts w:ascii="Times New Roman" w:cs="Times New Roman" w:eastAsia="Times New Roman" w:hAnsi="Times New Roman"/>
          <w:sz w:val="18"/>
          <w:szCs w:val="18"/>
          <w:color w:val="auto"/>
        </w:rPr>
      </w:pPr>
    </w:p>
    <w:p>
      <w:pPr>
        <w:ind w:left="660" w:right="80" w:hanging="328"/>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H Special Shares, if (a) on any twenty (20) trading days within any thirty (30) trading day period, the Common Shares trade on the principal securities exchange or securities market on which Common Shares are then traded for a price that is greater than or equal to $200.00, or (b) there occurs any transaction resulting in a Change of Control with a valuation of the Common Shares that is greater than or equal to $200.00 per Common Share;</w:t>
      </w:r>
    </w:p>
    <w:p>
      <w:pPr>
        <w:spacing w:after="0" w:line="179"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I Special Shares, if (a) on any twenty (20) trading days within any thirty (30) trading day period, the Common Shares trade on the principal securities exchange or securities market on which Common Shares are then traded for a price that is greater than or equal to $50.00, or (b) there occurs any transaction resulting in a Change of Control with a valuation of the Common Shares that is greater than or equal to $50.00 per Common Share; and</w:t>
      </w:r>
    </w:p>
    <w:p>
      <w:pPr>
        <w:spacing w:after="0" w:line="179"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J Special Shares, if (a) on any twenty (20) trading days within any thirty (30) trading day period, the Common Shares trade on the principal securities exchange or securities market on which Common Shares are then traded for a price that is greater than or equal to $12.00, or (b) there occurs any transaction resulting in a Change of Control with a valuation of the Common Shares that is greater than or equal to $12.00 per Common Share.</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No fractional Common Share will be issued upon the conversion of the Special Shares and no payment will be made to the holders of Special Shares in lieu thereof. Rather, the holders of Special Shares shall be entitled to the number of Common Shares determined by rounding the entitlement down to the nearest whole number.</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2" w:name="page23"/>
    <w:bookmarkEnd w:id="22"/>
    <w:p>
      <w:pPr>
        <w:spacing w:after="0" w:line="266" w:lineRule="auto"/>
        <w:rPr>
          <w:sz w:val="20"/>
          <w:szCs w:val="20"/>
          <w:color w:val="auto"/>
        </w:rPr>
      </w:pPr>
      <w:r>
        <w:rPr>
          <w:rFonts w:ascii="Times New Roman" w:cs="Times New Roman" w:eastAsia="Times New Roman" w:hAnsi="Times New Roman"/>
          <w:sz w:val="18"/>
          <w:szCs w:val="18"/>
          <w:color w:val="auto"/>
        </w:rPr>
        <w:t>In the event that the Common Shares are at any time sub-divided, consolidated, converted or exchanged for a greater or lesser number of shares of the same or another class, then appropriate adjustments will be made in the rights and conditions attaching to the Special Shares so as to preserve in all respects the benefits of the holders of Special Shares.</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the event of any merger, amalgamation, consolidation, arrangement, reorganization or other business combination involving the Company with another entity, other than a Change of Control, the holders of Special Shares will be entitled to receive, on conversion, such securities or other property as if on the effective date of the event they were registered holders of the number of Common Shares which such holders of Special Shares were entitled to receive upon conversion of their Special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As of January 31, 2023, there were an aggregate of 15,000,000 Public Warrants outstanding held of record by one holder, which entitle the holder to acquire Common Shares. Each whole public warrant entitles the registered holder to purchase one Common Share at an exercise price of $11.50 per share, subject to adjustment as discussed below, beginning on October 9, 2021. Pursuant to the warrant agreement, a warrant holder may exercise its warrants only for a whole number of Common Shares. This means only a whole warrant may be exercised at a given time by a warrant holder. No fractional warrants will be issued upon separation of the units, and only whole warrants will trade. Accordingly, unless you hold at least three units, you will not be able to receive or trade a whole warrant. The warrants will expire on September 9, 2026, at 5:00 p.m., New York City time, or earlier upon redemption or liquidation.</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will not be obligated to deliver any Common Shares pursuant to the exercise of a warrant and will have no obligation to settle such warrant exercise unless a registration statement under the Securities Act with respect to the Common Shares underlying the warrants is then effective and a prospectus relating thereto is current, subject to our satisfying our obligations described below with respect to registration, or a valid exemption from registration is available. No warrant will be exercisable and we will not be obligated to issue a Common Share upon exercise of a warrant unless the Common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Common Share underlying such unit.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the warrants become exercisable, we may call the warrants for redemption:</w:t>
      </w:r>
    </w:p>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spacing w:after="0" w:line="225"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Common Shares equals or exceeds $18.00 per share (as adjusted for share splits, share capitalizations, reorganizations, recapitalizations and the like) for any 20 trading days within a 30-trading day period ending on the third trading day prior to the date on which notice of the redemption is given to the warrant holder.</w:t>
      </w:r>
    </w:p>
    <w:p>
      <w:pPr>
        <w:spacing w:after="0" w:line="17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If and when the warrants become redeemable by us, we may exercise our redemption right even if we are unable to register or qualify the underlying securities for sale under all applicable state securities laws.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We have established the last of the redemption criterion discussed above to prevent a redemption call unless there is at the time of the call a significant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premium to the warrant exercise price. If the foregoing conditions are satisfied and we issue a notice of redemption of the warrants, each warrant holder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be entitled to exercise his, her or its warrant prior to the scheduled redemption date. However, the price of the Common Shares may fall below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$18.00 redemption trigger price (as adjusted for share splits, share capitalizations, reorganizations, recapitalizations and the like) as well as the $11.50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whole shares) warrant exercise price after the redemption notice is issued.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Procedures and Cashless Exercise</w:t>
      </w:r>
    </w:p>
    <w:p>
      <w:pPr>
        <w:spacing w:after="0" w:line="2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If we call the warrants for redemption when the price per share of Common Shares equals or exceeds $18.00, our management will have the option to require any holder that wishes to exercise his, her or its warrant to do so on a “cashless basis” beginning on the third trading day prior to the date on which notice of the redemption is given to the holders of warrants. In determining whether to require all holders to exercise their warrants on a “cashless basis,” our management will consider, among other factors, our cash position, the number of warrants that are outstanding and the dilutive effect on our shareholders of issuing the maximum number of Common Shares issuable upon the exercise of our warrants. If our management takes advantage of this option, all holders of warrants would pay the exercise price by surrendering their warrants for that number of shares equal to the lesser of (A) the quotient obtained by dividing (x) the product of the number of Common Shares underlying the warrants, multiplied by the excess of the “fair market value” (defined below) over the exercise price of the warrants by (y) the fair market value and (B) 0.365. The “fair market value” will mean the average closing price of the Common Shares for the ten (10) trading days ending on the third trading day prior to the date on which the notice of redemption is sent to the holders of warrants. If our management takes advantage of this option, the notice of redemption will contain the information necessary to calculate the number of Common Shares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our initial business combination. If we call our warrants for redemption and our management team does not take advantage of this option, the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19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Common Shares issued and outstanding immediately after giving effect to such exercise.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Anti-dilution Adjustments</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the number of outstanding Common Shares is increased by a capitalization or share dividend payable in Common Shares, or by a split-up of common shares or other similar event, then, on the effective date of such capitalization or share dividend, split-up or similar event, the number of Common Shares issuable on exercise of each warrant will be increased in proportion to such increase in the outstanding common shares. A rights offering made to all or substantially all holders of common shares entitling holders to purchase Common Shares at a price less than the “historical fair market value” (as defined below) will be deemed a share dividend of a number of Common Shares equal to the product of (i) the number of Common Shares actually sold in such rights offering (or issuable under any other equity securities sold in such rights offering that are convertible into or exercisable for Common Shares) and (ii) one minus the quotient of (x) the price per Common Shares paid in such rights offering and (y) the historical fair market value. For these purposes, (i) if the rights offering is for securities convertible into or exercisable for Class A ordinary shares, in determining the price payable for Common Shares, there will be taken into account any consideration received for such rights, as well as any additional amount payable upon exercise or conversion and (ii) “historical fair market value” means the volume weighted average price of Common Shares as reported during the 10 trading day period ending on the trading day prior to the first date on which the Common Shares trade on the applicable exchange or in the applicable market, regular way, without the right to receive such rights.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4" w:name="page25"/>
    <w:bookmarkEnd w:id="24"/>
    <w:p>
      <w:pPr>
        <w:ind w:right="120"/>
        <w:spacing w:after="0" w:line="254" w:lineRule="auto"/>
        <w:rPr>
          <w:sz w:val="20"/>
          <w:szCs w:val="20"/>
          <w:color w:val="auto"/>
        </w:rPr>
      </w:pPr>
      <w:r>
        <w:rPr>
          <w:rFonts w:ascii="Times New Roman" w:cs="Times New Roman" w:eastAsia="Times New Roman" w:hAnsi="Times New Roman"/>
          <w:sz w:val="18"/>
          <w:szCs w:val="18"/>
          <w:color w:val="auto"/>
        </w:rPr>
        <w:t>In addition, if we, at any time while the warrants are outstanding and unexpired, pay a dividend or make a distribution in cash, securities or other assets to all or substantially all the holders of Common Shares on account of such shares (or other securities into which the warrants are convertible), other than (a) as described above, (b) any cash dividends or cash distributions which, when combined on a per share basis with all other cash dividends and cash distributions paid on the Common Shares during the 365-day period ending on the date of declaration of such dividend or distribution does not exceed $0.50 (as adjusted to appropriately reflect any other adjustments and excluding cash dividends or cash distributions that resulted in an adjustment to the exercise price or to the number of Common Shares issuable on exercise of each warrant) but only with respect to the amount of the aggregate cash dividends or cash distributions equal to or less than $0.50 per share, or (c) to satisfy the redemption rights of the holders of Common Shares in connection with the Business Combination, then the warrant exercise price will be decreased, effective immediately after the effective date of such event, by the amount of cash and/or the fair market value of any securities or other assets paid on each share of Common Shares in respect of such event.</w:t>
      </w:r>
    </w:p>
    <w:p>
      <w:pPr>
        <w:spacing w:after="0" w:line="188" w:lineRule="exact"/>
        <w:rPr>
          <w:sz w:val="20"/>
          <w:szCs w:val="20"/>
          <w:color w:val="auto"/>
        </w:rPr>
      </w:pPr>
    </w:p>
    <w:p>
      <w:pPr>
        <w:ind w:right="400"/>
        <w:spacing w:after="0" w:line="289" w:lineRule="auto"/>
        <w:rPr>
          <w:sz w:val="20"/>
          <w:szCs w:val="20"/>
          <w:color w:val="auto"/>
        </w:rPr>
      </w:pPr>
      <w:r>
        <w:rPr>
          <w:rFonts w:ascii="Times New Roman" w:cs="Times New Roman" w:eastAsia="Times New Roman" w:hAnsi="Times New Roman"/>
          <w:sz w:val="17"/>
          <w:szCs w:val="17"/>
          <w:color w:val="auto"/>
        </w:rPr>
        <w:t>If the number of outstanding Common Shares is decreased by a consolidation, combination, reverse share split or reclassification of share of Common Shares or other similar event, then, on the effective date of such consolidation, combination, reverse share split, reclassification or similar event, the number of Common Shares issuable on exercise of each warrant will be decreased in proportion to such decrease in outstanding Common Shares.</w:t>
      </w:r>
    </w:p>
    <w:p>
      <w:pPr>
        <w:spacing w:after="0" w:line="15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Whenever the number of Common Shares purchasable upon the exercise of the warrants is adjusted, as described above, the warrant exercise price will be adjusted by multiplying the warrant exercise price immediately prior to such adjustment by a fraction (x) the numerator of which will be the number of Common Shares purchasable upon the exercise of the warrants immediately prior to such adjustment and (y) the denominator of which will be the number of Common Shares so purchasable immediately thereafter.</w:t>
      </w:r>
    </w:p>
    <w:p>
      <w:pPr>
        <w:spacing w:after="0" w:line="1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Common Shares (other than those described above or that solely affects the par value of such Common Shares), or in the case of any merger or consolidation of with or into another company (other than a consolidation or merger in which we are the continuing company and that does not result in any reclassification or reorganization of our outstanding Common Shares), or in the case of any sale or conveyance to another company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Common Shares immediately theretofore purchasable and receivable upon the exercise of the rights represented thereby, the kind and amount of Common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Common Shares in such a transaction is payable in the form of Common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(30)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19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warrants are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or correct any mistake, including to conform the provisions of the warrant agreement to the description of the terms of the warrants and the warrant agreement set forth in SOAC’s prospectus for its initial public offering, but requires the approval by the holders of at least 50% of the then outstanding public warrants to make any change that adversely affects the interests of the registered holders. You should review a copy of the warrant agreement, which is filed as an exhibit to the registration statement of which this prospectus is a part, for a complete description of the terms and conditions applicable to the warrants.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5" w:name="page26"/>
    <w:bookmarkEnd w:id="25"/>
    <w:p>
      <w:pPr>
        <w:ind w:right="140"/>
        <w:spacing w:after="0" w:line="282" w:lineRule="auto"/>
        <w:rPr>
          <w:sz w:val="20"/>
          <w:szCs w:val="20"/>
          <w:color w:val="auto"/>
        </w:rPr>
      </w:pPr>
      <w:r>
        <w:rPr>
          <w:rFonts w:ascii="Times New Roman" w:cs="Times New Roman" w:eastAsia="Times New Roman" w:hAnsi="Times New Roman"/>
          <w:sz w:val="18"/>
          <w:szCs w:val="18"/>
          <w:color w:val="auto"/>
        </w:rPr>
        <w:t>The warrant holders do not have the rights or privileges of holders of Common Shares and any voting rights until they exercise their warrants and receive Common Shares.</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No fractional warrants will be issued upon separation of the units and only whole warrants will trade. If, upon exercise of the warrants, a holder would be entitled to receive a fractional interest in a share, we will, upon exercise, round down to the nearest whole number the number of Common Shares to be issued to the warrant holder.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As of January 31, 2023, there were 9,500,000 Private Placement Warrants outstanding held of record by 27 holders. The private placement warrants (including the Common Shares issuable upon exercise of the private placement warrants) were not transferable, assignable or saleable until October 9, 2021, except pursuant to limited exceptions to our officers and directors and other persons or entities affiliates with the initial purchasers of the private placement warrants, and they are not redeemable by us, except as described above when the prices per share of Common Shares equals or exceeds $10.00, so long as they are held by Sponsor or its permitted transferees. The Sponsor, or its permitted transferees, has the option to exercise the private placement warrants on a cashless basis. Except as described below, the private placement warrants have terms and provisions that are identical to those of the public warrants. If the private placement warrants are held by holders other than Sponsor or its permitted transferees, the private placement warrants will be redeemable by us and exercisable by the holders on the same basis as the public warrants. The private placement warrants were transferred to permitted transferees in December 2021.</w:t>
      </w:r>
    </w:p>
    <w:p>
      <w:pPr>
        <w:spacing w:after="0" w:line="18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Except as described above regarding redemption procedures and cashless exercise in respect of the public warrants, if holders of the private placement warrants elect to exercise them on a cashless basis, they would pay the exercise price by surrendering his, her or its warrants for that number of Common Shares equal to the quotient obtained by dividing (x) the product of the number of Common Shares underlying the warrants, multiplied by the excess of the “fair market value” (defined below) over the exercise price of the warrants by (y) the fair market value. The “fair market value” shall mean the average reported closing price of the Common Shares for the ten (10) trading days ending on the third trading day prior to the date on which the notice of warrant exercise is sent to the warrant agent.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Allseas Warrant</w:t>
      </w:r>
    </w:p>
    <w:p>
      <w:pPr>
        <w:spacing w:after="0" w:line="229" w:lineRule="exact"/>
        <w:rPr>
          <w:sz w:val="20"/>
          <w:szCs w:val="20"/>
          <w:color w:val="auto"/>
        </w:rPr>
      </w:pPr>
    </w:p>
    <w:p>
      <w:pPr>
        <w:jc w:val="both"/>
        <w:ind w:right="140"/>
        <w:spacing w:after="0" w:line="289" w:lineRule="auto"/>
        <w:rPr>
          <w:sz w:val="20"/>
          <w:szCs w:val="20"/>
          <w:color w:val="auto"/>
        </w:rPr>
      </w:pPr>
      <w:r>
        <w:rPr>
          <w:rFonts w:ascii="Times New Roman" w:cs="Times New Roman" w:eastAsia="Times New Roman" w:hAnsi="Times New Roman"/>
          <w:sz w:val="17"/>
          <w:szCs w:val="17"/>
          <w:color w:val="auto"/>
        </w:rPr>
        <w:t>On March 4, 2021, DeepGreen issued a warrant to Allseas Group S.A., or the Allseas Warrant, which vested as of November 11, 2022 upon our Board of Directors’ determination of the successful completion of a prescribed project, referred to as the PMTS, and is exercisable for 11,578,620 Common Shares (as may be adjusted based on the formula described therein) at a purchase price of $0.01 per share. The Allseas Warrant expires on September 30, 2026.</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At the Closing, we, the initial shareholders, including the Sponsor, or Sponsor Group Holders, and certain holders of DeepGreen securities immediately prior to the Closing Date, or the DeepGreen Holders, entered into an amended and restated registration rights agreement, or the Amended and Restated Registration Rights Agreement, pursuant to which, among other things, the Sponsor Group Holders and the DeepGreen Holders were granted certain registration rights with respect to their respective Common Shares on the terms and subject to the conditions therein. Additionally, pursuant to subscription agreements entered into on March 4, 2021, certain investors purchased Common Shares immediately prior to the Closing, which provide these investors with certain registration rights.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6" w:name="page27"/>
    <w:bookmarkEnd w:id="26"/>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Transfer Agent, Warrant Agent and Registrar. </w:t>
      </w:r>
      <w:r>
        <w:rPr>
          <w:rFonts w:ascii="Times New Roman" w:cs="Times New Roman" w:eastAsia="Times New Roman" w:hAnsi="Times New Roman"/>
          <w:sz w:val="18"/>
          <w:szCs w:val="18"/>
          <w:color w:val="auto"/>
        </w:rPr>
        <w:t>The transfer agent for our Common Shares and the warrant agent for our Public Warrants is Continental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Transfer &amp; Trust Company.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Common Shares and Public Warrants to purchase Common Shares are listed for trading on the Nasdaq Global Select Market under the symbol “TMC” and “TMCWW”, respectively.</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IMPORTANT PROVISIONS OF THE NOTICE OF ARTICLES AND ARTICLES AND THE BCBCA</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following is a summary of certain important provisions of our Articles and certain related sections of the BCBCA. Please note that this is only a summary and is not intended to be exhaustive. This summary is subject to, and is qualified in its entirety by reference to, the provisions of our Articles and the BCBCA.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Stated Objects or Purposes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Notice and Articles do not contain stated objects or purposes and do not place any limitations on the business that we may carry 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Power to vote on matters in which a director is materially interested. Under the BCBCA, a director or senior officer of a company is liable to account to the company for any profit that accrues to the director or senior officer under or as a result of a contract or transaction in which the director or officer holds a disclosable interest if the contract or transaction is material to the company, the company has entered, or proposes to enter, into the contract or transaction, and either the director or senior officer has a material interest in the contract or transaction or is a director or senior officer of, or has a material interest in, a person who has a material interest in the contract or transaction, unless otherwise provided for in the BCBCA. A director or senior officer does not hold a disclosable interest in a contract or transaction if the contract or transaction: (i) is an arrangement by way of security granted by the company for money loaned to, or obligations undertaken by, the director or senior officer, or a person in whom the director or senior officer has a material interest, for the benefit the company or for one of our affiliates’ benefit; (ii) relates to an indemnity or insurance permitted under the BCBCA; (iii) relates to the remuneration of the director or senior officer in his or her capacity as director, officer, employee or agent of the company or of one of its affiliates; (iv) relates to a loan to the company and the director or senior officer, or a person in whom the director or senior officer has a material interest, is the guarantor of some or all of the loan; or (v) is with a company that is affiliated to the company and the director or senior officer is also a director or senior officer of that company or an affiliate of that company.</w:t>
      </w:r>
    </w:p>
    <w:p>
      <w:pPr>
        <w:spacing w:after="0" w:line="19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director or senior officer who holds a disclosable interest may also be liable to account to the company for any profit that accrues to the director or senior officer under or as a result of a contract or transaction in which the director or senior officer holds a disclosable interest, unless the contract or transaction is: (i) approved by the other non-interested directors (unless all directors have a disclosable interest) or by a special resolution of the shareholders, after the nature and extent of the disclosable interest has been disclosed to the directors or shareholders, as applicable, or (ii) the contract or transaction was entered into before the individual became a director or senior officer, the disclosable interest was disclosed to the other directors or shareholders and the director or senior officer who holds the disclosable interest does not vote on any decision or resolution touching on the contract or transaction. Directors and senior officers are also required to comply with certain other relevant provisions of the BCBCA regarding conflicts of interest. A director who holds such disclosable interest in respect of any material contract or transaction into which the company has entered or propose to enter may be required to absent himself or herself from the meeting while discussions and voting with respect to the matter are taking place.</w:t>
      </w:r>
    </w:p>
    <w:p>
      <w:pPr>
        <w:spacing w:after="0" w:line="18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Directors’ power to determine the remuneration of directors. The remuneration of our directors, if any, may be determined by our directors subject to our Articles. The remuneration may be in addition to any salary or other remuneration paid to any of our employees (including executive officers) who are also directors.</w:t>
      </w:r>
    </w:p>
    <w:p>
      <w:pPr>
        <w:spacing w:after="0" w:line="17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Number of shares required to be owned by a director. Our Articles do not and the BCBCA does not provide that a director is required to hold any of Common Shares as a qualification for holding his or her office.</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Meetings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Subject to applicable exchange requirements, and the BCBCA, we will have to hold a general meeting of our shareholders at least once every year at a time and place determined by our board of directors, provided that the meeting must not be held later than 15 months after the preceding annual general meeting, unless an extension is obtained. A meeting of our shareholders may be held anywhere in or outside British Columbia. The board of directors may also determine that shareholders may attend a meeting of shareholders by means of telephone, electronic or other communications facilities that permit all participants to communicate with each other during the meeting.</w:t>
      </w:r>
    </w:p>
    <w:p>
      <w:pPr>
        <w:spacing w:after="0" w:line="18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A notice to convene a meeting, specifying the date, time and location of the meeting, and, where a meeting is to consider special business, the general nature of the special business, among other things, must be sent to each shareholder entitled to attend the meeting and to each director and the auditors, so long that the company is a public company, not less than 21 days and no more than two months prior to the meeting, although, as a result of applicable securities laws, the minimum time for notice is effectively longer in most circumstances. Under the BCBCA, shareholders entitled to notice of a meeting may waive or reduce the period of notice for that meeting, provided applicable securities laws are met. The accidental omission to send notice of any meeting of shareholders to, or the non-receipt of any notice by, any person entitled to notice does not invalidate any proceedings at that meeting.</w:t>
      </w:r>
    </w:p>
    <w:p>
      <w:pPr>
        <w:spacing w:after="0" w:line="18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 quorum for meetings of shareholders is present if at least two shareholders who, in the aggregate, hold at least 5% of the issued shares entitled to vote at the meeting, are present in person or represented by proxy at the meeting. If a quorum is not present within one half hour from the time set for the opening of any meeting of shareholders, the meeting stands adjourned to the same day in the next week at the same time and place, unless the meeting was requisitioned by shareholders, in which case the meeting is dissolved.</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Holders of Common Shares are entitled to attend and vote at meetings of our shareholders except meetings at which only holders another class of shares are entitled to vote. Except as otherwise provided with respect to any particular series of preferred shares or Special Shares, and except as otherwise required by law, the holders of our preferred shares and/or Special Shares are not entitled to vote at any meetings of our shareholders. Our directors and officers, our auditor and any other persons invited by our directors or the chair of the meeting are entitled to attend any meeting of our shareholders but will not be counted in the quorum or be entitled to vote at the meeting unless he or she is a shareholder or proxyholder entitled to vote at the meeting.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Proposals and Advance Notice Procedures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Under the BCBCA, qualified shareholders holding at least either (i) 1% of the Common Shares or (ii) Common Shares with a fair market value in excess of CAD$2,000 may make proposals for matters to be considered at the annual general meeting of shareholders. Such proposals must be sent to us in advance of any proposed meeting by delivering a timely written notice in proper form to our registered office in accordance with the requirements of the BCBCA. The notice must include information on the business the shareholder intends to bring before the meeting. To be a qualified shareholder, a shareholder must currently be and have been a registered or beneficial owner of at least one Common Share for at least two years before the date of signing the proposal.</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Certain advance notice provisions with respect to the election of our directors are included in the Notice and Articles, or the Advance Notice Provisions. The Advance Notice Provisions are intended to: (i) facilitate orderly and efficient annual general meetings or, where the need arises, special meetings; (ii) ensure that all shareholders receive adequate notice of board nominations and sufficient information with respect to all nominees; and (iii) allow shareholders to register an informed vote. Only persons who are nominated in accordance with the Advance Notice Provisions will be eligible for election as directors at any annual meeting of shareholders, or at any special meeting of shareholders if one of the purposes for which the special meeting was called was the election of directors.</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Under the Advance Notice Provisions, a shareholder wishing to nominate a director would be required to provide us notice, in the prescribed form, within the prescribed time periods. These time periods include, (i) in the case of an annual meeting of shareholders (including annual and special meetings), not less than 30 days prior to the date of the annual meeting of shareholders; provided, that if the first public announcement of the date of the annual meeting of shareholders, referred to herein as the Notice Date, is less than 50 days before the meeting date, not later than the close of business on the 10th day following the Notice Date; and (ii) in the case of a special meeting (which is not also an annual meeting) of shareholders called for any purpose which includes electing directors, not later than the close of business on the 15th day following the Notice Date.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ind w:right="100"/>
        <w:spacing w:after="0" w:line="282" w:lineRule="auto"/>
        <w:rPr>
          <w:sz w:val="20"/>
          <w:szCs w:val="20"/>
          <w:color w:val="auto"/>
        </w:rPr>
      </w:pPr>
      <w:r>
        <w:rPr>
          <w:rFonts w:ascii="Times New Roman" w:cs="Times New Roman" w:eastAsia="Times New Roman" w:hAnsi="Times New Roman"/>
          <w:sz w:val="18"/>
          <w:szCs w:val="18"/>
          <w:color w:val="auto"/>
        </w:rPr>
        <w:t>These provisions could have the effect of delaying until the next shareholder meeting the nomination of certain persons for director that are favored by the holders of a majority of our outstanding voting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Forum Selection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Notice and Articles include a forum selection provision that provides that, unless we consent in writing to the selection of an alternative forum, the Supreme Court of British Columbia, Canada and the appellate courts therefrom, are the sole and exclusive forum for (i) any derivative action or proceeding brought on our behalf; (ii) any action or proceeding asserting a claim of breach of a fiduciary duty owed by any of our directors, officers, or other employees to our company; (iii) any action or proceeding asserting a claim arising pursuant to any provision of the BCBCA or the Notice and Articles (as each may be amended from time to time); or (iv) any action or proceeding asserting a claim otherwise related to the relationships among us, our affiliates and our respective shareholders, directors and/or officers, but excluding claims related to our business or of such affiliates. The forum selection provision also provides that our securityholders are deemed to have consented to personal jurisdiction in the Province of British Columbia and to service of process on their counsel in any foreign action initiated in violation of the foregoing provisions. This provision does not apply to suits brought to enforce any duty or liability created by the Securities Act or the Exchange Act, or the rules and regulations thereunder.</w:t>
      </w:r>
    </w:p>
    <w:p>
      <w:pPr>
        <w:spacing w:after="0" w:line="18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For claims brought under the Securities Act, Section 22 of the Securities Act creates concurrent jurisdiction for federal and state courts over all claims brought to enforce any duty or liability created by the Securities Act or the rules and regulations thereunder and the Notice and Articles provides that the federal district courts of the United States of America, to the fullest extent permitted by law, are the sole and exclusive forum for resolving any complaint asserting a cause of action arising under the Securities Act, referred to herein as the Federal Forum Provision. Application of the Federal Forum Provision means that suits brought by our shareholders to enforce any duty or liability created by the Securities Act must be brought in federal court and cannot be brought in state court.</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claims brought to enforce any duty or liability created by the Exchange Act or the rules and regulations thereunder. Accordingly, actions by our shareholders to enforce any duty or liability created by the Exchange Act or the rules and regulations thereunder must be brought in federal court. Our shareholders will not be deemed to have waived our compliance with the federal securities laws and the regulations promulgated thereunder.</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Common Shares shall be deemed to have notice of and consented to the aforementioned forum selection provisions, including the Federal Forum Provision. Additionally, our shareholders cannot waive compliance with the federal securities laws and the rules and regulations thereunder. These provisions may limit our shareholders’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the Notice and Articles to be inapplicable or unenforceable in an action, we may incur additional costs associated with resolving such action in other jurisdictions, which could harm our business, operating results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of Liability and Indemnification</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Under the BCBCA, a company may indemnify: (i) a current or former director or officer of that company; (ii) a current or former director or officer of another company if, at the time such individual held such office, such company was an affiliate of the company, or if such individual held such office at the company’s request; or (iii) an individual who, at the request of the company, held, or holds, an equivalent position in another entity, or an indemnifiable person, against all judgments, penalties or fines, or amounts paid to settle a proceeding or an action, in respect of any legal proceeding or investigative action (whether current, threatened, pending or completed) in which he or she is involved because of that person’s position as an indemnifiable person, or an eligible proceeding, unless: (i) the individual did not act honestly and in good faith with a view to the best interests of such company or the other entity, as the case may be; or (ii) in the case of a proceeding other than a civil proceeding, the individual did not have reasonable grounds for believing that the individual’s conduct in respect of which proceeding was brought was lawful. A company cannot indemnify an indemnifiable person if it is prohibited from doing so under its articles or by applicable law. A company may pay, as they are incurred in advance of the final disposition of an eligible proceeding, the expenses actually and reasonably incurred, subject to the indemnifiable person providing an undertaking that such person will repay the amounts advanced if it is ultimately determined that the payment of such expenses is prohibited by the BCBCA.</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OWNERSHIP AND EXCHANGE CONTROLS</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There is no limitation imposed by Canadian law or by the Notice and Articles on the right of a non-resident to hold or vote Common Shares, other than discussed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Act</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Limitations on the ability to acquire and hold Common Shares may be imposed by the Competition Act (Canada). This legislation permits the Commissioner of Competition, or the Commissioner, to review any acquisition or establishment, directly or indirectly, including through the acquisition of shares, of control over or of a significant interest in us. This legislation grants the Commissioner jurisdiction, for up to one year after the acquisition has been substantially completed, to challenge this type of acquisition by seeking a remedial order, including an order to prohibit the acquisition or require divestitures, from the Canadian Competition Tribunal, which may be granted where the Competition Tribunal finds that the acquisition substantially prevents or lessens, or is likely to substantially prevent or lessen, competition.</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legislation also requires any person or persons who intend to acquire more than 20% of our voting shares or, if such person or persons already own more than 20% of our voting shares prior to the acquisition, more than 50% of our voting shares, to file a notification with the Canadian Competition Bureau if certain financial thresholds are exceeded. Where a notification is required, unless an exemption is available, the legislation prohibits completion of the acquisition until the expiration of the applicable statutory waiting period, unless the Commissioner either waives or terminates such waiting period or issues an advance ruling certificate. The Commissioner’s review of a notifiable transaction for substantive competition law considerations may take longer than the statutory waiting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Canada Act</w:t>
      </w:r>
    </w:p>
    <w:p>
      <w:pPr>
        <w:spacing w:after="0" w:line="22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Investment Canada Act requires each “non Canadian” (as defined in the Investment Canada Act) who acquires “control” of an existing “Canadian business,” to file a notification in prescribed form with the responsible federal government department or departments not later than 30 days after closing, provided the acquisition of control is not a reviewable transaction under the Investment Canada Act. Subject to certain exemptions, a transaction that is reviewable under the Investment Canada Act may not be implemented until an application for review has been filed and the responsible Minister of the federal cabinet has determined that the investment is likely to be of “net benefit to Canada” taking into account certain factors set out in the Investment Canada Act. Under the Investment Canada Act, an investment in Common Shares by a non-Canadian who is an investor originating from a country with which Canada has a free trade agreement, including a United States investor, and is not a state-owned enterprise, would be reviewable only if it were an investment to acquire control of us pursuant to the Investment Canada Act and our enterprise value (as determined pursuant to the Investment Canada Act and its regulations) was equal to or greater than the amount specified, which is currently CAD$1.931 billion. For most other investors who are not state-owned enterprises the threshold is currently CAD$1.287 billion for 2023.</w:t>
      </w:r>
    </w:p>
    <w:p>
      <w:pPr>
        <w:spacing w:after="0" w:line="19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Investment Canada Act contains various rules to determine if there has been an acquisition of control. Generally, for purposes of determining whether an investor has acquired control of a corporation by acquiring shares, the following general rules apply, subject to certain exceptions: the acquisition of a majority of the undivided ownership interests in the voting shares of the corporation is deemed to be acquisition of control of that corporation; the acquisition of less than a majority, but one-third or more, of the voting shares of a corporation or of an equivalent undivided ownership interest in the voting shares of the corporation is presumed to be acquisition of control of that corporation unless it can be established that, on the acquisition, the corporation is not controlled in fact by the acquirer through the ownership of voting shares; and the acquisition of less than one-third (1/3) of the voting shares of a corporation or of an equivalent undivided ownership interest in the voting shares of the corporation is deemed not to be acquisition of control of that corporation.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1" w:name="page32"/>
    <w:bookmarkEnd w:id="31"/>
    <w:p>
      <w:pPr>
        <w:spacing w:after="0" w:line="256" w:lineRule="auto"/>
        <w:rPr>
          <w:sz w:val="20"/>
          <w:szCs w:val="20"/>
          <w:color w:val="auto"/>
        </w:rPr>
      </w:pPr>
      <w:r>
        <w:rPr>
          <w:rFonts w:ascii="Times New Roman" w:cs="Times New Roman" w:eastAsia="Times New Roman" w:hAnsi="Times New Roman"/>
          <w:sz w:val="18"/>
          <w:szCs w:val="18"/>
          <w:color w:val="auto"/>
        </w:rPr>
        <w:t>Under the national-security-review regime in the Investment Canada Act, review on a discretionary basis may also be undertaken by the federal government in respect to a much broader range of investments by a non-Canadian to “acquire, in whole or part, or to establish an entity carrying on all or any part of its operations in Canada.” No financial threshold applies to a national-security review. The relevant test is whether such investment by a non-Canadian could be “injurious to national security.” The responsible ministers have broad discretion to determine whether an investor is a non-Canadian and therefore subject to national-security review. Review on national-security grounds is at the discretion of the responsible ministers, and may occur on a pre-or post-closing basis.</w:t>
      </w:r>
    </w:p>
    <w:p>
      <w:pPr>
        <w:spacing w:after="0" w:line="18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Certain transactions relating to Common Shares will generally be exempt from the Investment Canada Act, subject to the federal government’s prerogative to conduct a national-security review, including:</w:t>
      </w:r>
    </w:p>
    <w:p>
      <w:pPr>
        <w:spacing w:after="0" w:line="162"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Common Shares by a person in the ordinary course of that person’s business as a trader or dealer in securities;</w:t>
      </w:r>
    </w:p>
    <w:p>
      <w:pPr>
        <w:spacing w:after="0" w:line="225"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control of us in connection with the realization of security granted for a loan or other financial assistance and not for any purpose related to the provisions of the Investment Canada Act; and</w:t>
      </w:r>
    </w:p>
    <w:p>
      <w:pPr>
        <w:spacing w:after="0" w:line="161"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control of us by reason of an amalgamation, merger, consolidation or corporate reorganization following which the ultimate direct or indirect control in fact of us, through ownership of Common Shares, remains unchanged.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There is no law, governmental decree or regulation in Canada that restricts the export or import of capital, or that would affect the remittance of dividends (if any) or other payments by us to non-resident holders of Common Shares, other than withholding tax requirements.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following discussion is a summary of material U.S. federal income tax considerations applicable to you if you are a U.S. Holder (as defined below) of our Common Shares and/or Public Warrants (other than Sponsor or any of its affiliates). This discussion addresses only those U.S. Holders that hold our Common Shares and/or Public Warrants as capital assets within the meaning of Section 1221 of the Internal Revenue Code of 1986, as amended, or the Code (generally property held for investment). This summary does not discuss all aspects of U.S. federal income taxation that may be relevant to particular investors in light of their particular circumstances, or to investors subject to special tax rules, such as:</w:t>
      </w:r>
    </w:p>
    <w:p>
      <w:pPr>
        <w:spacing w:after="0" w:line="183"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funds;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mark-to-market treatment;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trusts and estates;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(including private foundations);</w:t>
      </w:r>
    </w:p>
    <w:p>
      <w:pPr>
        <w:spacing w:after="0" w:line="225"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that hold our Common Shares or Public Warrants as part of a “straddle,” “hedge,” “conversion,” “synthetic security,” “constructive ownership transaction,” “constructive sale” or other integrated transaction for U.S. federal income tax purposes;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subject to the alternative minimum tax provisions of the Code;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that have a functional currency other than the U.S. dollar;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or former long-term residents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subject to the U.S. “inversion” rules;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owning or considered as owning (directly, indirectly, or through attribution) 5% (measured by vote or value) or more of our Common Shares;</w:t>
      </w:r>
    </w:p>
    <w:p>
      <w:pPr>
        <w:spacing w:after="0" w:line="161"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our Common Shares or Public Warrants pursuant to an exercise of employee share options, in connection with employee share incentive plans or otherwise as compensation as compensation;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accrual method taxpayers that file applicable financial statements as described in Section 451(b) of the Code;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 (except to the limited extent provided herein);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are not U.S. Holders, all of whom may be subject to tax rules that differ materially from those summarized below.</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33" w:name="page34"/>
    <w:bookmarkEnd w:id="33"/>
    <w:p>
      <w:pPr>
        <w:spacing w:after="0" w:line="256" w:lineRule="auto"/>
        <w:rPr>
          <w:sz w:val="20"/>
          <w:szCs w:val="20"/>
          <w:color w:val="auto"/>
        </w:rPr>
      </w:pPr>
      <w:r>
        <w:rPr>
          <w:rFonts w:ascii="Times New Roman" w:cs="Times New Roman" w:eastAsia="Times New Roman" w:hAnsi="Times New Roman"/>
          <w:sz w:val="18"/>
          <w:szCs w:val="18"/>
          <w:color w:val="auto"/>
        </w:rPr>
        <w:t>This summary does not discuss any state, local, or non-U.S. tax considerations, any non-income tax (such as gift or estate tax) considerations, the alternative minimum tax or the Medicare tax on net investment income. If a partnership (including an entity or arrangement treated as a partnership for U.S. federal income tax purposes) holds Common Shares or Public Warrants the tax treatment of a partner in such partnership will generally depend upon the status of the partner, the activities of the partnership and the partner and certain determinations made at the partner level. If you are a partner of a partnership holding Common Shares or Public Warrants, you are urged to consult your tax advisor regarding the tax consequences to you of the ownership and disposition of Common Shares or Public Warrants by the partnership.</w:t>
      </w:r>
    </w:p>
    <w:p>
      <w:pPr>
        <w:spacing w:after="0" w:line="18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This summary is based upon the Code, the U.S. Department of Treasury regulations, or Treasury Regulations, current administrative interpretations and practices of the Internal Revenue Service, or IRS, and judicial decisions, all as currently in effect and all of which are subject to differing interpretations or to change, possibly with retroactive effect. No assurance can be given that the IRS would not assert, or that a court would not sustain a position contrary to any of the tax considerations described below.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discussion, a “U.S. Holder” is a beneficial owner of Common Shares or Public Warrants, as the case may be, that is:</w:t>
      </w:r>
    </w:p>
    <w:p>
      <w:pPr>
        <w:spacing w:after="0" w:line="22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U.S. citizen or resident of the United States;</w:t>
      </w:r>
    </w:p>
    <w:p>
      <w:pPr>
        <w:spacing w:after="0" w:line="225"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(including an entity treated as a corporation for U.S. federal income tax purposes) created or organized in or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22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(A) the administration of which is subject to the primary supervision of a U.S. court and which has one or more U.S. persons (within the meaning of the Code) who have the authority to control all substantial decisions of the trust or (B) that has in effect a valid election under applicable Treasury Regulations to be treated as a U.S. person.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Consequences of Ownership and Disposition of Common Shares and Public Warrants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and Other Distributions on Common Shares</w:t>
      </w:r>
    </w:p>
    <w:p>
      <w:pPr>
        <w:spacing w:after="0" w:line="22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Subject to the PFIC rules discussed below under the heading “-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 xml:space="preserve">,” distributions on Common Shares will generally be taxable as a dividend for U.S. federal income tax purposes to the extent paid from the Company’s current or accumulated earnings and profits, as determined under U.S. federal income tax principles. Distributions in excess of the Company’s current and accumulated earnings and profits will constitute a return of capital that will be applied against and reduce (but not below zero) the U.S. Holder’s adjusted tax basis in its Common Shares. Any remaining excess will be treated as gain realized on the sale or other disposition of the Common Shares and will be treated as described below under the heading “- </w:t>
      </w:r>
      <w:r>
        <w:rPr>
          <w:rFonts w:ascii="Times New Roman" w:cs="Times New Roman" w:eastAsia="Times New Roman" w:hAnsi="Times New Roman"/>
          <w:sz w:val="18"/>
          <w:szCs w:val="18"/>
          <w:i w:val="1"/>
          <w:iCs w:val="1"/>
          <w:color w:val="auto"/>
        </w:rPr>
        <w:t>Tax Consequences of Ownership and Disposition of Common Shares and Public Warrants - Sale, Taxable Exchange or Other Taxable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Disposition of Common Shares and Public Warrants.</w:t>
      </w:r>
      <w:r>
        <w:rPr>
          <w:rFonts w:ascii="Times New Roman" w:cs="Times New Roman" w:eastAsia="Times New Roman" w:hAnsi="Times New Roman"/>
          <w:sz w:val="18"/>
          <w:szCs w:val="18"/>
          <w:color w:val="auto"/>
        </w:rPr>
        <w:t>” The amount of any such distribution will include any amounts withheld by us (or another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withholding agent) in respect of Canadian income taxes. Any amount treated as dividend income will be treated as foreign-source dividend income. Amounts treated as dividends that the Company pays to a U.S. Holder that is a taxable corporation generally will be taxed at regular rates and will not qualify for the dividends received deduction generally allowed to U.S. corporations in respect of dividends received from other U.S. corporations. With respect to non-corporate U.S. Holders, under tax laws currently in effect and subject to certain exceptions (including, but not limited to, dividends treated as investment income for purposes of investment interest deduction limitations), dividends generally will be taxed at the lower applicable long-term capital gains rate only if Common Shares are readily tradable on an established securities market in the United States or the Company is eligible for benefits under an applicable tax treaty with the United States, and the Company is not treated as a PFIC with respect to such U.S. Holder at the time the dividend was paid or in the preceding year and provided certain holding period requirements are met. The amount of any dividend distribution paid in Canadian dollars will be the U.S. dollar amount calculated by reference to the exchange rate in effect on the date of actual or constructive receipt, regardless of whether the payment is in fact converted into U.S. dollars at that time. A U.S. Holder may have foreign currency gain or loss if the dividend is converted into U.S. dollars after the date of receipt.</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spacing w:after="0" w:line="256" w:lineRule="auto"/>
        <w:rPr>
          <w:sz w:val="20"/>
          <w:szCs w:val="20"/>
          <w:color w:val="auto"/>
        </w:rPr>
      </w:pPr>
      <w:r>
        <w:rPr>
          <w:rFonts w:ascii="Times New Roman" w:cs="Times New Roman" w:eastAsia="Times New Roman" w:hAnsi="Times New Roman"/>
          <w:sz w:val="18"/>
          <w:szCs w:val="18"/>
          <w:color w:val="auto"/>
        </w:rPr>
        <w:t>Subject to applicable limitations, non-refundable Canadian income taxes withheld from dividends on Common Shares at a rate not exceeding the rate provided by the applicable treaty with the United States will be eligible for credit against the U.S. treaty beneficiary’s U.S. federal income tax liability. The rules governing foreign tax credits are complex and U.S. Holders are urged to consult their tax advisers regarding the creditability of foreign taxes in their particular circumstances. In lieu of claiming a foreign tax credit, a U.S. Holder may deduct foreign taxes, including any Canadian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Taxable Exchange or Other Taxable Disposition of Common Shares and Public Warrants</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Subject to the PFIC rules discussed below under the heading “-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 upon any sale, exchange or other taxable disposition of Common Shares or Public Warrants, a U.S. Holder generally will recognize gain or loss in an amount equal to the difference between (i) the sum of (x) the amount cash and (y) the fair market value of any other property, received in such sale, exchange or other taxable disposition and (ii) the U.S. Holder’s adjusted tax basis in such Common Shares or Public Warrants, in each case as calculated in U.S. dollars. If a U.S. Holder acquired such Common Shares or Public Warrants as part of a unit, the adjusted tax basis in the Common Shares or Public Warrants will be the portion of the acquisition cost allocated to the shares or warrants, respectively, or if such Common Shares were received upon exercise of Public Warrants, the initial basis of the Common Shares upon exercise of Public Warrants (generally determined as described below in “</w:t>
      </w:r>
      <w:r>
        <w:rPr>
          <w:rFonts w:ascii="Times New Roman" w:cs="Times New Roman" w:eastAsia="Times New Roman" w:hAnsi="Times New Roman"/>
          <w:sz w:val="18"/>
          <w:szCs w:val="18"/>
          <w:i w:val="1"/>
          <w:iCs w:val="1"/>
          <w:color w:val="auto"/>
        </w:rPr>
        <w:t>- Tax Consequences of Ownership and Disposition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Common Shares and Public Warrants - Exercise or Lapse of a Public Warrant</w:t>
      </w:r>
      <w:r>
        <w:rPr>
          <w:rFonts w:ascii="Times New Roman" w:cs="Times New Roman" w:eastAsia="Times New Roman" w:hAnsi="Times New Roman"/>
          <w:sz w:val="18"/>
          <w:szCs w:val="18"/>
          <w:color w:val="auto"/>
        </w:rPr>
        <w:t>”). Any such gain or loss generally will be capital gain or loss and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long-term capital gain or loss if the U.S. Holder’s holding period for such Common Shares exceeds one (1) year. Long-term capital gain realized by a non-corporate U.S. Holder generally will be taxable at a reduced rate. The deduction of capital losses is subject to limitations. This gain or loss generally will be treated as U.S. source gain or loss.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or Lapse of a Public Warrant</w:t>
      </w:r>
    </w:p>
    <w:p>
      <w:pPr>
        <w:spacing w:after="0" w:line="2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 U.S. Holder generally will not recognize taxable gain or loss on the acquisition of a Common Share upon exercise of a Public Warrant for cash. The U.S. Holder’s tax basis in the Common Share received upon exercise of the Public Warrant generally will be an amount equal to the sum of the U.S. Holder’s initial investment in the Public Warrant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its tax basis, calculated in U.S. dollars) and the exercise price. The U.S. Holder’s holding period for a Common Share received upon exercise of the of a Public Warrant will begin on the day following the date of exercise (or possibly the date of exercise) of the Public Warrant and will not include the period during which the U.S. Holder held the Public Warrant. If a Public Warrant is allowed to lapse unexercised, a U.S. Holder generally will recognize a capital loss equal to such U.S. Holder’s tax basis in the warrant (calculated in U.S. dollars). Such loss will be long-term if the warrant has been held for more than one (1) year.</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tax consequences of a cashless exercise of a Public Warrant are not clear under current tax law. A cashless exercise may not be taxable, either because the exercise is not a realization event or because the exercise is treated as a recapitalization for U.S. federal income tax purposes. In either situation, a U.S. Holder’s tax basis in the shares of Common Shares received generally should equal the U.S. Holder’s tax basis in the Public Warrants. If the cashless exercise was not a realization event, it is unclear whether a U.S. Holder’s holding period for the Common Shares would be treated as commencing on the date of exercise of the Public Warrant or the day following the date of exercise of the Public Warrant. If the cashless exercise were treated as a recapitalization, the holding period of the shares of Common Shares received would include the holding period of the Public Warrant.</w:t>
      </w:r>
    </w:p>
    <w:p>
      <w:pPr>
        <w:spacing w:after="0" w:line="18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It is also possible that a cashless exercise may be treated in part as a taxable exchange in which gain or loss would be recognized. In such event, a U.S. Holder may be deemed to have surrendered a number of Public Warrants having a value equal to the exercise price for the total number of Public Warrants to be exercised. The U.S. Holder would recognize capital gain or loss in an amount equal to the difference between the fair market value of the Public Warrants deemed surrendered and the U.S. Holder’s tax basis in the Public Warrants deemed surrendered. In this case, a U.S. Holder’s tax basis in the shares of Common Shares received would equal the sum of the U.S. Holder’s tax basis in the Public Warrants exercised, and the exercise price of such Public Warrants. It is unclear whether a U.S. Holder’s holding period for the shares of Common Shares would commence on the date of exercise of the Public Warrant or the day following the date of exercise of the Public Warrant; in either case, the holding period will not include the period during which the U.S. Holder held the Public Warrant.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5" w:name="page36"/>
    <w:bookmarkEnd w:id="35"/>
    <w:p>
      <w:pPr>
        <w:ind w:right="40"/>
        <w:spacing w:after="0" w:line="261" w:lineRule="auto"/>
        <w:rPr>
          <w:sz w:val="20"/>
          <w:szCs w:val="20"/>
          <w:color w:val="auto"/>
        </w:rPr>
      </w:pPr>
      <w:r>
        <w:rPr>
          <w:rFonts w:ascii="Times New Roman" w:cs="Times New Roman" w:eastAsia="Times New Roman" w:hAnsi="Times New Roman"/>
          <w:sz w:val="18"/>
          <w:szCs w:val="18"/>
          <w:color w:val="auto"/>
        </w:rPr>
        <w:t>Due to the absence of authority on the U.S. federal income tax treatment of a cashless exercise, including when a U.S. Holder’s holding period would commence with respect to the shares of Common Shares received, there can be no assurance as to which, if any, of the alternative tax consequences and holding periods described above would be adopted by the IRS or a court of law. Accordingly, U.S. Holders are urged to consult their tax advisors regarding the tax consequences of a cashless exercise.</w:t>
      </w:r>
    </w:p>
    <w:p>
      <w:pPr>
        <w:spacing w:after="0" w:line="180" w:lineRule="exact"/>
        <w:rPr>
          <w:sz w:val="20"/>
          <w:szCs w:val="20"/>
          <w:color w:val="auto"/>
        </w:rPr>
      </w:pPr>
    </w:p>
    <w:p>
      <w:pPr>
        <w:ind w:right="340"/>
        <w:spacing w:after="0" w:line="289" w:lineRule="auto"/>
        <w:rPr>
          <w:sz w:val="20"/>
          <w:szCs w:val="20"/>
          <w:color w:val="auto"/>
        </w:rPr>
      </w:pPr>
      <w:r>
        <w:rPr>
          <w:rFonts w:ascii="Times New Roman" w:cs="Times New Roman" w:eastAsia="Times New Roman" w:hAnsi="Times New Roman"/>
          <w:sz w:val="17"/>
          <w:szCs w:val="17"/>
          <w:color w:val="auto"/>
        </w:rPr>
        <w:t xml:space="preserve">If the Company redeems Public Warrants for cash or if the Company purchases Public Warrants in an open market transaction, such redemption or purchase generally will be treated as a taxable disposition to the U.S. Holder, taxed as described above under “- </w:t>
      </w:r>
      <w:r>
        <w:rPr>
          <w:rFonts w:ascii="Times New Roman" w:cs="Times New Roman" w:eastAsia="Times New Roman" w:hAnsi="Times New Roman"/>
          <w:sz w:val="17"/>
          <w:szCs w:val="17"/>
          <w:i w:val="1"/>
          <w:iCs w:val="1"/>
          <w:color w:val="auto"/>
        </w:rPr>
        <w:t>Tax Consequences of Ownership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Disposition of Common Shares and Public Warrants - Sale, Taxable Exchange or Other Taxable Disposition of Common Shares and Public Warrants</w:t>
      </w:r>
      <w:r>
        <w:rPr>
          <w:rFonts w:ascii="Times New Roman" w:cs="Times New Roman" w:eastAsia="Times New Roman" w:hAnsi="Times New Roman"/>
          <w:sz w:val="17"/>
          <w:szCs w:val="17"/>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Adjustment to Exercise Price</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Under Section 305 of the Code, if certain adjustments are made (or not made) to the number of shares to be issued upon the exercise of a Public Warrant or to the Public Warrant’s exercise price, a U.S. Holder may be deemed to have received a constructive distribution with respect to the warrant, which could result in adverse consequences for the U.S. Holder, including the inclusion of dividend income (with the consequences generally as described above under the heading “- </w:t>
      </w:r>
      <w:r>
        <w:rPr>
          <w:rFonts w:ascii="Times New Roman" w:cs="Times New Roman" w:eastAsia="Times New Roman" w:hAnsi="Times New Roman"/>
          <w:sz w:val="18"/>
          <w:szCs w:val="18"/>
          <w:i w:val="1"/>
          <w:iCs w:val="1"/>
          <w:color w:val="auto"/>
        </w:rPr>
        <w:t>Tax Consequences of Ownership and Disposition of Common Shares and Public Warrants - Dividends and Other Distributions on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The rules governing constructive distributions as a result of certain adjustments with respect to a Public Warrant are complex, and U.S. 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urged to consult their tax advisors on the tax consequences any such constructive distribution with respect to a Public Warrant.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treatment of U.S. Holders of Common Shares and Public Warrants could be materially different from that described above if the Company is treated as a PFIC for U.S. federal income tax purposes.</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If the Company is a PFIC for any taxable year, U.S. Holders of Common Shares or Public Warrants may be subject to adverse U.S. federal income tax consequences with respect to dispositions of, and distributions with respect to Common Shares, and may be subject to additional reporting requirements.</w:t>
      </w:r>
    </w:p>
    <w:p>
      <w:pPr>
        <w:spacing w:after="0" w:line="16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or the Income Test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or the Asset Test. Passive income generally includes dividends, interest, rents and royalties (other than rents or royalties derived from the active conduct of a trade or business) and gains from the disposition of passive assets.</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Based on our initial assessment, we do not believe that the Company was classified as a PFIC for U.S. federal income tax purposes for the taxable year ending December 31, 2022. However, the application of the PFIC rules is subject to uncertainty in several respects, and we cannot assure you that the IRS will not take a contrary position. Furthermore, whether the Company is classified as a PFIC is a factual determination that must be made annually after the close of each taxable year. Accordingly, there can be no assurance with respect to the Company’s status as a PFIC for the current or any future taxable year. Although PFIC status is generally determined annually, if the Company is determined to be a PFIC for any taxable year (or portion thereof) that is included in the holding period of a U.S. Holder of Common Shares and the U.S. Holder did not make either a qualifying electing fund, or QEF, election or a mark-to-market election, or collectively, the PFIC Elections, for the first taxable year of the Company in which it was treated as a PFIC, and in which the U.S. Holder held (or was deemed to hold) such shares, or such U.S. Holder does not otherwise make an applicable purging election described below, such U.S. Holder generally will be subject to special and adverse rules with respect to (i) any gain recognized by the U.S. Holder on the sale or other disposition of its Common Shares and (ii) any “excess distribution” made to the U.S. Holder (generally, any distributions to such U.S. Holder during a taxable year of the U.S. Holder that are greater than 125% of the average annual distributions received by such U.S. Holder in respect of the Common Shares during the three preceding taxable years of such U.S. Holder or, if shorter, such U.S. Holder’s holding period for the Common Shares).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Under these rules:</w:t>
      </w:r>
    </w:p>
    <w:p>
      <w:pPr>
        <w:spacing w:after="0" w:line="22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Holder’s gain or excess distribution will be allocated ratably over the U.S. Holder’s holding period for the Common Shares;</w:t>
      </w:r>
    </w:p>
    <w:p>
      <w:pPr>
        <w:spacing w:after="0" w:line="22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U.S. Holder’s taxable year in which the U.S. Holder recognized the gain or received the excess distribution, and to any period in the U.S. Holder’s holding period before the first day of the Company’s first taxable year in which the Company is a PFIC, will be taxed as ordinary income;</w:t>
      </w:r>
    </w:p>
    <w:p>
      <w:pPr>
        <w:spacing w:after="0" w:line="175"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other taxable years (or portions thereof) of the U.S. Holder and included in its holding period will be taxed at the highest tax rate in effect for that year and applicable to the U.S. Holder; and</w:t>
      </w:r>
    </w:p>
    <w:p>
      <w:pPr>
        <w:spacing w:after="0" w:line="16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tax equal to the interest charge generally applicable to underpayments of tax will be imposed on the U.S. Holder with respect to the tax attributable to each such other taxable year of the U.S. Holder.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PFIC Elections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general, if the Company is determined to be a PFIC, a U.S. Holder may avoid the adverse PFIC tax consequences described above in respect of Common Shares by making and maintaining a timely and valid QEF election (if eligible to do so) to include in income its pro rata share of the Company’s net capital gains (as long-term capital gain) and other earnings and profits (as ordinary income), on a current basis, in each case whether or not distributed, in the first taxable year of the U.S. Holder in which or with which the Company’s taxable year ends and each subsequent taxable year. A U.S. Holder generally may make a separate election to defer the payment of taxes on undistributed income inclusions under the QEF rules, but if deferred, any such taxes will be subject to an interest charge.</w:t>
      </w:r>
    </w:p>
    <w:p>
      <w:pPr>
        <w:spacing w:after="0" w:line="18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 order to comply with the requirements of a QEF election, a U.S. Holder must receive a PFIC Annual Information Statement from us. If the Company determines that it is a PFIC, the Company intends to provide the information necessary for U.S. Holders to make or maintain a QEF election, including information necessary to determine the appropriate income inclusion amounts for purposes of the QEF election. However, there is also no assurance that the Company will have timely knowledge of its status as a PFIC in the future or of the required information to be provided.</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Alternatively, if the Company is a PFIC and Common Shares constitute “marketable stock,” a U.S. Holder may avoid the adverse PFIC tax consequences discussed above if such U.S. Holder makes a mark-to-market election with respect to such shares for the first taxable year in which it holds (or is deemed to hold) Common Shares and each subsequent taxable year. Such U.S. Holder generally will include for each of its taxable years as ordinary income the excess, if any, of the fair market value of its Common Shares at the end of such year over its adjusted basis in its Common Shares. The U.S. Holder also will recognize an ordinary loss in respect of the excess, if any, of its adjusted basis of its Common Shares over the fair market value of its Common Shares at the end of its taxable year (but only to the extent of the net amount of previously included income as a result of the mark-to-market election). The U.S. Holder’s basis in its Common Shares will be adjusted to reflect any such income or loss amounts, and any further gain recognized on a sale or other taxable disposition of its Common Shares will be treated as ordinary income. Currently, a mark-to-market election may not be made with respect to Public Warrants.</w:t>
      </w:r>
    </w:p>
    <w:p>
      <w:pPr>
        <w:spacing w:after="0" w:line="188"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color w:val="auto"/>
        </w:rPr>
        <w:t>The mark-to-market election is available only for “marketable stock,” generally, stock that is regularly traded on a national securities exchange that is registered with the SEC, including the Nasdaq (on which Common Shares are intended to be listed), or on a foreign exchange or market that the IRS determines has rules sufficient to ensure that the market price represents a legitimate and sound fair market value. If made, a mark-to-market election would be effective for the taxable year for which the election was made and for all subsequent taxable years unless the Common Shares cease to qualify as “marketable stock” for purposes of the PFIC rules or the IRS consents to the revocation of the election. U.S. Holders are urged to consult their tax advisors regarding the availability and tax consequences of a mark-to-market election with respect to Common Shares under their particular circumstances.</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ind w:right="40"/>
        <w:spacing w:after="0" w:line="253" w:lineRule="auto"/>
        <w:rPr>
          <w:sz w:val="20"/>
          <w:szCs w:val="20"/>
          <w:color w:val="auto"/>
        </w:rPr>
      </w:pPr>
      <w:r>
        <w:rPr>
          <w:rFonts w:ascii="Times New Roman" w:cs="Times New Roman" w:eastAsia="Times New Roman" w:hAnsi="Times New Roman"/>
          <w:sz w:val="18"/>
          <w:szCs w:val="18"/>
          <w:color w:val="auto"/>
        </w:rPr>
        <w:t>The application of the PFIC rules to Public Warrants is unclear. A proposed Treasury Regulation issued under these rules generally treats an “option” (which would include a Public Warrant) to acquire the stock of a PFIC as stock of the PFIC, while a final Treasury Regulation issued under these rules provides that the holder of an option is not entitled make the PFIC Elections. Another proposed Treasury Regulation provides that for purposes of the PFIC rules, stock acquired upon the exercise of an option will be deemed to have a holding period that includes the period the U.S. Holder held the Public Warrants. As a result, if the proposed Treasury Regulations were to apply, and a U.S. Holder were to sell or otherwise dispose of such Public Warrants (other than upon exercise of such Public Warrants for cash) and the Company was a PFIC at any time during the U.S. Holder’s holding period of such Public Warrants, any gain recognized generally would be treated as an excess distribution, taxed as described above. If a U.S. Holder that exercises such Public Warrants properly makes and maintains a QEF election with respect to the newly acquired Common Shares (or has previously made a QEF election with respect to Common Shares), the QEF election will apply to the newly acquired Common Shares. Notwithstanding such QEF election, if the proposed Treasury Regulations were to apply, the adverse tax consequences relating to PFIC shares, adjusted to take into account the current income inclusions resulting from the QEF election, would continue to apply with respect to such newly acquired Common Shares (which generally will be deemed to have a holding period for purposes of the PFIC rules that includes the period the U.S. Holder held the Public Warrants ), unless the U.S. Holder makes a purging election under the PFIC rules described in the following paragraph.</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the Company is treated as a PFIC and a U.S. Holder failed or was unable to timely make a PFIC Election for prior periods, a U.S. Holder might seek make a purging election to rid the Common Shares of the PFIC taint. A purging election might be desirable if, for example, a U.S. Holder misses the deadline for filing a QEF election for a prior period, or if the Common Shares were acquired through the exercise of Public Warrants with a holding period that includes the period the warrants were held, either as a result of the application of the proposed Treasury Regulations, or because the Common Shares are acquired through a cashless exercise that is treated as a recapitalization. Under one type of purging election, the U.S. Holder will be deemed to have sold such shares at their fair market value and any gain recognized on such deemed sale will be treated as an excess distribution, as described above. Under another type of purging election, the Company will be deemed to have made a distribution to the U.S. Holder of such U.S. Holder’s pro rata share of the Company’s earnings and profits as determined for U.S. federal income tax purposes. In order for the U.S. Holder to make the second election, the Company must also be determined to be a “controlled foreign corporation” as defined by the Code (which is not currently expected to be the case). As a result of either purging election, the U.S. Holder will have a new basis and holding period in the Common Shares acquired upon the exercise of the Public Warrants solely for purposes of the PFIC rules.</w:t>
      </w:r>
    </w:p>
    <w:p>
      <w:pPr>
        <w:spacing w:after="0" w:line="19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including the information provided in a PFIC Annual Information Statement, to a timely filed U.S. federal income tax return for the tax year to which the election relates. Retroactive QEF elections generally may be made only by filing a protective statement with such return and if certain other conditions are met or with the consent of the IRS. U.S. Holders are urged to consult their tax advisors regarding the availability and tax consequences of a retroactive QEF election under their particular circumstances.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PFIC Rules</w:t>
      </w:r>
    </w:p>
    <w:p>
      <w:pPr>
        <w:spacing w:after="0" w:line="2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If the Company is a PFIC and, at any time, has a foreign subsidiary that is classified as a PFIC, a U.S. Holder generally would be deemed to own a proportionate amount of the shares of such lower-tier PFIC, and generally could incur liability for the deferred tax and interest charge described above if the Company receives a distribution from, or disposes of all or part of its interest in, the lower-tier PFIC, or the U.S. Holder otherwise was deemed to have disposed of an interest in the lower-tier PFIC. In certain circumstances, a U.S. Holder may make a QEF election with respect to any lower-tier PFIC.</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spacing w:after="0" w:line="266" w:lineRule="auto"/>
        <w:rPr>
          <w:sz w:val="20"/>
          <w:szCs w:val="20"/>
          <w:color w:val="auto"/>
        </w:rPr>
      </w:pPr>
      <w:r>
        <w:rPr>
          <w:rFonts w:ascii="Times New Roman" w:cs="Times New Roman" w:eastAsia="Times New Roman" w:hAnsi="Times New Roman"/>
          <w:sz w:val="18"/>
          <w:szCs w:val="18"/>
          <w:color w:val="auto"/>
        </w:rPr>
        <w:t>A U.S. Holder that owns (or is deemed to own) shares in a PFIC during any taxable year of the U.S. Holder, may have to file an IRS Form 8621 (whether or not a QEF or mark-to-market election is made) and to provide such other information as may be required by the U.S. Treasury Department. Failure to do so, if required, will extend the statute of limitations applicable to such U.S. Holder until such required information is furnished to the IRS.</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rules dealing with PFICs and with the QEF and mark-to-market elections are very complex and are affected by various factors in addition to those described above. Accordingly, U.S. Holders of Common Shares and Public Warrants are urged to consult their own tax advisors concerning the application of the PFIC rules to the Company’s securities under their particular circumstances.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Payments of dividends and sales proceeds that are made within the United States or through certain U.S.-related financial intermediaries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U.S. federal income tax discussion set forth above is included for general information only and may not be applicable to you depending upon your particular situation. You are urged to consult your own tax advisor with respect to the tax consequences to you of the ownership and disposition of our Common Shares and Public Warrants including the tax consequences under state, local, estate, foreign and other tax laws and tax treaties and the possible effects of changes in U.S. or other tax laws.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MATERIAL CANADIAN FEDERAL INCOME TAX CONSIDERATIONS</w:t>
      </w:r>
    </w:p>
    <w:p>
      <w:pPr>
        <w:spacing w:after="0" w:line="2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The following is, as of the date of this prospectus, a summary of the principal Canadian federal income tax considerations pursuant to the </w:t>
      </w:r>
      <w:r>
        <w:rPr>
          <w:rFonts w:ascii="Times New Roman" w:cs="Times New Roman" w:eastAsia="Times New Roman" w:hAnsi="Times New Roman"/>
          <w:sz w:val="18"/>
          <w:szCs w:val="18"/>
          <w:i w:val="1"/>
          <w:iCs w:val="1"/>
          <w:color w:val="auto"/>
        </w:rPr>
        <w:t>Income Tax Act</w:t>
      </w:r>
      <w:r>
        <w:rPr>
          <w:rFonts w:ascii="Times New Roman" w:cs="Times New Roman" w:eastAsia="Times New Roman" w:hAnsi="Times New Roman"/>
          <w:sz w:val="18"/>
          <w:szCs w:val="18"/>
          <w:color w:val="auto"/>
        </w:rPr>
        <w:t xml:space="preserve"> (Canada) and the regulations thereunder, or the Tax Act, that generally apply to the acquisition, holding or disposition of Common Shares and Public Warrants by a person who is neither resident nor deemed to be resident in Canada for purposes of the Tax Act and acquires a beneficial interest in Common Shares or Public Warrants (a “Non-Resident Holder”).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summary applies only to a Non-Resident Holder who, at all relevant times, for purposes of the Tax Act:</w:t>
      </w:r>
    </w:p>
    <w:p>
      <w:pPr>
        <w:spacing w:after="0" w:line="22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holds Common Shares or Public Warrants as capital property;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and is not deemed to, use or hold Common Shares or Public Warrants in the course of carrying on a business in Canada;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deals at arm’s length and is not affiliated with us.</w:t>
      </w:r>
    </w:p>
    <w:p>
      <w:pPr>
        <w:spacing w:after="0" w:line="22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Special rules, which are not discussed in this summary, may apply to a Non-Resident Holder that is an insurer that carries on an insurance business in Canada and elsewhere.</w:t>
      </w:r>
    </w:p>
    <w:p>
      <w:pPr>
        <w:spacing w:after="0" w:line="16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This summary is based on the current provisions of the Tax Act, all specific proposals to amend the Tax Act publicly announced by or on behalf of the Minister of Finance (Canada) prior to the date hereof, or the Tax Proposals, and an understanding of the current administrative policies and assessing practices of the Canada Revenue Agency, or the CRA, made publicly available prior to the date hereof. This summary assumes the Tax Proposals will be enacted in the form proposed, however, no assurance can be given that the Tax Proposals will be enacted in the form proposed, or at all. Except for the Tax Proposals, this summary does not take into account or anticipate any changes in law or administrative policies or assessing practices of the CRA, whether by legislative, governmental or judicial action, nor does it take into account other federal or any provincial, territorial or foreign income tax legislation or considerations, which may differ significantly from those discussed herein.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Generally, for the purposes of the Tax Act, all amounts relating to the acquisition, holding or disposition of Common Shares and Public Warrants (including dividends, adjusted cost base and proceeds of disposition) must be expressed in Canadian dollars. Amounts denominated in U.S. dollars must be converted into Canadian dollars using the applicable rate of exchange (for the purposes of the Tax Act) quoted by the Bank of Canada on the date such amounts arose, or such other rate of exchange as is acceptable to the CRA.</w:t>
      </w:r>
    </w:p>
    <w:p>
      <w:pPr>
        <w:spacing w:after="0" w:line="176"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This summary is not exhaustive of all possible Canadian federal income tax considerations that apply to an investment in Common Shares and Public Warrants. Moreover, the income and other tax consequences of acquiring, holding or disposing of Common Shares or Public Warrants will vary depending on an investor’s particular circumstances. Accordingly, this summary is of a general nature only and is not intended to be, nor should it be construed to be, legal or tax advice to any investor. Consequently, investors should consult their own tax advisors for advice with respect to the income tax consequences of an investment in Common Shares and Public Warrants based on their particular circumstances.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Cost Base of Common Shares</w:t>
      </w:r>
    </w:p>
    <w:p>
      <w:pPr>
        <w:spacing w:after="0" w:line="22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adjusted cost base to a Non-Resident Holder of a Common Share acquired pursuant to this offering will be determined by averaging the cost of that Common Share with the adjusted cost base (determined immediately before the acquisition of the Common Share) of all other Common Shares held as capital property by the Non-Resident Holder immediately prior to such acquisition.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Public Warrants</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No gain or loss will be realized by a Non-Resident Holder upon the exercise of a Public Warrant to acquire a Common Share. A Non-Resident Holder’s cost of a Common Share so acquired will equal the aggregate of such Non-Resident Holder’s adjusted cost base of the Public Warrant exercised plus the exercise price paid for such Common Share. The Non-Resident Holder’s adjusted cost base of such Common Share will be determined by averaging the cost of the Common Share with the adjusted cost base (determined immediately before the acquisition of the Common Share) of all other Common Shares held as capital property by such Non-Resident Holder immediately prior to such acquisition.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Dividends on Common Shares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Every Non-Resident Holder is liable to pay a Canadian withholding tax on every dividend that is or is deemed to be paid or credited to the Non-Resident Holder on the Non-Resident Holder’s Common Shares. The statutory rate of withholding tax is 25% of the gross amount of the dividend paid. Generally, the Canada - United States Tax Convention (1980), as amended, or the Treaty, reduces the statutory rate with respect to dividends paid to a Non-Resident Holder who is resident in the U.S. for purposes of the Treaty, the beneficial owner of such dividends, and entitled to benefits under the Treaty, to 15% of the gross amount of the dividend. The Company is required to withhold the applicable tax from dividends payable to the Non-Resident Holder, and to remit the tax to the Receiver General of Canada for the account of the Non-Resident Holder.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Dispositions of Common Shares and Public Warrants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 Non-Resident Holder will not be subject to tax under the Tax Act on any capital gain realized on a disposition or deemed disposition of Common Shares (other than a disposition to us, which may result in a deemed dividend, unless purchased by us in the open market in the manner in which Common Shares are normally purchased by any member of the public in the open market, in which case other considerations may arise) or Public Warrants, unless the Common Shares or Public Warrants are “taxable Canadian property” of the Non-Resident Holder for purposes of the Tax Act and the Non-Resident Holder is not entitled to relief under the Treaty or any other applicable income tax treaty or convention.</w:t>
      </w:r>
    </w:p>
    <w:p>
      <w:pPr>
        <w:spacing w:after="0" w:line="183"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Generally, the Common Shares and Public Warrants will not constitute “taxable Canadian property” of a Non-Resident Holder at a particular time provided that the Common Shares are listed at that time on a “designated stock exchange” for purposes of the Tax Act (which currently includes the Nasdaq), unless, at any particular time during the 60-month period that ends at that time, both of the following are true:</w:t>
      </w:r>
    </w:p>
    <w:p>
      <w:pPr>
        <w:spacing w:after="0" w:line="176" w:lineRule="exact"/>
        <w:rPr>
          <w:sz w:val="20"/>
          <w:szCs w:val="20"/>
          <w:color w:val="auto"/>
        </w:rPr>
      </w:pPr>
    </w:p>
    <w:p>
      <w:pPr>
        <w:ind w:left="980" w:right="240" w:hanging="324"/>
        <w:spacing w:after="0" w:line="266"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Non-Resident Holder, (b) persons with whom the Non-Resident Holder does not deal with at arm’s length, (c) partnerships in which the Non-Resident Holder or a person described in (b) holds an interest directly or indirectly through one or more partnerships, or (d) any combination of (a) to (c), owned 25% or more of the issued shares of any class or series of our capital stock; and</w:t>
      </w:r>
    </w:p>
    <w:p>
      <w:pPr>
        <w:spacing w:after="0" w:line="175" w:lineRule="exact"/>
        <w:rPr>
          <w:rFonts w:ascii="Times New Roman" w:cs="Times New Roman" w:eastAsia="Times New Roman" w:hAnsi="Times New Roman"/>
          <w:sz w:val="18"/>
          <w:szCs w:val="18"/>
          <w:color w:val="auto"/>
        </w:rPr>
      </w:pPr>
    </w:p>
    <w:p>
      <w:pPr>
        <w:jc w:val="both"/>
        <w:ind w:left="980" w:right="100" w:hanging="324"/>
        <w:spacing w:after="0" w:line="261"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50% of the fair market value of the Common Shares was derived directly or indirectly from one or any combination of: (a) real or immovable properties situated in Canada, (b) “Canadian resource properties” (as defined in the Tax Act), (c) “timber resource properties” (as defined in the Tax Act), and (d) options in respect of, or interests in, or for civil law rights in, property in any of the foregoing whether or not the property exists.</w:t>
      </w:r>
    </w:p>
    <w:p>
      <w:pPr>
        <w:spacing w:after="0" w:line="176"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8"/>
          <w:szCs w:val="18"/>
          <w:b w:val="1"/>
          <w:bCs w:val="1"/>
          <w:color w:val="auto"/>
        </w:rPr>
        <w:t>NOTWITHSTANDING THE FOREGOING, IN CERTAIN CIRCUMSTANCES SET OUT IN THE TAX ACT, COMMON SHARES AND PUBLIC WARRANTS MAY BE DEEMED TO BE TAXABLE CANADIAN PROPERTY. NON-RESIDENT HOLDERS WHOSE COMMON SHARES OR PUBLIC WARRANTS MAY CONSTITUTE TAXABLE CANADIAN PROPERTY SHOULD CONSULT THEIR OWN TAX ADVISORS.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Fasken Martineau DuMoulin LLP, or Fasken, has passed upon the validity of the Common Shares offered by this prospectus and certain other legal matters related to Canadian law. Mintz, Levin, Cohn, Ferris, Glovsky and Popeo, P.C., or Mintz, has passed upon the validity of the Warrants and certain other legal matters. Fasken and Mintz own 14,630 and 36,361 Common Shares, respectively.</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financial statements of TMC the metals company Inc. as of December 31, 2022 and 2021, and for the years then ended audited by Ernst &amp; Young LLP, independent registered public accounting firm, have been incorporated by reference herein and in the registration statement in reliance on the authority of their report as experts in accounting and auditing.</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We have filed a registration statement on Form S-3, including exhibits, under the Securities Act with respect to the securities offered by this prospectus. This prospectus does not contain all of the information included in the registration statement. For further information pertaining to us and our securities, you should refer to the registration statement and our exhibits.</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In addition, we file annual, quarterly and current reports, proxy statements and other information with the SEC. Our SEC filings are available to the public on a website maintained by the SEC located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We also maintain a website at </w:t>
      </w:r>
      <w:r>
        <w:rPr>
          <w:rFonts w:ascii="Times New Roman" w:cs="Times New Roman" w:eastAsia="Times New Roman" w:hAnsi="Times New Roman"/>
          <w:sz w:val="18"/>
          <w:szCs w:val="18"/>
          <w:i w:val="1"/>
          <w:iCs w:val="1"/>
          <w:color w:val="auto"/>
        </w:rPr>
        <w:t>www.metals.co</w:t>
      </w:r>
      <w:r>
        <w:rPr>
          <w:rFonts w:ascii="Times New Roman" w:cs="Times New Roman" w:eastAsia="Times New Roman" w:hAnsi="Times New Roman"/>
          <w:sz w:val="18"/>
          <w:szCs w:val="18"/>
          <w:color w:val="auto"/>
        </w:rPr>
        <w:t>.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 We include our website address in this prospectus only as an inactive textual reference. Information contained in our website does not constitute a part of this prospectus or our other filings with the SEC.</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may be obtained upon payment of the prescribed rates at the offices of the SEC listed above in “Where You Can Find More Information.” The documents we are incorporating by reference are:</w:t>
      </w:r>
    </w:p>
    <w:p>
      <w:pPr>
        <w:spacing w:after="0" w:line="188"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u w:val="single" w:color="auto"/>
          <w:color w:val="0000EE"/>
        </w:rPr>
      </w:pPr>
      <w:hyperlink r:id="rId57">
        <w:r>
          <w:rPr>
            <w:rFonts w:ascii="Times New Roman" w:cs="Times New Roman" w:eastAsia="Times New Roman" w:hAnsi="Times New Roman"/>
            <w:sz w:val="18"/>
            <w:szCs w:val="18"/>
            <w:u w:val="single" w:color="auto"/>
            <w:color w:val="0000EE"/>
          </w:rPr>
          <w:t>our Annual Report on Form 10-K for the fiscal year ended December 31, 2022 that we filed with the SEC on March 27, 2023;</w:t>
        </w:r>
      </w:hyperlink>
    </w:p>
    <w:p>
      <w:pPr>
        <w:spacing w:after="0" w:line="225" w:lineRule="exact"/>
        <w:rPr>
          <w:rFonts w:ascii="Times New Roman" w:cs="Times New Roman" w:eastAsia="Times New Roman" w:hAnsi="Times New Roman"/>
          <w:sz w:val="18"/>
          <w:szCs w:val="18"/>
          <w:u w:val="single" w:color="auto"/>
          <w:color w:val="0000EE"/>
        </w:rPr>
      </w:pPr>
    </w:p>
    <w:p>
      <w:pPr>
        <w:ind w:left="660" w:right="120" w:hanging="328"/>
        <w:spacing w:after="0" w:line="282" w:lineRule="auto"/>
        <w:tabs>
          <w:tab w:leader="none" w:pos="660" w:val="left"/>
        </w:tabs>
        <w:numPr>
          <w:ilvl w:val="0"/>
          <w:numId w:val="23"/>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and amendments thereto that we filed with the SEC on </w:t>
      </w:r>
      <w:hyperlink r:id="rId58">
        <w:r>
          <w:rPr>
            <w:rFonts w:ascii="Times New Roman" w:cs="Times New Roman" w:eastAsia="Times New Roman" w:hAnsi="Times New Roman"/>
            <w:sz w:val="18"/>
            <w:szCs w:val="18"/>
            <w:u w:val="single" w:color="auto"/>
            <w:color w:val="0000EE"/>
          </w:rPr>
          <w:t>February 16</w:t>
        </w:r>
      </w:hyperlink>
      <w:r>
        <w:rPr>
          <w:rFonts w:ascii="Times New Roman" w:cs="Times New Roman" w:eastAsia="Times New Roman" w:hAnsi="Times New Roman"/>
          <w:sz w:val="18"/>
          <w:szCs w:val="18"/>
          <w:color w:val="auto"/>
        </w:rPr>
        <w:t xml:space="preserve">, </w:t>
      </w:r>
      <w:hyperlink r:id="rId58">
        <w:r>
          <w:rPr>
            <w:rFonts w:ascii="Times New Roman" w:cs="Times New Roman" w:eastAsia="Times New Roman" w:hAnsi="Times New Roman"/>
            <w:sz w:val="18"/>
            <w:szCs w:val="18"/>
            <w:u w:val="single" w:color="auto"/>
            <w:color w:val="0000EE"/>
          </w:rPr>
          <w:t>2023</w:t>
        </w:r>
      </w:hyperlink>
      <w:r>
        <w:rPr>
          <w:rFonts w:ascii="Times New Roman" w:cs="Times New Roman" w:eastAsia="Times New Roman" w:hAnsi="Times New Roman"/>
          <w:sz w:val="18"/>
          <w:szCs w:val="18"/>
          <w:color w:val="auto"/>
        </w:rPr>
        <w:t xml:space="preserve">, </w:t>
      </w:r>
      <w:hyperlink r:id="rId59">
        <w:r>
          <w:rPr>
            <w:rFonts w:ascii="Times New Roman" w:cs="Times New Roman" w:eastAsia="Times New Roman" w:hAnsi="Times New Roman"/>
            <w:sz w:val="18"/>
            <w:szCs w:val="18"/>
            <w:u w:val="single" w:color="auto"/>
            <w:color w:val="0000EE"/>
          </w:rPr>
          <w:t>February 17</w:t>
        </w:r>
      </w:hyperlink>
      <w:r>
        <w:rPr>
          <w:rFonts w:ascii="Times New Roman" w:cs="Times New Roman" w:eastAsia="Times New Roman" w:hAnsi="Times New Roman"/>
          <w:sz w:val="18"/>
          <w:szCs w:val="18"/>
          <w:color w:val="auto"/>
        </w:rPr>
        <w:t xml:space="preserve">, </w:t>
      </w:r>
      <w:hyperlink r:id="rId59">
        <w:r>
          <w:rPr>
            <w:rFonts w:ascii="Times New Roman" w:cs="Times New Roman" w:eastAsia="Times New Roman" w:hAnsi="Times New Roman"/>
            <w:sz w:val="18"/>
            <w:szCs w:val="18"/>
            <w:u w:val="single" w:color="auto"/>
            <w:color w:val="0000EE"/>
          </w:rPr>
          <w:t>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60">
        <w:r>
          <w:rPr>
            <w:rFonts w:ascii="Times New Roman" w:cs="Times New Roman" w:eastAsia="Times New Roman" w:hAnsi="Times New Roman"/>
            <w:sz w:val="18"/>
            <w:szCs w:val="18"/>
            <w:u w:val="single" w:color="auto"/>
            <w:color w:val="0000EE"/>
          </w:rPr>
          <w:t>February 22</w:t>
        </w:r>
      </w:hyperlink>
      <w:r>
        <w:rPr>
          <w:rFonts w:ascii="Times New Roman" w:cs="Times New Roman" w:eastAsia="Times New Roman" w:hAnsi="Times New Roman"/>
          <w:sz w:val="18"/>
          <w:szCs w:val="18"/>
          <w:color w:val="auto"/>
        </w:rPr>
        <w:t xml:space="preserve">, </w:t>
      </w:r>
      <w:hyperlink r:id="rId60">
        <w:r>
          <w:rPr>
            <w:rFonts w:ascii="Times New Roman" w:cs="Times New Roman" w:eastAsia="Times New Roman" w:hAnsi="Times New Roman"/>
            <w:sz w:val="18"/>
            <w:szCs w:val="18"/>
            <w:u w:val="single" w:color="auto"/>
            <w:color w:val="0000EE"/>
          </w:rPr>
          <w:t>2023</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(other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than any portion of such filings that are furnished under applicable SEC rules rather than filed);</w:t>
      </w:r>
    </w:p>
    <w:p>
      <w:pPr>
        <w:spacing w:after="0" w:line="161" w:lineRule="exact"/>
        <w:rPr>
          <w:rFonts w:ascii="Times New Roman" w:cs="Times New Roman" w:eastAsia="Times New Roman" w:hAnsi="Times New Roman"/>
          <w:sz w:val="18"/>
          <w:szCs w:val="18"/>
          <w:color w:val="0000EE"/>
        </w:rPr>
      </w:pPr>
    </w:p>
    <w:p>
      <w:pPr>
        <w:ind w:left="660" w:right="720" w:hanging="328"/>
        <w:spacing w:after="0" w:line="282" w:lineRule="auto"/>
        <w:tabs>
          <w:tab w:leader="none" w:pos="660" w:val="left"/>
        </w:tabs>
        <w:numPr>
          <w:ilvl w:val="0"/>
          <w:numId w:val="23"/>
        </w:numPr>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u w:val="single" w:color="auto"/>
            <w:color w:val="0000EE"/>
          </w:rPr>
          <w:t>the description of our Common Shares contained in our Registration Statement on Form 8-A filed on September 10, 2021, including any</w:t>
        </w:r>
      </w:hyperlink>
      <w:r>
        <w:rPr>
          <w:rFonts w:ascii="Times New Roman" w:cs="Times New Roman" w:eastAsia="Times New Roman" w:hAnsi="Times New Roman"/>
          <w:sz w:val="18"/>
          <w:szCs w:val="18"/>
          <w:u w:val="single" w:color="auto"/>
          <w:color w:val="0000EE"/>
        </w:rPr>
        <w:t xml:space="preserve"> </w:t>
      </w:r>
      <w:hyperlink r:id="rId61">
        <w:r>
          <w:rPr>
            <w:rFonts w:ascii="Times New Roman" w:cs="Times New Roman" w:eastAsia="Times New Roman" w:hAnsi="Times New Roman"/>
            <w:sz w:val="18"/>
            <w:szCs w:val="18"/>
            <w:u w:val="single" w:color="auto"/>
            <w:color w:val="0000EE"/>
          </w:rPr>
          <w:t>amendment or report filed for the purpose of updating such description</w:t>
        </w:r>
        <w:r>
          <w:rPr>
            <w:rFonts w:ascii="Times New Roman" w:cs="Times New Roman" w:eastAsia="Times New Roman" w:hAnsi="Times New Roman"/>
            <w:sz w:val="18"/>
            <w:szCs w:val="18"/>
            <w:color w:val="000000"/>
          </w:rPr>
          <w:t>; and</w:t>
        </w:r>
      </w:hyperlink>
    </w:p>
    <w:p>
      <w:pPr>
        <w:spacing w:after="0" w:line="161" w:lineRule="exact"/>
        <w:rPr>
          <w:rFonts w:ascii="Times New Roman" w:cs="Times New Roman" w:eastAsia="Times New Roman" w:hAnsi="Times New Roman"/>
          <w:sz w:val="18"/>
          <w:szCs w:val="18"/>
          <w:color w:val="0000EE"/>
        </w:rPr>
      </w:pPr>
    </w:p>
    <w:p>
      <w:pPr>
        <w:ind w:left="660" w:hanging="328"/>
        <w:spacing w:after="0" w:line="26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reports and other documents subsequently filed by us with the SEC (other than any portion of such filings that are furnished under applicable SEC rules rather than filed) pursuant to Sections 13(a), 13(c), 14 and 15(d) of the Exchange Act after the date of this prospectus and prior to the termination or completion of the offering of securities under this prospectus shall be deemed to be incorporated by reference in this prospectus and to be a part hereof from the date of filing such reports and other documents.</w:t>
      </w:r>
    </w:p>
    <w:p>
      <w:pPr>
        <w:spacing w:after="0" w:line="180"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The SEC file number for each of the documents listed above is 001-39281.</w:t>
      </w:r>
    </w:p>
    <w:p>
      <w:pPr>
        <w:spacing w:after="0" w:line="225" w:lineRule="exact"/>
        <w:rPr>
          <w:rFonts w:ascii="Times New Roman" w:cs="Times New Roman" w:eastAsia="Times New Roman" w:hAnsi="Times New Roman"/>
          <w:sz w:val="18"/>
          <w:szCs w:val="18"/>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80" w:lineRule="exact"/>
        <w:rPr>
          <w:rFonts w:ascii="Times New Roman" w:cs="Times New Roman" w:eastAsia="Times New Roman" w:hAnsi="Times New Roman"/>
          <w:sz w:val="18"/>
          <w:szCs w:val="18"/>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You may request, orally or in writing, a copy of any or all of the documents incorporated herein by reference. These documents will be provided to you at no cost, by contacting:</w:t>
      </w:r>
    </w:p>
    <w:p>
      <w:pPr>
        <w:spacing w:after="0" w:line="162"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TMC the metals company Inc.</w:t>
      </w:r>
    </w:p>
    <w:p>
      <w:pPr>
        <w:spacing w:after="0" w:line="27"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595 Howe Street, 10 Floor</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Vancouver, British Columbia</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V6C 2T5</w:t>
      </w:r>
    </w:p>
    <w:p>
      <w:pPr>
        <w:spacing w:after="0" w:line="9" w:lineRule="exact"/>
        <w:rPr>
          <w:rFonts w:ascii="Times New Roman" w:cs="Times New Roman" w:eastAsia="Times New Roman" w:hAnsi="Times New Roman"/>
          <w:sz w:val="18"/>
          <w:szCs w:val="18"/>
          <w:color w:val="auto"/>
        </w:rPr>
      </w:pPr>
    </w:p>
    <w:p>
      <w:pPr>
        <w:ind w:left="5500" w:hanging="438"/>
        <w:spacing w:after="0"/>
        <w:tabs>
          <w:tab w:leader="none" w:pos="5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252-9333</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43" w:name="page44"/>
    <w:bookmarkEnd w:id="43"/>
    <w:p>
      <w:pPr>
        <w:ind w:right="20"/>
        <w:spacing w:after="0" w:line="284" w:lineRule="auto"/>
        <w:rPr>
          <w:sz w:val="20"/>
          <w:szCs w:val="20"/>
          <w:color w:val="auto"/>
        </w:rPr>
      </w:pPr>
      <w:r>
        <w:rPr>
          <w:rFonts w:ascii="Times New Roman" w:cs="Times New Roman" w:eastAsia="Times New Roman" w:hAnsi="Times New Roman"/>
          <w:sz w:val="18"/>
          <w:szCs w:val="18"/>
          <w:color w:val="auto"/>
        </w:rPr>
        <w:t xml:space="preserve">You may also access these documents on our website, </w:t>
      </w:r>
      <w:r>
        <w:rPr>
          <w:rFonts w:ascii="Times New Roman" w:cs="Times New Roman" w:eastAsia="Times New Roman" w:hAnsi="Times New Roman"/>
          <w:sz w:val="18"/>
          <w:szCs w:val="18"/>
          <w:i w:val="1"/>
          <w:iCs w:val="1"/>
          <w:color w:val="auto"/>
        </w:rPr>
        <w:t>www.metals.co</w:t>
      </w:r>
      <w:r>
        <w:rPr>
          <w:rFonts w:ascii="Times New Roman" w:cs="Times New Roman" w:eastAsia="Times New Roman" w:hAnsi="Times New Roman"/>
          <w:sz w:val="18"/>
          <w:szCs w:val="18"/>
          <w:color w:val="auto"/>
        </w:rPr>
        <w:t>. The information contained on, or that can be accessed through, our website is not a part of this prospectus. We have included our website address in this prospectus solely as an inactive textual reference.</w:t>
      </w:r>
    </w:p>
    <w:p>
      <w:pPr>
        <w:spacing w:after="0" w:line="16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3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902" w:right="499"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2694305</wp:posOffset>
            </wp:positionH>
            <wp:positionV relativeFrom="page">
              <wp:posOffset>586105</wp:posOffset>
            </wp:positionV>
            <wp:extent cx="2168525" cy="7886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216852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TMC THE METALS COMPANY INC.</w:t>
      </w:r>
    </w:p>
    <w:p>
      <w:pPr>
        <w:sectPr>
          <w:pgSz w:w="11900" w:h="16838" w:orient="portrait"/>
          <w:cols w:equalWidth="0" w:num="1">
            <w:col w:w="9019"/>
          </w:cols>
          <w:pgMar w:left="1440" w:top="1440" w:right="1440" w:bottom="1440" w:gutter="0" w:footer="0" w:header="0"/>
        </w:sect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Up to 248,779,861 Common Shares</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 to 9,500,000 Warrants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April 14,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lowerRoman"/>
      <w:start w:val="1"/>
    </w:lvl>
  </w:abstractNum>
  <w:abstractNum w:abstractNumId="1">
    <w:nsid w:val="3352255A"/>
    <w:multiLevelType w:val="hybridMultilevel"/>
    <w:lvl w:ilvl="0">
      <w:lvlJc w:val="left"/>
      <w:lvlText w:val="(%1)"/>
      <w:numFmt w:val="lowerRoman"/>
      <w:start w:val="3"/>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10"/>
    </w:lvl>
  </w:abstractNum>
  <w:abstractNum w:abstractNumId="9">
    <w:nsid w:val="25E45D32"/>
    <w:multiLevelType w:val="hybridMultilevel"/>
    <w:lvl w:ilvl="0">
      <w:lvlJc w:val="left"/>
      <w:lvlText w:val="(%1)"/>
      <w:numFmt w:val="decimal"/>
      <w:start w:val="31"/>
    </w:lvl>
  </w:abstractNum>
  <w:abstractNum w:abstractNumId="10">
    <w:nsid w:val="519B500D"/>
    <w:multiLevelType w:val="hybridMultilevel"/>
    <w:lvl w:ilvl="0">
      <w:lvlJc w:val="left"/>
      <w:lvlText w:val="(%1)"/>
      <w:numFmt w:val="decimal"/>
      <w:start w:val="48"/>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1)"/>
      <w:numFmt w:val="lowerRoman"/>
      <w:start w:val="10"/>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1."/>
      <w:numFmt w:val="decimal"/>
      <w:start w:val="1"/>
    </w:lvl>
  </w:abstractNum>
  <w:abstractNum w:abstractNumId="22">
    <w:nsid w:val="6763845E"/>
    <w:multiLevelType w:val="hybridMultilevel"/>
    <w:lvl w:ilvl="0">
      <w:lvlJc w:val="left"/>
      <w:lvlText w:val="·"/>
      <w:numFmt w:val="bullet"/>
      <w:start w:val="1"/>
    </w:lvl>
  </w:abstractNum>
  <w:abstractNum w:abstractNumId="23">
    <w:nsid w:val="75A2A8D4"/>
    <w:multiLevelType w:val="hybridMultilevel"/>
    <w:lvl w:ilvl="0">
      <w:lvlJc w:val="left"/>
      <w:lvlText w:val="(%1)"/>
      <w:numFmt w:val="decimal"/>
      <w:start w:val="57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jpeg"/><Relationship Id="rId65" Type="http://schemas.openxmlformats.org/officeDocument/2006/relationships/image" Target="media/image53.png"/><Relationship Id="rId57" Type="http://schemas.openxmlformats.org/officeDocument/2006/relationships/hyperlink" Target="https://www.sec.gov/ix?doc=/Archives/edgar/data/1798562/000110465923037110/tmc-20221231x10k.htm" TargetMode="External"/><Relationship Id="rId58" Type="http://schemas.openxmlformats.org/officeDocument/2006/relationships/hyperlink" Target="https://www.sec.gov/ix?doc=/Archives/edgar/data/1798562/000110465923022723/tm237104d2_8k.htm" TargetMode="External"/><Relationship Id="rId59" Type="http://schemas.openxmlformats.org/officeDocument/2006/relationships/hyperlink" Target="https://www.sec.gov/ix?doc=/Archives/edgar/data/1798562/000110465923023295/tm237199d2_8k.htm" TargetMode="External"/><Relationship Id="rId60" Type="http://schemas.openxmlformats.org/officeDocument/2006/relationships/hyperlink" Target="https://www.sec.gov/ix?doc=/Archives/edgar/data/1798562/000110465923024088/tm237472d2_8k.htm" TargetMode="External"/><Relationship Id="rId61" Type="http://schemas.openxmlformats.org/officeDocument/2006/relationships/hyperlink" Target="https://www.sec.gov/Archives/edgar/data/1798562/000121390021047279/ea146988-8a12b_tmcthemetal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2023-04-17T16:36:46Z</dcterms:created>
  <dcterms:modified xsi:type="dcterms:W3CDTF">2023-04-17T16:36:46Z</dcterms:modified>
</cp:coreProperties>
</file>