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British Columbia, Canada</w:t>
            </w:r>
          </w:p>
        </w:tc>
        <w:tc>
          <w:tcPr>
            <w:tcW w:w="384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4"/>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6"/>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Redeemable warrants, each whole warrant</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TMCWW</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exercisable for one TMC Common Share, each at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an 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2"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19, 2023, TMC the metals company Inc. (the “Company”) received a written notice from The Nasdaq Stock Market LLC (“Nasdaq”) notifying the Company that the closing bid price of the Company’s common shares (the “Common Shares”) over the 30 consecutive trading days from March 7, 2023 through April 18, 2023 had fallen below $1.00 per share, which is the minimum closing bid price required to maintain listing on the Nasdaq Stock Market under Nasdaq Listing Rule 5450(a)(1) (the “Minimum Bid Requirement”).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Nasdaq Listing Rule 5810(c)(3)(A), the Company has 180 calendar days to regain compliance with the Minimum Bid Requirement (the “Grace Period”), subject to a potential 180 calendar day extension, as described below. To regain compliance, the closing bid price of the Company’s Common Shares must be at least $1.00 per share for a minimum of 10 consecutive business days within the Grace Period.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received a similar notification from the Nasdaq in December 2022. After the closing bid price of the Common Shares exceeded $1.00 per share for more than 10 consecutive business days in the initial 180 calendar day period, the Nasdaq notified the Company in February 2023 that this previous matter was closed.</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Company does not achieve compliance with the Minimum Bid Requirement by October 16, 2023, the end of the Grace Period, the Company may be eligible for an additional 180 calendar day period to regain compliance. To qualify, the Company would be required, among other things, to meet the continued listing requirement for the market value of its publicly held shares and all other Nasdaq initial listing standards for the Nasdaq Capital Market, with the exception of the bid price requirement, and would need to provide written notice to Nasdaq of its intention and plan to cure the deficiency during the second compliance period by effecting a reverse stock split if necessary. However, if it appears to Nasdaq staff that the Company will not be able to cure the deficiency, or if the Company does not meet the other listing standards, Nasdaq could provide notice that the Company’s Common Shares will be subject to delisting. In the event the Company receives notice that its Common Shares are being delisted, the Company would be entitled to appeal the determination to a Nasdaq Listing Qualifications Panel and request a hearing.</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intends to actively monitor the closing bid price of its Common Shares and will evaluate available options to regain compliance with the Minimum Bid Requirement. The notice has no immediate effect on the listing or trading of the Company’s Common Shares or warrants, which will both continue to be listed and traded on the Nasdaq Stock Market, subject to the Company’s compliance with the other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20, 2023</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Gerard Barron</w:t>
            </w:r>
          </w:p>
        </w:tc>
      </w:tr>
      <w:tr>
        <w:trPr>
          <w:trHeight w:val="20"/>
        </w:trPr>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82"/>
        </w:trPr>
        <w:tc>
          <w:tcPr>
            <w:tcW w:w="3560" w:type="dxa"/>
            <w:vAlign w:val="bottom"/>
          </w:tcPr>
          <w:p>
            <w:pPr>
              <w:spacing w:after="0"/>
              <w:rPr>
                <w:sz w:val="15"/>
                <w:szCs w:val="15"/>
                <w:color w:val="auto"/>
              </w:rPr>
            </w:pPr>
          </w:p>
        </w:tc>
        <w:tc>
          <w:tcPr>
            <w:tcW w:w="7680" w:type="dxa"/>
            <w:vAlign w:val="bottom"/>
            <w:gridSpan w:val="2"/>
          </w:tcPr>
          <w:p>
            <w:pPr>
              <w:ind w:left="2080"/>
              <w:spacing w:after="0" w:line="182" w:lineRule="exact"/>
              <w:rPr>
                <w:sz w:val="20"/>
                <w:szCs w:val="20"/>
                <w:color w:val="auto"/>
              </w:rPr>
            </w:pPr>
            <w:r>
              <w:rPr>
                <w:rFonts w:ascii="Arial" w:cs="Arial" w:eastAsia="Arial" w:hAnsi="Arial"/>
                <w:sz w:val="18"/>
                <w:szCs w:val="18"/>
                <w:color w:val="auto"/>
              </w:rPr>
              <w:t>Name: Gerard Barron</w:t>
            </w:r>
          </w:p>
        </w:tc>
      </w:tr>
      <w:tr>
        <w:trPr>
          <w:trHeight w:val="230"/>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2023-04-20T22:55:09Z</dcterms:created>
  <dcterms:modified xsi:type="dcterms:W3CDTF">2023-04-20T22:55:09Z</dcterms:modified>
</cp:coreProperties>
</file>