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85"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WASHINGTON, D.C. 20549</w:t>
      </w:r>
    </w:p>
    <w:p>
      <w:pPr>
        <w:spacing w:after="0" w:line="140"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SCHEDULE 14A</w:t>
      </w:r>
    </w:p>
    <w:p>
      <w:pPr>
        <w:spacing w:after="0" w:line="40"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46"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(Amendment No.    )</w:t>
      </w:r>
    </w:p>
    <w:p>
      <w:pPr>
        <w:spacing w:after="0" w:line="158" w:lineRule="exact"/>
        <w:rPr>
          <w:sz w:val="24"/>
          <w:szCs w:val="24"/>
          <w:color w:val="auto"/>
        </w:rPr>
      </w:pPr>
    </w:p>
    <w:p>
      <w:pPr>
        <w:ind w:left="820"/>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color w:val="auto"/>
        </w:rPr>
        <w:t>Filed by a Party other than the Registrant [  ]</w:t>
      </w:r>
    </w:p>
    <w:p>
      <w:pPr>
        <w:spacing w:after="0" w:line="158" w:lineRule="exact"/>
        <w:rPr>
          <w:sz w:val="24"/>
          <w:szCs w:val="24"/>
          <w:color w:val="auto"/>
        </w:rPr>
      </w:pPr>
    </w:p>
    <w:p>
      <w:pPr>
        <w:ind w:left="820"/>
        <w:spacing w:after="0"/>
        <w:rPr>
          <w:sz w:val="20"/>
          <w:szCs w:val="20"/>
          <w:color w:val="auto"/>
        </w:rPr>
      </w:pPr>
      <w:r>
        <w:rPr>
          <w:rFonts w:ascii="Arial" w:cs="Arial" w:eastAsia="Arial" w:hAnsi="Arial"/>
          <w:sz w:val="18"/>
          <w:szCs w:val="18"/>
          <w:color w:val="auto"/>
        </w:rPr>
        <w:t>Check the appropriate box:</w:t>
      </w:r>
    </w:p>
    <w:p>
      <w:pPr>
        <w:spacing w:after="0" w:line="27" w:lineRule="exact"/>
        <w:rPr>
          <w:sz w:val="24"/>
          <w:szCs w:val="24"/>
          <w:color w:val="auto"/>
        </w:rPr>
      </w:pPr>
    </w:p>
    <w:p>
      <w:pPr>
        <w:ind w:left="820"/>
        <w:spacing w:after="0"/>
        <w:tabs>
          <w:tab w:leader="none" w:pos="11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Preliminary Proxy Statement</w:t>
      </w:r>
    </w:p>
    <w:p>
      <w:pPr>
        <w:spacing w:after="0" w:line="9" w:lineRule="exact"/>
        <w:rPr>
          <w:sz w:val="24"/>
          <w:szCs w:val="24"/>
          <w:color w:val="auto"/>
        </w:rPr>
      </w:pPr>
    </w:p>
    <w:p>
      <w:pPr>
        <w:ind w:left="820"/>
        <w:spacing w:after="0"/>
        <w:tabs>
          <w:tab w:leader="none" w:pos="11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b w:val="1"/>
          <w:bCs w:val="1"/>
          <w:color w:val="auto"/>
        </w:rPr>
        <w:t>Confidential, for Use of the Commission Only (as permitted by Rule 14a-6(e)(2))</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[X]  Definitive Proxy Statement</w:t>
      </w:r>
    </w:p>
    <w:p>
      <w:pPr>
        <w:spacing w:after="0" w:line="9" w:lineRule="exact"/>
        <w:rPr>
          <w:sz w:val="24"/>
          <w:szCs w:val="24"/>
          <w:color w:val="auto"/>
        </w:rPr>
      </w:pPr>
    </w:p>
    <w:p>
      <w:pPr>
        <w:ind w:left="820"/>
        <w:spacing w:after="0"/>
        <w:tabs>
          <w:tab w:leader="none" w:pos="11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ind w:left="820"/>
        <w:spacing w:after="0"/>
        <w:tabs>
          <w:tab w:leader="none" w:pos="11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Soliciting Material Under Rule §240.14a-12</w:t>
      </w:r>
    </w:p>
    <w:p>
      <w:pPr>
        <w:spacing w:after="0" w:line="342" w:lineRule="exact"/>
        <w:rPr>
          <w:sz w:val="24"/>
          <w:szCs w:val="24"/>
          <w:color w:val="auto"/>
        </w:rPr>
      </w:pPr>
    </w:p>
    <w:tbl>
      <w:tblPr>
        <w:tblLayout w:type="fixed"/>
        <w:tblInd w:w="820" w:type="dxa"/>
        <w:tblCellMar>
          <w:top w:w="0" w:type="dxa"/>
          <w:left w:w="0" w:type="dxa"/>
          <w:bottom w:w="0" w:type="dxa"/>
          <w:right w:w="0" w:type="dxa"/>
        </w:tblCellMar>
      </w:tblPr>
      <w:tr>
        <w:trPr>
          <w:trHeight w:val="242"/>
        </w:trPr>
        <w:tc>
          <w:tcPr>
            <w:tcW w:w="66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ind w:left="640"/>
              <w:spacing w:after="0"/>
              <w:rPr>
                <w:sz w:val="20"/>
                <w:szCs w:val="20"/>
                <w:color w:val="auto"/>
              </w:rPr>
            </w:pPr>
            <w:r>
              <w:rPr>
                <w:rFonts w:ascii="Arial" w:cs="Arial" w:eastAsia="Arial" w:hAnsi="Arial"/>
                <w:sz w:val="18"/>
                <w:szCs w:val="18"/>
                <w:b w:val="1"/>
                <w:bCs w:val="1"/>
                <w:color w:val="auto"/>
              </w:rPr>
              <w:t>​ ​</w:t>
            </w:r>
          </w:p>
        </w:tc>
        <w:tc>
          <w:tcPr>
            <w:tcW w:w="6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TMC THE METALS COMPANY INC.</w:t>
            </w:r>
          </w:p>
        </w:tc>
        <w:tc>
          <w:tcPr>
            <w:tcW w:w="880" w:type="dxa"/>
            <w:vAlign w:val="bottom"/>
          </w:tcPr>
          <w:p>
            <w:pPr>
              <w:spacing w:after="0"/>
              <w:rPr>
                <w:sz w:val="20"/>
                <w:szCs w:val="20"/>
                <w:color w:val="auto"/>
              </w:rPr>
            </w:pPr>
            <w:r>
              <w:rPr>
                <w:rFonts w:ascii="Arial" w:cs="Arial" w:eastAsia="Arial" w:hAnsi="Arial"/>
                <w:sz w:val="18"/>
                <w:szCs w:val="18"/>
                <w:b w:val="1"/>
                <w:bCs w:val="1"/>
                <w:color w:val="auto"/>
              </w:rPr>
              <w:t>​ ​ ​</w:t>
            </w:r>
          </w:p>
        </w:tc>
        <w:tc>
          <w:tcPr>
            <w:tcW w:w="680" w:type="dxa"/>
            <w:vAlign w:val="bottom"/>
          </w:tcPr>
          <w:p>
            <w:pPr>
              <w:ind w:left="620"/>
              <w:spacing w:after="0"/>
              <w:rPr>
                <w:sz w:val="20"/>
                <w:szCs w:val="20"/>
                <w:color w:val="auto"/>
              </w:rPr>
            </w:pPr>
            <w:r>
              <w:rPr>
                <w:rFonts w:ascii="Arial" w:cs="Arial" w:eastAsia="Arial" w:hAnsi="Arial"/>
                <w:sz w:val="18"/>
                <w:szCs w:val="18"/>
                <w:b w:val="1"/>
                <w:bCs w:val="1"/>
                <w:color w:val="auto"/>
              </w:rPr>
              <w:t>​</w:t>
            </w:r>
          </w:p>
        </w:tc>
      </w:tr>
      <w:tr>
        <w:trPr>
          <w:trHeight w:val="238"/>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9"/>
              </w:rPr>
              <w:t>(Name of Registrant as Specified In Its Charter)</w:t>
            </w:r>
          </w:p>
        </w:tc>
        <w:tc>
          <w:tcPr>
            <w:tcW w:w="880" w:type="dxa"/>
            <w:vAlign w:val="bottom"/>
          </w:tcPr>
          <w:p>
            <w:pPr>
              <w:spacing w:after="0"/>
              <w:rPr>
                <w:sz w:val="20"/>
                <w:szCs w:val="20"/>
                <w:color w:val="auto"/>
              </w:rPr>
            </w:pPr>
            <w:r>
              <w:rPr>
                <w:rFonts w:ascii="Arial" w:cs="Arial" w:eastAsia="Arial" w:hAnsi="Arial"/>
                <w:sz w:val="18"/>
                <w:szCs w:val="18"/>
                <w:color w:val="auto"/>
              </w:rPr>
              <w:t>​ ​ ​</w:t>
            </w:r>
          </w:p>
        </w:tc>
        <w:tc>
          <w:tcPr>
            <w:tcW w:w="68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181"/>
        </w:trPr>
        <w:tc>
          <w:tcPr>
            <w:tcW w:w="6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840" w:type="dxa"/>
            <w:vAlign w:val="bottom"/>
          </w:tcPr>
          <w:p>
            <w:pPr>
              <w:ind w:left="640"/>
              <w:spacing w:after="0" w:line="181" w:lineRule="exact"/>
              <w:rPr>
                <w:sz w:val="20"/>
                <w:szCs w:val="20"/>
                <w:color w:val="auto"/>
              </w:rPr>
            </w:pPr>
            <w:r>
              <w:rPr>
                <w:rFonts w:ascii="Arial" w:cs="Arial" w:eastAsia="Arial" w:hAnsi="Arial"/>
                <w:sz w:val="18"/>
                <w:szCs w:val="18"/>
                <w:color w:val="auto"/>
              </w:rPr>
              <w:t>​ ​</w:t>
            </w:r>
          </w:p>
        </w:tc>
        <w:tc>
          <w:tcPr>
            <w:tcW w:w="6060" w:type="dxa"/>
            <w:vAlign w:val="bottom"/>
          </w:tcPr>
          <w:p>
            <w:pPr>
              <w:jc w:val="center"/>
              <w:spacing w:after="0" w:line="181" w:lineRule="exact"/>
              <w:rPr>
                <w:sz w:val="20"/>
                <w:szCs w:val="20"/>
                <w:color w:val="auto"/>
              </w:rPr>
            </w:pPr>
            <w:r>
              <w:rPr>
                <w:rFonts w:ascii="Arial" w:cs="Arial" w:eastAsia="Arial" w:hAnsi="Arial"/>
                <w:sz w:val="18"/>
                <w:szCs w:val="18"/>
                <w:color w:val="auto"/>
              </w:rPr>
              <w:t>​</w:t>
            </w:r>
          </w:p>
        </w:tc>
        <w:tc>
          <w:tcPr>
            <w:tcW w:w="880" w:type="dxa"/>
            <w:vAlign w:val="bottom"/>
          </w:tcPr>
          <w:p>
            <w:pPr>
              <w:spacing w:after="0" w:line="181" w:lineRule="exact"/>
              <w:rPr>
                <w:sz w:val="20"/>
                <w:szCs w:val="20"/>
                <w:color w:val="auto"/>
              </w:rPr>
            </w:pPr>
            <w:r>
              <w:rPr>
                <w:rFonts w:ascii="Arial" w:cs="Arial" w:eastAsia="Arial" w:hAnsi="Arial"/>
                <w:sz w:val="18"/>
                <w:szCs w:val="18"/>
                <w:color w:val="auto"/>
              </w:rPr>
              <w:t>​ ​ ​</w:t>
            </w:r>
          </w:p>
        </w:tc>
        <w:tc>
          <w:tcPr>
            <w:tcW w:w="680" w:type="dxa"/>
            <w:vAlign w:val="bottom"/>
          </w:tcPr>
          <w:p>
            <w:pPr>
              <w:ind w:left="620"/>
              <w:spacing w:after="0" w:line="181" w:lineRule="exact"/>
              <w:rPr>
                <w:sz w:val="20"/>
                <w:szCs w:val="20"/>
                <w:color w:val="auto"/>
              </w:rPr>
            </w:pPr>
            <w:r>
              <w:rPr>
                <w:rFonts w:ascii="Arial" w:cs="Arial" w:eastAsia="Arial" w:hAnsi="Arial"/>
                <w:sz w:val="18"/>
                <w:szCs w:val="18"/>
                <w:color w:val="auto"/>
              </w:rPr>
              <w:t>​</w:t>
            </w:r>
          </w:p>
        </w:tc>
      </w:tr>
      <w:tr>
        <w:trPr>
          <w:trHeight w:val="250"/>
        </w:trPr>
        <w:tc>
          <w:tcPr>
            <w:tcW w:w="660" w:type="dxa"/>
            <w:vAlign w:val="bottom"/>
          </w:tcPr>
          <w:p>
            <w:pPr>
              <w:spacing w:after="0"/>
              <w:rPr>
                <w:sz w:val="20"/>
                <w:szCs w:val="20"/>
                <w:color w:val="auto"/>
              </w:rPr>
            </w:pPr>
            <w:r>
              <w:rPr>
                <w:rFonts w:ascii="Arial" w:cs="Arial" w:eastAsia="Arial" w:hAnsi="Arial"/>
                <w:sz w:val="18"/>
                <w:szCs w:val="18"/>
                <w:color w:val="auto"/>
              </w:rPr>
              <w:t> </w:t>
            </w:r>
          </w:p>
        </w:tc>
        <w:tc>
          <w:tcPr>
            <w:tcW w:w="840" w:type="dxa"/>
            <w:vAlign w:val="bottom"/>
          </w:tcPr>
          <w:p>
            <w:pPr>
              <w:spacing w:after="0"/>
              <w:rPr>
                <w:sz w:val="21"/>
                <w:szCs w:val="21"/>
                <w:color w:val="auto"/>
              </w:rPr>
            </w:pPr>
          </w:p>
        </w:tc>
        <w:tc>
          <w:tcPr>
            <w:tcW w:w="6060" w:type="dxa"/>
            <w:vAlign w:val="bottom"/>
            <w:tcBorders>
              <w:bottom w:val="single" w:sz="8" w:color="auto"/>
            </w:tcBorders>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61"/>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9"/>
              </w:rPr>
              <w:t>(Name of Person(s) Filing Proxy Statement, if other than the Registrant)</w:t>
            </w:r>
          </w:p>
        </w:tc>
        <w:tc>
          <w:tcPr>
            <w:tcW w:w="880" w:type="dxa"/>
            <w:vAlign w:val="bottom"/>
          </w:tcPr>
          <w:p>
            <w:pPr>
              <w:spacing w:after="0"/>
              <w:rPr>
                <w:sz w:val="20"/>
                <w:szCs w:val="20"/>
                <w:color w:val="auto"/>
              </w:rPr>
            </w:pPr>
            <w:r>
              <w:rPr>
                <w:rFonts w:ascii="Arial" w:cs="Arial" w:eastAsia="Arial" w:hAnsi="Arial"/>
                <w:sz w:val="18"/>
                <w:szCs w:val="18"/>
                <w:color w:val="auto"/>
              </w:rPr>
              <w:t>​ ​ ​</w:t>
            </w:r>
          </w:p>
        </w:tc>
        <w:tc>
          <w:tcPr>
            <w:tcW w:w="680" w:type="dxa"/>
            <w:vAlign w:val="bottom"/>
          </w:tcPr>
          <w:p>
            <w:pPr>
              <w:ind w:left="620"/>
              <w:spacing w:after="0"/>
              <w:rPr>
                <w:sz w:val="20"/>
                <w:szCs w:val="20"/>
                <w:color w:val="auto"/>
              </w:rPr>
            </w:pPr>
            <w:r>
              <w:rPr>
                <w:rFonts w:ascii="Arial" w:cs="Arial" w:eastAsia="Arial" w:hAnsi="Arial"/>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Payment of Filing Fee (Check all boxes that apply):</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ind w:left="820"/>
        <w:spacing w:after="0"/>
        <w:tabs>
          <w:tab w:leader="none" w:pos="11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paid previously with preliminary materials.</w:t>
      </w:r>
    </w:p>
    <w:p>
      <w:pPr>
        <w:spacing w:after="0" w:line="9" w:lineRule="exact"/>
        <w:rPr>
          <w:sz w:val="24"/>
          <w:szCs w:val="24"/>
          <w:color w:val="auto"/>
        </w:rPr>
      </w:pPr>
    </w:p>
    <w:p>
      <w:pPr>
        <w:ind w:left="820"/>
        <w:spacing w:after="0"/>
        <w:tabs>
          <w:tab w:leader="none" w:pos="11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4219575</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205" w:right="137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767080</wp:posOffset>
            </wp:positionV>
            <wp:extent cx="181737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Letter to Shareholders</w:t>
      </w:r>
    </w:p>
    <w:p>
      <w:pPr>
        <w:spacing w:after="0" w:line="158"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April 20, 2023​</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Our Shareholders:</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are cordially invited to attend the 2023 annual meeting of shareholders of TMC the metals company Inc. (the “Company”) to be held in a virtual format on Tuesday, May 30, 2023 at 10:00 a.m. EDT.</w:t>
      </w:r>
    </w:p>
    <w:p>
      <w:pPr>
        <w:spacing w:after="0" w:line="90" w:lineRule="exact"/>
        <w:rPr>
          <w:sz w:val="20"/>
          <w:szCs w:val="20"/>
          <w:color w:val="auto"/>
        </w:rPr>
      </w:pPr>
    </w:p>
    <w:p>
      <w:pPr>
        <w:jc w:val="both"/>
        <w:ind w:left="1240" w:right="419" w:firstLine="360"/>
        <w:spacing w:after="0" w:line="275" w:lineRule="auto"/>
        <w:rPr>
          <w:sz w:val="20"/>
          <w:szCs w:val="20"/>
          <w:color w:val="auto"/>
        </w:rPr>
      </w:pPr>
      <w:r>
        <w:rPr>
          <w:rFonts w:ascii="Arial" w:cs="Arial" w:eastAsia="Arial" w:hAnsi="Arial"/>
          <w:sz w:val="17"/>
          <w:szCs w:val="17"/>
          <w:color w:val="auto"/>
        </w:rPr>
        <w:t>This year’s annual meeting will be held virtually via live audio webcast on the internet. We believe hosting a virtual annual meeting enables greater shareholder attendance and participation from any location around the world, improves meeting efficiency and our ability to communicate effectively with our shareholders, and reduces the cost and environmental impact of our annual meeting. You will be able to attend the annual meeting, vote and submit your questions during the annual meeting by visiting https://www.cstproxy.com/metals/2023. You will not be able to attend the annual meeting in person.</w:t>
      </w:r>
    </w:p>
    <w:p>
      <w:pPr>
        <w:spacing w:after="0" w:line="101"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Details regarding the meeting, the business to be conducted at the meeting, and information about the Company that you should consider when you vote your shares are described in the accompanying proxy statement.</w:t>
      </w:r>
    </w:p>
    <w:p>
      <w:pPr>
        <w:spacing w:after="0" w:line="103"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At the annual meeting, we will present the audited consolidated financial statements for the fiscal year ended December 31, 2022 and the auditors’ report thereon, we will ask the shareholders to set the number of directors at eight and eight persons will be elected to our board of directors. In addition, we will ask shareholders to appoint Ernst &amp; Young LLP as our independent registered public accounting firm for our fiscal year ending December 31, 2023. Our board of directors recommends the approval of each of the proposals</w:t>
      </w:r>
      <w:r>
        <w:rPr>
          <w:rFonts w:ascii="Arial" w:cs="Arial" w:eastAsia="Arial" w:hAnsi="Arial"/>
          <w:sz w:val="18"/>
          <w:szCs w:val="18"/>
          <w:b w:val="1"/>
          <w:bCs w:val="1"/>
          <w:color w:val="auto"/>
        </w:rPr>
        <w:t>.</w:t>
      </w:r>
      <w:r>
        <w:rPr>
          <w:rFonts w:ascii="Arial" w:cs="Arial" w:eastAsia="Arial" w:hAnsi="Arial"/>
          <w:sz w:val="18"/>
          <w:szCs w:val="18"/>
          <w:color w:val="auto"/>
        </w:rPr>
        <w:t xml:space="preserve"> Such other business will be transacted as may properly come before the annual meeting.</w:t>
      </w:r>
    </w:p>
    <w:p>
      <w:pPr>
        <w:spacing w:after="0" w:line="10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Under the Securities and Exchange Commission rules that allow companies to furnish proxy materials to shareholders over the Internet, we have elected to deliver our proxy materials to the majority of our shareholders over the Internet. This delivery process allows us to provide shareholders with the information they need, while at the same time conserving natural resources and lowering the cost of delivery. On April 20, 2023, we intend to begin sending to our shareholders a Notice of Internet Availability of Proxy Materials (the “Notice”) containing instructions on how to access our proxy statement for our 2023 annual meeting of shareholders and our annual report to shareholders. The Notice also provides instructions on how to vote by proxy, online or at the meeting, how to access the virtual annual meeting and how to receive a paper copy of the proxy materials by mail.</w:t>
      </w:r>
    </w:p>
    <w:p>
      <w:pPr>
        <w:spacing w:after="0" w:line="113"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We hope you will be able to attend the annual meeting. Whether or not you plan to attend the annual meeting, we hope you will vote promptly. Information about voting methods is set forth in the accompanying proxy statement.</w:t>
      </w:r>
    </w:p>
    <w:p>
      <w:pPr>
        <w:spacing w:after="0" w:line="103" w:lineRule="exact"/>
        <w:rPr>
          <w:sz w:val="20"/>
          <w:szCs w:val="20"/>
          <w:color w:val="auto"/>
        </w:rPr>
      </w:pPr>
    </w:p>
    <w:p>
      <w:pPr>
        <w:jc w:val="both"/>
        <w:ind w:left="1240" w:right="419" w:firstLine="360"/>
        <w:spacing w:after="0" w:line="281" w:lineRule="auto"/>
        <w:rPr>
          <w:sz w:val="20"/>
          <w:szCs w:val="20"/>
          <w:color w:val="auto"/>
        </w:rPr>
      </w:pPr>
      <w:r>
        <w:rPr>
          <w:rFonts w:ascii="Arial" w:cs="Arial" w:eastAsia="Arial" w:hAnsi="Arial"/>
          <w:sz w:val="18"/>
          <w:szCs w:val="18"/>
          <w:color w:val="auto"/>
        </w:rPr>
        <w:t>Thank you for your continued support of the Company. We look forward to seeing you at the annual meeting.</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26035</wp:posOffset>
            </wp:positionV>
            <wp:extent cx="147447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Gerard Barron</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628015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432435</wp:posOffset>
            </wp:positionV>
            <wp:extent cx="181737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April 20, 2023​</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NOTICE OF 2023 ANNUAL MEETING OF SHAREHOLDERS</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TIME: 10:00 a.m. EDT</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 Tuesday, May 30, 2023</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ACCESS: https://www.cstproxy.com/metals/2023</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Notice is hereby given that this year’s annual meeting will be held virtually via live webcast on</w:t>
      </w:r>
    </w:p>
    <w:p>
      <w:pPr>
        <w:spacing w:after="0" w:line="14" w:lineRule="exact"/>
        <w:rPr>
          <w:sz w:val="20"/>
          <w:szCs w:val="20"/>
          <w:color w:val="auto"/>
        </w:rPr>
      </w:pPr>
    </w:p>
    <w:p>
      <w:pPr>
        <w:ind w:left="1240" w:right="439"/>
        <w:spacing w:after="0" w:line="226" w:lineRule="auto"/>
        <w:rPr>
          <w:sz w:val="20"/>
          <w:szCs w:val="20"/>
          <w:color w:val="auto"/>
        </w:rPr>
      </w:pPr>
      <w:r>
        <w:rPr>
          <w:rFonts w:ascii="Arial" w:cs="Arial" w:eastAsia="Arial" w:hAnsi="Arial"/>
          <w:sz w:val="18"/>
          <w:szCs w:val="18"/>
          <w:color w:val="auto"/>
        </w:rPr>
        <w:t>the Internet at the above noted link at 10:00 a.m. EDT on Tuesday, May 30, 2023. You will be able to attend the annual meeting, vote and submit your questions during the meeting by visiting</w:t>
      </w:r>
    </w:p>
    <w:p>
      <w:pPr>
        <w:ind w:left="1240"/>
        <w:spacing w:after="0" w:line="236" w:lineRule="auto"/>
        <w:rPr>
          <w:sz w:val="20"/>
          <w:szCs w:val="20"/>
          <w:color w:val="auto"/>
        </w:rPr>
      </w:pPr>
      <w:r>
        <w:rPr>
          <w:rFonts w:ascii="Arial" w:cs="Arial" w:eastAsia="Arial" w:hAnsi="Arial"/>
          <w:sz w:val="18"/>
          <w:szCs w:val="18"/>
          <w:color w:val="auto"/>
        </w:rPr>
        <w:t>https://www.cstproxy.com/metals/2023 at the date and time of the meeting and entering the 12-digit</w:t>
      </w:r>
    </w:p>
    <w:p>
      <w:pPr>
        <w:spacing w:after="0" w:line="1" w:lineRule="exact"/>
        <w:rPr>
          <w:sz w:val="20"/>
          <w:szCs w:val="20"/>
          <w:color w:val="auto"/>
        </w:rPr>
      </w:pPr>
    </w:p>
    <w:p>
      <w:pPr>
        <w:ind w:left="1240" w:right="419"/>
        <w:spacing w:after="0" w:line="226" w:lineRule="auto"/>
        <w:rPr>
          <w:sz w:val="20"/>
          <w:szCs w:val="20"/>
          <w:color w:val="auto"/>
        </w:rPr>
      </w:pPr>
      <w:r>
        <w:rPr>
          <w:rFonts w:ascii="Arial" w:cs="Arial" w:eastAsia="Arial" w:hAnsi="Arial"/>
          <w:sz w:val="18"/>
          <w:szCs w:val="18"/>
          <w:color w:val="auto"/>
        </w:rPr>
        <w:t>control number included in the Notice of Internet Availability or proxy card that you receive. For further information about the virtual annual meeting, please see the Questions and Answers about the Meeting</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beginning on page 3 of TMC the metals company Inc.’s 2023 Proxy Statement.</w:t>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PURPOSES:</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  will  present  the  audited  consolidated  financial  statements  for  the  fiscal  year  ended</w:t>
      </w:r>
    </w:p>
    <w:p>
      <w:pPr>
        <w:ind w:left="1240"/>
        <w:spacing w:after="0"/>
        <w:rPr>
          <w:sz w:val="20"/>
          <w:szCs w:val="20"/>
          <w:color w:val="auto"/>
        </w:rPr>
      </w:pPr>
      <w:r>
        <w:rPr>
          <w:rFonts w:ascii="Arial" w:cs="Arial" w:eastAsia="Arial" w:hAnsi="Arial"/>
          <w:sz w:val="18"/>
          <w:szCs w:val="18"/>
          <w:color w:val="auto"/>
        </w:rPr>
        <w:t>December 31, 2022 and the auditors’ report thereon and then act on the following proposals:</w:t>
      </w:r>
    </w:p>
    <w:p>
      <w:pPr>
        <w:spacing w:after="0" w:line="59" w:lineRule="exact"/>
        <w:rPr>
          <w:sz w:val="20"/>
          <w:szCs w:val="20"/>
          <w:color w:val="auto"/>
        </w:rPr>
      </w:pPr>
    </w:p>
    <w:p>
      <w:pPr>
        <w:ind w:left="1960" w:hanging="35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set the number of directors at eight;</w:t>
      </w:r>
    </w:p>
    <w:p>
      <w:pPr>
        <w:spacing w:after="0" w:line="76" w:lineRule="exact"/>
        <w:rPr>
          <w:rFonts w:ascii="Arial" w:cs="Arial" w:eastAsia="Arial" w:hAnsi="Arial"/>
          <w:sz w:val="18"/>
          <w:szCs w:val="18"/>
          <w:color w:val="auto"/>
        </w:rPr>
      </w:pPr>
    </w:p>
    <w:p>
      <w:pPr>
        <w:ind w:left="1960" w:hanging="35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eight directors to serve a one-year term expiring in 2024;</w:t>
      </w:r>
    </w:p>
    <w:p>
      <w:pPr>
        <w:spacing w:after="0" w:line="63" w:lineRule="exact"/>
        <w:rPr>
          <w:rFonts w:ascii="Arial" w:cs="Arial" w:eastAsia="Arial" w:hAnsi="Arial"/>
          <w:sz w:val="18"/>
          <w:szCs w:val="18"/>
          <w:color w:val="auto"/>
        </w:rPr>
      </w:pPr>
    </w:p>
    <w:p>
      <w:pPr>
        <w:ind w:left="1960" w:right="419" w:hanging="352"/>
        <w:spacing w:after="0" w:line="281"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Ernst &amp; Young LLP as our independent registered public accounting firm for the fiscal year ending December 31, 2023; and</w:t>
      </w:r>
    </w:p>
    <w:p>
      <w:pPr>
        <w:spacing w:after="0" w:line="1" w:lineRule="exact"/>
        <w:rPr>
          <w:rFonts w:ascii="Arial" w:cs="Arial" w:eastAsia="Arial" w:hAnsi="Arial"/>
          <w:sz w:val="18"/>
          <w:szCs w:val="18"/>
          <w:color w:val="auto"/>
        </w:rPr>
      </w:pPr>
    </w:p>
    <w:p>
      <w:pPr>
        <w:ind w:left="1960" w:right="419" w:hanging="352"/>
        <w:spacing w:after="0" w:line="271"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annual meeting and any adjournments or postponements thereof.</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WHO MAY VOTE:</w:t>
      </w:r>
    </w:p>
    <w:p>
      <w:pPr>
        <w:spacing w:after="0" w:line="77"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You may vote if you were the record owner of TMC the metals company Inc. common shares at the close of business on April 3, 2023.</w:t>
      </w:r>
    </w:p>
    <w:p>
      <w:pPr>
        <w:spacing w:after="0" w:line="19"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 xml:space="preserve">All shareholders are cordially invited to attend the annual meeting. </w:t>
      </w:r>
      <w:r>
        <w:rPr>
          <w:rFonts w:ascii="Arial" w:cs="Arial" w:eastAsia="Arial" w:hAnsi="Arial"/>
          <w:sz w:val="18"/>
          <w:szCs w:val="18"/>
          <w:b w:val="1"/>
          <w:bCs w:val="1"/>
          <w:color w:val="auto"/>
        </w:rPr>
        <w:t>Whether you plan to attend</w:t>
      </w:r>
      <w:r>
        <w:rPr>
          <w:rFonts w:ascii="Arial" w:cs="Arial" w:eastAsia="Arial" w:hAnsi="Arial"/>
          <w:sz w:val="18"/>
          <w:szCs w:val="18"/>
          <w:color w:val="auto"/>
        </w:rPr>
        <w:t xml:space="preserve"> </w:t>
      </w:r>
      <w:r>
        <w:rPr>
          <w:rFonts w:ascii="Arial" w:cs="Arial" w:eastAsia="Arial" w:hAnsi="Arial"/>
          <w:sz w:val="18"/>
          <w:szCs w:val="18"/>
          <w:b w:val="1"/>
          <w:bCs w:val="1"/>
          <w:color w:val="auto"/>
        </w:rPr>
        <w:t>the annual meeting or not, we urge you to vote and submit your proxy by the Internet or mail by following the instructions in the Notice of Internet Availability of Proxy Materials that you</w:t>
      </w:r>
    </w:p>
    <w:p>
      <w:pPr>
        <w:spacing w:after="0" w:line="3" w:lineRule="exact"/>
        <w:rPr>
          <w:sz w:val="20"/>
          <w:szCs w:val="20"/>
          <w:color w:val="auto"/>
        </w:rPr>
      </w:pPr>
    </w:p>
    <w:p>
      <w:pPr>
        <w:jc w:val="both"/>
        <w:ind w:left="1240" w:right="419"/>
        <w:spacing w:after="0" w:line="242" w:lineRule="auto"/>
        <w:rPr>
          <w:sz w:val="20"/>
          <w:szCs w:val="20"/>
          <w:color w:val="auto"/>
        </w:rPr>
      </w:pPr>
      <w:r>
        <w:rPr>
          <w:rFonts w:ascii="Arial" w:cs="Arial" w:eastAsia="Arial" w:hAnsi="Arial"/>
          <w:sz w:val="18"/>
          <w:szCs w:val="18"/>
          <w:b w:val="1"/>
          <w:bCs w:val="1"/>
          <w:color w:val="auto"/>
        </w:rPr>
        <w:t xml:space="preserve">previously received in order to ensure the presence of a quorum. </w:t>
      </w:r>
      <w:r>
        <w:rPr>
          <w:rFonts w:ascii="Arial" w:cs="Arial" w:eastAsia="Arial" w:hAnsi="Arial"/>
          <w:sz w:val="18"/>
          <w:szCs w:val="18"/>
          <w:color w:val="auto"/>
        </w:rPr>
        <w:t>You may change or revoke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at any time before it is voted at the annual meeting. If you participate in and vote your shares at the annual meeting, your proxy will not be used.</w:t>
      </w:r>
    </w:p>
    <w:p>
      <w:pPr>
        <w:spacing w:after="0" w:line="44"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You will be provided instructions and prompted to vote during the meeting. Shareholders may submit questions for the annual meeting after logging in. If you wish to submit a question, you may do so by logging into the virtual meeting platform at https://www.cstproxy.com/metals/2023, typing your question into the “Ask a Question” field, and clicking “Submit.” Please submit any questions before the start time of the meeting. In addition, we have made available a separate conference line to allow attendees to communicate with each other during the annual meeting. Attendees who wish to utilize this facility may do so by dialing the attendee conference line number shown on the right-hand side of the meeting website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26035</wp:posOffset>
            </wp:positionV>
            <wp:extent cx="147447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Gerard Barron</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619125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66" w:lineRule="exact"/>
        <w:rPr>
          <w:sz w:val="20"/>
          <w:szCs w:val="20"/>
          <w:color w:val="auto"/>
        </w:rPr>
      </w:pPr>
    </w:p>
    <w:tbl>
      <w:tblPr>
        <w:tblLayout w:type="fixed"/>
        <w:tblInd w:w="1240" w:type="dxa"/>
        <w:tblCellMar>
          <w:top w:w="0" w:type="dxa"/>
          <w:left w:w="0" w:type="dxa"/>
          <w:bottom w:w="0" w:type="dxa"/>
          <w:right w:w="0" w:type="dxa"/>
        </w:tblCellMar>
      </w:tblPr>
      <w:tr>
        <w:trPr>
          <w:trHeight w:val="367"/>
        </w:trPr>
        <w:tc>
          <w:tcPr>
            <w:tcW w:w="7220" w:type="dxa"/>
            <w:vAlign w:val="bottom"/>
            <w:gridSpan w:val="16"/>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center"/>
              <w:ind w:left="264"/>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4"/>
                <w:szCs w:val="24"/>
                <w:color w:val="auto"/>
              </w:rPr>
            </w:pPr>
          </w:p>
        </w:tc>
        <w:tc>
          <w:tcPr>
            <w:tcW w:w="500" w:type="dxa"/>
            <w:vAlign w:val="bottom"/>
            <w:gridSpan w:val="5"/>
          </w:tcPr>
          <w:p>
            <w:pPr>
              <w:jc w:val="right"/>
              <w:spacing w:after="0"/>
              <w:rPr>
                <w:sz w:val="20"/>
                <w:szCs w:val="20"/>
                <w:color w:val="auto"/>
              </w:rPr>
            </w:pPr>
            <w:r>
              <w:rPr>
                <w:rFonts w:ascii="Arial" w:cs="Arial" w:eastAsia="Arial" w:hAnsi="Arial"/>
                <w:sz w:val="14"/>
                <w:szCs w:val="14"/>
                <w:b w:val="1"/>
                <w:bCs w:val="1"/>
                <w:color w:val="auto"/>
              </w:rPr>
              <w:t xml:space="preserve">PAGE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43"/>
        </w:trPr>
        <w:tc>
          <w:tcPr>
            <w:tcW w:w="7220" w:type="dxa"/>
            <w:vAlign w:val="bottom"/>
            <w:tcBorders>
              <w:top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0000EE"/>
              </w:rPr>
              <w:t>IMPORTANT INFORMATION ABOUT THE ANNUAL MEETING AND VOTING</w:t>
            </w:r>
          </w:p>
        </w:tc>
        <w:tc>
          <w:tcPr>
            <w:tcW w:w="4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000EE"/>
                <w:w w:val="79"/>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340" w:type="dxa"/>
            <w:vAlign w:val="bottom"/>
            <w:tcBorders>
              <w:top w:val="single" w:sz="8" w:color="0000EE"/>
              <w:bottom w:val="single" w:sz="8" w:color="CCEEFF"/>
            </w:tcBorders>
            <w:shd w:val="clear" w:color="auto" w:fill="CCEEFF"/>
          </w:tcPr>
          <w:p>
            <w:pPr>
              <w:spacing w:after="0"/>
              <w:rPr>
                <w:sz w:val="4"/>
                <w:szCs w:val="4"/>
                <w:color w:val="auto"/>
              </w:rPr>
            </w:pPr>
          </w:p>
        </w:tc>
        <w:tc>
          <w:tcPr>
            <w:tcW w:w="36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8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440" w:type="dxa"/>
            <w:vAlign w:val="bottom"/>
            <w:tcBorders>
              <w:top w:val="single" w:sz="8" w:color="0000EE"/>
              <w:bottom w:val="single" w:sz="8" w:color="CCEEFF"/>
            </w:tcBorders>
            <w:shd w:val="clear" w:color="auto" w:fill="CCEEFF"/>
          </w:tcPr>
          <w:p>
            <w:pPr>
              <w:spacing w:after="0"/>
              <w:rPr>
                <w:sz w:val="4"/>
                <w:szCs w:val="4"/>
                <w:color w:val="auto"/>
              </w:rPr>
            </w:pPr>
          </w:p>
        </w:tc>
        <w:tc>
          <w:tcPr>
            <w:tcW w:w="900" w:type="dxa"/>
            <w:vAlign w:val="bottom"/>
            <w:tcBorders>
              <w:top w:val="single" w:sz="8" w:color="0000EE"/>
              <w:bottom w:val="single" w:sz="8" w:color="CCEEFF"/>
            </w:tcBorders>
            <w:shd w:val="clear" w:color="auto" w:fill="CCEEFF"/>
          </w:tcPr>
          <w:p>
            <w:pPr>
              <w:spacing w:after="0"/>
              <w:rPr>
                <w:sz w:val="4"/>
                <w:szCs w:val="4"/>
                <w:color w:val="auto"/>
              </w:rPr>
            </w:pPr>
          </w:p>
        </w:tc>
        <w:tc>
          <w:tcPr>
            <w:tcW w:w="140" w:type="dxa"/>
            <w:vAlign w:val="bottom"/>
            <w:tcBorders>
              <w:top w:val="single" w:sz="8" w:color="0000EE"/>
              <w:bottom w:val="single" w:sz="8" w:color="CCEEFF"/>
            </w:tcBorders>
            <w:shd w:val="clear" w:color="auto" w:fill="CCEEFF"/>
          </w:tcPr>
          <w:p>
            <w:pPr>
              <w:spacing w:after="0"/>
              <w:rPr>
                <w:sz w:val="4"/>
                <w:szCs w:val="4"/>
                <w:color w:val="auto"/>
              </w:rPr>
            </w:pPr>
          </w:p>
        </w:tc>
        <w:tc>
          <w:tcPr>
            <w:tcW w:w="4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spacing w:after="0"/>
              <w:rPr>
                <w:sz w:val="4"/>
                <w:szCs w:val="4"/>
                <w:color w:val="auto"/>
              </w:rPr>
            </w:pPr>
          </w:p>
        </w:tc>
        <w:tc>
          <w:tcPr>
            <w:tcW w:w="220" w:type="dxa"/>
            <w:vAlign w:val="bottom"/>
            <w:tcBorders>
              <w:top w:val="single" w:sz="8" w:color="CCEEFF"/>
              <w:bottom w:val="single" w:sz="8" w:color="CCEEFF"/>
            </w:tcBorders>
            <w:shd w:val="clear" w:color="auto" w:fill="CCEEFF"/>
          </w:tcPr>
          <w:p>
            <w:pPr>
              <w:spacing w:after="0"/>
              <w:rPr>
                <w:sz w:val="4"/>
                <w:szCs w:val="4"/>
                <w:color w:val="auto"/>
              </w:rPr>
            </w:pPr>
          </w:p>
        </w:tc>
        <w:tc>
          <w:tcPr>
            <w:tcW w:w="320" w:type="dxa"/>
            <w:vAlign w:val="bottom"/>
            <w:tcBorders>
              <w:top w:val="single" w:sz="8" w:color="CCEEFF"/>
              <w:bottom w:val="single" w:sz="8" w:color="CCEEFF"/>
            </w:tcBorders>
            <w:shd w:val="clear" w:color="auto" w:fill="CCEEFF"/>
          </w:tcPr>
          <w:p>
            <w:pPr>
              <w:spacing w:after="0"/>
              <w:rPr>
                <w:sz w:val="4"/>
                <w:szCs w:val="4"/>
                <w:color w:val="auto"/>
              </w:rPr>
            </w:pPr>
          </w:p>
        </w:tc>
        <w:tc>
          <w:tcPr>
            <w:tcW w:w="480" w:type="dxa"/>
            <w:vAlign w:val="bottom"/>
            <w:tcBorders>
              <w:top w:val="single" w:sz="8" w:color="CCEEFF"/>
              <w:bottom w:val="single" w:sz="8" w:color="CCEEFF"/>
            </w:tcBorders>
            <w:shd w:val="clear" w:color="auto" w:fill="CCEEFF"/>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60" w:type="dxa"/>
            <w:vAlign w:val="bottom"/>
            <w:tcBorders>
              <w:top w:val="single" w:sz="8" w:color="CCEEFF"/>
              <w:bottom w:val="single" w:sz="8" w:color="CCEEFF"/>
            </w:tcBorders>
            <w:gridSpan w:val="2"/>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30"/>
        </w:trPr>
        <w:tc>
          <w:tcPr>
            <w:tcW w:w="7220" w:type="dxa"/>
            <w:vAlign w:val="bottom"/>
            <w:gridSpan w:val="16"/>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0000EE"/>
                <w:w w:val="79"/>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260" w:type="dxa"/>
            <w:vAlign w:val="bottom"/>
            <w:gridSpan w:val="2"/>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50"/>
        </w:trPr>
        <w:tc>
          <w:tcPr>
            <w:tcW w:w="7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MANAGEMENT AND CORPORATE GOVERNANCE</w:t>
            </w: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340" w:type="dxa"/>
            <w:vAlign w:val="bottom"/>
            <w:tcBorders>
              <w:top w:val="single" w:sz="8" w:color="0000EE"/>
              <w:bottom w:val="single" w:sz="8" w:color="CCEEFF"/>
            </w:tcBorders>
            <w:shd w:val="clear" w:color="auto" w:fill="CCEEFF"/>
          </w:tcPr>
          <w:p>
            <w:pPr>
              <w:spacing w:after="0"/>
              <w:rPr>
                <w:sz w:val="4"/>
                <w:szCs w:val="4"/>
                <w:color w:val="auto"/>
              </w:rPr>
            </w:pPr>
          </w:p>
        </w:tc>
        <w:tc>
          <w:tcPr>
            <w:tcW w:w="36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8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40" w:type="dxa"/>
            <w:vAlign w:val="bottom"/>
            <w:tcBorders>
              <w:top w:val="single" w:sz="8" w:color="CCEEFF"/>
              <w:bottom w:val="single" w:sz="8" w:color="CCEEFF"/>
            </w:tcBorders>
            <w:shd w:val="clear" w:color="auto" w:fill="CCEEFF"/>
          </w:tcPr>
          <w:p>
            <w:pPr>
              <w:spacing w:after="0"/>
              <w:rPr>
                <w:sz w:val="4"/>
                <w:szCs w:val="4"/>
                <w:color w:val="auto"/>
              </w:rPr>
            </w:pPr>
          </w:p>
        </w:tc>
        <w:tc>
          <w:tcPr>
            <w:tcW w:w="900" w:type="dxa"/>
            <w:vAlign w:val="bottom"/>
            <w:tcBorders>
              <w:top w:val="single" w:sz="8" w:color="CCEEFF"/>
              <w:bottom w:val="single" w:sz="8" w:color="CCEEFF"/>
            </w:tcBorders>
            <w:shd w:val="clear" w:color="auto" w:fill="CCEEFF"/>
          </w:tcPr>
          <w:p>
            <w:pPr>
              <w:spacing w:after="0"/>
              <w:rPr>
                <w:sz w:val="4"/>
                <w:szCs w:val="4"/>
                <w:color w:val="auto"/>
              </w:rPr>
            </w:pPr>
          </w:p>
        </w:tc>
        <w:tc>
          <w:tcPr>
            <w:tcW w:w="140" w:type="dxa"/>
            <w:vAlign w:val="bottom"/>
            <w:tcBorders>
              <w:top w:val="single" w:sz="8" w:color="CCEEFF"/>
              <w:bottom w:val="single" w:sz="8" w:color="CCEEFF"/>
            </w:tcBorders>
            <w:shd w:val="clear" w:color="auto" w:fill="CCEEFF"/>
          </w:tcPr>
          <w:p>
            <w:pPr>
              <w:spacing w:after="0"/>
              <w:rPr>
                <w:sz w:val="4"/>
                <w:szCs w:val="4"/>
                <w:color w:val="auto"/>
              </w:rPr>
            </w:pPr>
          </w:p>
        </w:tc>
        <w:tc>
          <w:tcPr>
            <w:tcW w:w="42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spacing w:after="0"/>
              <w:rPr>
                <w:sz w:val="4"/>
                <w:szCs w:val="4"/>
                <w:color w:val="auto"/>
              </w:rPr>
            </w:pPr>
          </w:p>
        </w:tc>
        <w:tc>
          <w:tcPr>
            <w:tcW w:w="220" w:type="dxa"/>
            <w:vAlign w:val="bottom"/>
            <w:tcBorders>
              <w:top w:val="single" w:sz="8" w:color="CCEEFF"/>
              <w:bottom w:val="single" w:sz="8" w:color="CCEEFF"/>
            </w:tcBorders>
            <w:shd w:val="clear" w:color="auto" w:fill="CCEEFF"/>
          </w:tcPr>
          <w:p>
            <w:pPr>
              <w:spacing w:after="0"/>
              <w:rPr>
                <w:sz w:val="4"/>
                <w:szCs w:val="4"/>
                <w:color w:val="auto"/>
              </w:rPr>
            </w:pPr>
          </w:p>
        </w:tc>
        <w:tc>
          <w:tcPr>
            <w:tcW w:w="320" w:type="dxa"/>
            <w:vAlign w:val="bottom"/>
            <w:tcBorders>
              <w:top w:val="single" w:sz="8" w:color="CCEEFF"/>
              <w:bottom w:val="single" w:sz="8" w:color="CCEEFF"/>
            </w:tcBorders>
            <w:shd w:val="clear" w:color="auto" w:fill="CCEEFF"/>
          </w:tcPr>
          <w:p>
            <w:pPr>
              <w:spacing w:after="0"/>
              <w:rPr>
                <w:sz w:val="4"/>
                <w:szCs w:val="4"/>
                <w:color w:val="auto"/>
              </w:rPr>
            </w:pPr>
          </w:p>
        </w:tc>
        <w:tc>
          <w:tcPr>
            <w:tcW w:w="480" w:type="dxa"/>
            <w:vAlign w:val="bottom"/>
            <w:tcBorders>
              <w:top w:val="single" w:sz="8" w:color="CCEEFF"/>
              <w:bottom w:val="single" w:sz="8" w:color="CCEEFF"/>
            </w:tcBorders>
            <w:shd w:val="clear" w:color="auto" w:fill="CCEEFF"/>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20" w:type="dxa"/>
            <w:vAlign w:val="bottom"/>
            <w:gridSpan w:val="16"/>
          </w:tcPr>
          <w:p>
            <w:pPr>
              <w:spacing w:after="0"/>
              <w:rPr>
                <w:sz w:val="20"/>
                <w:szCs w:val="20"/>
                <w:color w:val="auto"/>
              </w:rPr>
            </w:pPr>
            <w:r>
              <w:rPr>
                <w:rFonts w:ascii="Arial" w:cs="Arial" w:eastAsia="Arial" w:hAnsi="Arial"/>
                <w:sz w:val="18"/>
                <w:szCs w:val="18"/>
                <w:color w:val="0000EE"/>
              </w:rPr>
              <w:t>EXECUTIVE OFFICER AND DIRECTOR COMPENSATION</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EQUITY COMPENSATION PLAN INFORMATION</w:t>
            </w:r>
          </w:p>
        </w:tc>
        <w:tc>
          <w:tcPr>
            <w:tcW w:w="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340" w:type="dxa"/>
            <w:vAlign w:val="bottom"/>
            <w:tcBorders>
              <w:top w:val="single" w:sz="8" w:color="0000EE"/>
              <w:bottom w:val="single" w:sz="8" w:color="CCEEFF"/>
            </w:tcBorders>
            <w:shd w:val="clear" w:color="auto" w:fill="CCEEFF"/>
          </w:tcPr>
          <w:p>
            <w:pPr>
              <w:spacing w:after="0"/>
              <w:rPr>
                <w:sz w:val="4"/>
                <w:szCs w:val="4"/>
                <w:color w:val="auto"/>
              </w:rPr>
            </w:pPr>
          </w:p>
        </w:tc>
        <w:tc>
          <w:tcPr>
            <w:tcW w:w="36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8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40" w:type="dxa"/>
            <w:vAlign w:val="bottom"/>
            <w:tcBorders>
              <w:top w:val="single" w:sz="8" w:color="CCEEFF"/>
              <w:bottom w:val="single" w:sz="8" w:color="CCEEFF"/>
            </w:tcBorders>
            <w:shd w:val="clear" w:color="auto" w:fill="CCEEFF"/>
          </w:tcPr>
          <w:p>
            <w:pPr>
              <w:spacing w:after="0"/>
              <w:rPr>
                <w:sz w:val="4"/>
                <w:szCs w:val="4"/>
                <w:color w:val="auto"/>
              </w:rPr>
            </w:pPr>
          </w:p>
        </w:tc>
        <w:tc>
          <w:tcPr>
            <w:tcW w:w="900" w:type="dxa"/>
            <w:vAlign w:val="bottom"/>
            <w:tcBorders>
              <w:top w:val="single" w:sz="8" w:color="CCEEFF"/>
              <w:bottom w:val="single" w:sz="8" w:color="CCEEFF"/>
            </w:tcBorders>
            <w:shd w:val="clear" w:color="auto" w:fill="CCEEFF"/>
          </w:tcPr>
          <w:p>
            <w:pPr>
              <w:spacing w:after="0"/>
              <w:rPr>
                <w:sz w:val="4"/>
                <w:szCs w:val="4"/>
                <w:color w:val="auto"/>
              </w:rPr>
            </w:pPr>
          </w:p>
        </w:tc>
        <w:tc>
          <w:tcPr>
            <w:tcW w:w="140" w:type="dxa"/>
            <w:vAlign w:val="bottom"/>
            <w:tcBorders>
              <w:top w:val="single" w:sz="8" w:color="CCEEFF"/>
              <w:bottom w:val="single" w:sz="8" w:color="CCEEFF"/>
            </w:tcBorders>
            <w:shd w:val="clear" w:color="auto" w:fill="CCEEFF"/>
          </w:tcPr>
          <w:p>
            <w:pPr>
              <w:spacing w:after="0"/>
              <w:rPr>
                <w:sz w:val="4"/>
                <w:szCs w:val="4"/>
                <w:color w:val="auto"/>
              </w:rPr>
            </w:pPr>
          </w:p>
        </w:tc>
        <w:tc>
          <w:tcPr>
            <w:tcW w:w="42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spacing w:after="0"/>
              <w:rPr>
                <w:sz w:val="4"/>
                <w:szCs w:val="4"/>
                <w:color w:val="auto"/>
              </w:rPr>
            </w:pPr>
          </w:p>
        </w:tc>
        <w:tc>
          <w:tcPr>
            <w:tcW w:w="220" w:type="dxa"/>
            <w:vAlign w:val="bottom"/>
            <w:tcBorders>
              <w:top w:val="single" w:sz="8" w:color="CCEEFF"/>
              <w:bottom w:val="single" w:sz="8" w:color="CCEEFF"/>
            </w:tcBorders>
            <w:shd w:val="clear" w:color="auto" w:fill="CCEEFF"/>
          </w:tcPr>
          <w:p>
            <w:pPr>
              <w:spacing w:after="0"/>
              <w:rPr>
                <w:sz w:val="4"/>
                <w:szCs w:val="4"/>
                <w:color w:val="auto"/>
              </w:rPr>
            </w:pPr>
          </w:p>
        </w:tc>
        <w:tc>
          <w:tcPr>
            <w:tcW w:w="320" w:type="dxa"/>
            <w:vAlign w:val="bottom"/>
            <w:tcBorders>
              <w:top w:val="single" w:sz="8" w:color="CCEEFF"/>
              <w:bottom w:val="single" w:sz="8" w:color="CCEEFF"/>
            </w:tcBorders>
            <w:shd w:val="clear" w:color="auto" w:fill="CCEEFF"/>
          </w:tcPr>
          <w:p>
            <w:pPr>
              <w:spacing w:after="0"/>
              <w:rPr>
                <w:sz w:val="4"/>
                <w:szCs w:val="4"/>
                <w:color w:val="auto"/>
              </w:rPr>
            </w:pPr>
          </w:p>
        </w:tc>
        <w:tc>
          <w:tcPr>
            <w:tcW w:w="480" w:type="dxa"/>
            <w:vAlign w:val="bottom"/>
            <w:tcBorders>
              <w:top w:val="single" w:sz="8" w:color="CCEEFF"/>
              <w:bottom w:val="single" w:sz="8" w:color="CCEEFF"/>
            </w:tcBorders>
            <w:shd w:val="clear" w:color="auto" w:fill="CCEEFF"/>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20" w:type="dxa"/>
            <w:vAlign w:val="bottom"/>
            <w:gridSpan w:val="16"/>
          </w:tcPr>
          <w:p>
            <w:pPr>
              <w:spacing w:after="0"/>
              <w:rPr>
                <w:sz w:val="20"/>
                <w:szCs w:val="20"/>
                <w:color w:val="auto"/>
              </w:rPr>
            </w:pPr>
            <w:r>
              <w:rPr>
                <w:rFonts w:ascii="Arial" w:cs="Arial" w:eastAsia="Arial" w:hAnsi="Arial"/>
                <w:sz w:val="18"/>
                <w:szCs w:val="18"/>
                <w:color w:val="0000EE"/>
              </w:rPr>
              <w:t>REPORT OF AUDIT COMMITTEE</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35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340" w:type="dxa"/>
            <w:vAlign w:val="bottom"/>
            <w:tcBorders>
              <w:top w:val="single" w:sz="8" w:color="0000EE"/>
              <w:bottom w:val="single" w:sz="8" w:color="CCEEFF"/>
            </w:tcBorders>
            <w:shd w:val="clear" w:color="auto" w:fill="CCEEFF"/>
          </w:tcPr>
          <w:p>
            <w:pPr>
              <w:spacing w:after="0"/>
              <w:rPr>
                <w:sz w:val="4"/>
                <w:szCs w:val="4"/>
                <w:color w:val="auto"/>
              </w:rPr>
            </w:pPr>
          </w:p>
        </w:tc>
        <w:tc>
          <w:tcPr>
            <w:tcW w:w="36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8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440" w:type="dxa"/>
            <w:vAlign w:val="bottom"/>
            <w:tcBorders>
              <w:top w:val="single" w:sz="8" w:color="0000EE"/>
              <w:bottom w:val="single" w:sz="8" w:color="CCEEFF"/>
            </w:tcBorders>
            <w:shd w:val="clear" w:color="auto" w:fill="CCEEFF"/>
          </w:tcPr>
          <w:p>
            <w:pPr>
              <w:spacing w:after="0"/>
              <w:rPr>
                <w:sz w:val="4"/>
                <w:szCs w:val="4"/>
                <w:color w:val="auto"/>
              </w:rPr>
            </w:pPr>
          </w:p>
        </w:tc>
        <w:tc>
          <w:tcPr>
            <w:tcW w:w="900" w:type="dxa"/>
            <w:vAlign w:val="bottom"/>
            <w:tcBorders>
              <w:top w:val="single" w:sz="8" w:color="0000EE"/>
              <w:bottom w:val="single" w:sz="8" w:color="CCEEFF"/>
            </w:tcBorders>
            <w:shd w:val="clear" w:color="auto" w:fill="CCEEFF"/>
          </w:tcPr>
          <w:p>
            <w:pPr>
              <w:spacing w:after="0"/>
              <w:rPr>
                <w:sz w:val="4"/>
                <w:szCs w:val="4"/>
                <w:color w:val="auto"/>
              </w:rPr>
            </w:pPr>
          </w:p>
        </w:tc>
        <w:tc>
          <w:tcPr>
            <w:tcW w:w="140" w:type="dxa"/>
            <w:vAlign w:val="bottom"/>
            <w:tcBorders>
              <w:top w:val="single" w:sz="8" w:color="0000EE"/>
              <w:bottom w:val="single" w:sz="8" w:color="CCEEFF"/>
            </w:tcBorders>
            <w:shd w:val="clear" w:color="auto" w:fill="CCEEFF"/>
          </w:tcPr>
          <w:p>
            <w:pPr>
              <w:spacing w:after="0"/>
              <w:rPr>
                <w:sz w:val="4"/>
                <w:szCs w:val="4"/>
                <w:color w:val="auto"/>
              </w:rPr>
            </w:pPr>
          </w:p>
        </w:tc>
        <w:tc>
          <w:tcPr>
            <w:tcW w:w="42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spacing w:after="0"/>
              <w:rPr>
                <w:sz w:val="4"/>
                <w:szCs w:val="4"/>
                <w:color w:val="auto"/>
              </w:rPr>
            </w:pPr>
          </w:p>
        </w:tc>
        <w:tc>
          <w:tcPr>
            <w:tcW w:w="220" w:type="dxa"/>
            <w:vAlign w:val="bottom"/>
            <w:tcBorders>
              <w:top w:val="single" w:sz="8" w:color="CCEEFF"/>
              <w:bottom w:val="single" w:sz="8" w:color="CCEEFF"/>
            </w:tcBorders>
            <w:shd w:val="clear" w:color="auto" w:fill="CCEEFF"/>
          </w:tcPr>
          <w:p>
            <w:pPr>
              <w:spacing w:after="0"/>
              <w:rPr>
                <w:sz w:val="4"/>
                <w:szCs w:val="4"/>
                <w:color w:val="auto"/>
              </w:rPr>
            </w:pPr>
          </w:p>
        </w:tc>
        <w:tc>
          <w:tcPr>
            <w:tcW w:w="320" w:type="dxa"/>
            <w:vAlign w:val="bottom"/>
            <w:tcBorders>
              <w:top w:val="single" w:sz="8" w:color="CCEEFF"/>
              <w:bottom w:val="single" w:sz="8" w:color="CCEEFF"/>
            </w:tcBorders>
            <w:shd w:val="clear" w:color="auto" w:fill="CCEEFF"/>
          </w:tcPr>
          <w:p>
            <w:pPr>
              <w:spacing w:after="0"/>
              <w:rPr>
                <w:sz w:val="4"/>
                <w:szCs w:val="4"/>
                <w:color w:val="auto"/>
              </w:rPr>
            </w:pPr>
          </w:p>
        </w:tc>
        <w:tc>
          <w:tcPr>
            <w:tcW w:w="480" w:type="dxa"/>
            <w:vAlign w:val="bottom"/>
            <w:tcBorders>
              <w:top w:val="single" w:sz="8" w:color="CCEEFF"/>
              <w:bottom w:val="single" w:sz="8" w:color="CCEEFF"/>
            </w:tcBorders>
            <w:shd w:val="clear" w:color="auto" w:fill="CCEEFF"/>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20" w:type="dxa"/>
            <w:vAlign w:val="bottom"/>
            <w:gridSpan w:val="16"/>
          </w:tcPr>
          <w:p>
            <w:pPr>
              <w:spacing w:after="0"/>
              <w:rPr>
                <w:sz w:val="20"/>
                <w:szCs w:val="20"/>
                <w:color w:val="auto"/>
              </w:rPr>
            </w:pPr>
            <w:r>
              <w:rPr>
                <w:rFonts w:ascii="Arial" w:cs="Arial" w:eastAsia="Arial" w:hAnsi="Arial"/>
                <w:sz w:val="18"/>
                <w:szCs w:val="18"/>
                <w:color w:val="0000EE"/>
              </w:rPr>
              <w:t>Proposal Nos. 1 and 2 — ELECTION OF DIRECTORS</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56"/>
        </w:trPr>
        <w:tc>
          <w:tcPr>
            <w:tcW w:w="6680" w:type="dxa"/>
            <w:vAlign w:val="bottom"/>
            <w:tcBorders>
              <w:bottom w:val="single" w:sz="8" w:color="0000EE"/>
            </w:tcBorders>
            <w:gridSpan w:val="14"/>
            <w:shd w:val="clear" w:color="auto" w:fill="CCEEFF"/>
          </w:tcPr>
          <w:p>
            <w:pPr>
              <w:spacing w:after="0"/>
              <w:rPr>
                <w:sz w:val="20"/>
                <w:szCs w:val="20"/>
                <w:color w:val="auto"/>
              </w:rPr>
            </w:pPr>
            <w:r>
              <w:rPr>
                <w:rFonts w:ascii="Arial" w:cs="Arial" w:eastAsia="Arial" w:hAnsi="Arial"/>
                <w:sz w:val="18"/>
                <w:szCs w:val="18"/>
                <w:color w:val="0000EE"/>
                <w:w w:val="99"/>
              </w:rPr>
              <w:t>Proposal No. 3 — APPOINTMENT OF THE INDEPENDENT REGISTERED PUBLIC</w:t>
            </w:r>
          </w:p>
        </w:tc>
        <w:tc>
          <w:tcPr>
            <w:tcW w:w="540" w:type="dxa"/>
            <w:vAlign w:val="bottom"/>
            <w:tcBorders>
              <w:bottom w:val="single" w:sz="8" w:color="CCEEFF"/>
            </w:tcBorders>
            <w:gridSpan w:val="2"/>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0000EE"/>
            </w:tcBorders>
            <w:gridSpan w:val="2"/>
            <w:shd w:val="clear" w:color="auto" w:fill="CCEEFF"/>
          </w:tcPr>
          <w:p>
            <w:pPr>
              <w:spacing w:after="0" w:line="182" w:lineRule="exact"/>
              <w:rPr>
                <w:sz w:val="20"/>
                <w:szCs w:val="20"/>
                <w:color w:val="auto"/>
              </w:rPr>
            </w:pPr>
            <w:r>
              <w:rPr>
                <w:rFonts w:ascii="Arial" w:cs="Arial" w:eastAsia="Arial" w:hAnsi="Arial"/>
                <w:sz w:val="18"/>
                <w:szCs w:val="18"/>
                <w:color w:val="0000EE"/>
                <w:w w:val="98"/>
              </w:rPr>
              <w:t>ACCOUNTING FIRM</w:t>
            </w:r>
          </w:p>
        </w:tc>
        <w:tc>
          <w:tcPr>
            <w:tcW w:w="1500" w:type="dxa"/>
            <w:vAlign w:val="bottom"/>
            <w:tcBorders>
              <w:bottom w:val="single" w:sz="8" w:color="CCEEFF"/>
            </w:tcBorders>
            <w:gridSpan w:val="2"/>
            <w:vMerge w:val="restart"/>
            <w:shd w:val="clear" w:color="auto" w:fill="CCEEFF"/>
          </w:tcPr>
          <w:p>
            <w:pPr>
              <w:spacing w:after="0"/>
              <w:rPr>
                <w:sz w:val="17"/>
                <w:szCs w:val="17"/>
                <w:color w:val="auto"/>
              </w:rPr>
            </w:pPr>
          </w:p>
        </w:tc>
        <w:tc>
          <w:tcPr>
            <w:tcW w:w="480" w:type="dxa"/>
            <w:vAlign w:val="bottom"/>
            <w:tcBorders>
              <w:bottom w:val="single" w:sz="8" w:color="CCEEFF"/>
            </w:tcBorders>
            <w:vMerge w:val="restart"/>
            <w:shd w:val="clear" w:color="auto" w:fill="CCEEFF"/>
          </w:tcPr>
          <w:p>
            <w:pPr>
              <w:spacing w:after="0"/>
              <w:rPr>
                <w:sz w:val="17"/>
                <w:szCs w:val="17"/>
                <w:color w:val="auto"/>
              </w:rPr>
            </w:pPr>
          </w:p>
        </w:tc>
        <w:tc>
          <w:tcPr>
            <w:tcW w:w="1800" w:type="dxa"/>
            <w:vAlign w:val="bottom"/>
            <w:tcBorders>
              <w:bottom w:val="single" w:sz="8" w:color="CCEEFF"/>
            </w:tcBorders>
            <w:gridSpan w:val="5"/>
            <w:vMerge w:val="restart"/>
            <w:shd w:val="clear" w:color="auto" w:fill="CCEEFF"/>
          </w:tcPr>
          <w:p>
            <w:pPr>
              <w:spacing w:after="0"/>
              <w:rPr>
                <w:sz w:val="17"/>
                <w:szCs w:val="17"/>
                <w:color w:val="auto"/>
              </w:rPr>
            </w:pPr>
          </w:p>
        </w:tc>
        <w:tc>
          <w:tcPr>
            <w:tcW w:w="1560" w:type="dxa"/>
            <w:vAlign w:val="bottom"/>
            <w:tcBorders>
              <w:bottom w:val="single" w:sz="8" w:color="CCEEFF"/>
            </w:tcBorders>
            <w:gridSpan w:val="5"/>
            <w:vMerge w:val="restart"/>
            <w:shd w:val="clear" w:color="auto" w:fill="CCEEFF"/>
          </w:tcPr>
          <w:p>
            <w:pPr>
              <w:spacing w:after="0"/>
              <w:rPr>
                <w:sz w:val="17"/>
                <w:szCs w:val="17"/>
                <w:color w:val="auto"/>
              </w:rPr>
            </w:pPr>
          </w:p>
        </w:tc>
        <w:tc>
          <w:tcPr>
            <w:tcW w:w="480" w:type="dxa"/>
            <w:vAlign w:val="bottom"/>
            <w:tcBorders>
              <w:bottom w:val="single" w:sz="8" w:color="CCEEFF"/>
            </w:tcBorders>
            <w:vMerge w:val="restart"/>
            <w:shd w:val="clear" w:color="auto" w:fill="CCEEFF"/>
          </w:tcPr>
          <w:p>
            <w:pPr>
              <w:jc w:val="center"/>
              <w:ind w:left="284"/>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40</w:t>
            </w:r>
          </w:p>
        </w:tc>
        <w:tc>
          <w:tcPr>
            <w:tcW w:w="100" w:type="dxa"/>
            <w:vAlign w:val="bottom"/>
            <w:tcBorders>
              <w:bottom w:val="single" w:sz="8" w:color="CCEEFF"/>
            </w:tcBorders>
            <w:vMerge w:val="restart"/>
            <w:shd w:val="clear" w:color="auto" w:fill="CCEEFF"/>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800" w:type="dxa"/>
            <w:vAlign w:val="bottom"/>
            <w:gridSpan w:val="5"/>
            <w:vMerge w:val="continue"/>
            <w:shd w:val="clear" w:color="auto" w:fill="CCEEFF"/>
          </w:tcPr>
          <w:p>
            <w:pPr>
              <w:spacing w:after="0"/>
              <w:rPr>
                <w:sz w:val="5"/>
                <w:szCs w:val="5"/>
                <w:color w:val="auto"/>
              </w:rPr>
            </w:pPr>
          </w:p>
        </w:tc>
        <w:tc>
          <w:tcPr>
            <w:tcW w:w="1560" w:type="dxa"/>
            <w:vAlign w:val="bottom"/>
            <w:gridSpan w:val="5"/>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220" w:type="dxa"/>
            <w:vAlign w:val="bottom"/>
            <w:gridSpan w:val="16"/>
          </w:tcPr>
          <w:p>
            <w:pPr>
              <w:spacing w:after="0"/>
              <w:rPr>
                <w:sz w:val="20"/>
                <w:szCs w:val="20"/>
                <w:color w:val="auto"/>
              </w:rPr>
            </w:pPr>
            <w:r>
              <w:rPr>
                <w:rFonts w:ascii="Arial" w:cs="Arial" w:eastAsia="Arial" w:hAnsi="Arial"/>
                <w:sz w:val="18"/>
                <w:szCs w:val="18"/>
                <w:color w:val="0000EE"/>
              </w:rPr>
              <w:t>CODE OF BUSINESS CONDUCT AND ETHICS</w:t>
            </w: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DELINQUENT SECTION 16(a) REPORTS</w:t>
            </w:r>
          </w:p>
        </w:tc>
        <w:tc>
          <w:tcPr>
            <w:tcW w:w="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340" w:type="dxa"/>
            <w:vAlign w:val="bottom"/>
            <w:tcBorders>
              <w:top w:val="single" w:sz="8" w:color="0000EE"/>
              <w:bottom w:val="single" w:sz="8" w:color="CCEEFF"/>
            </w:tcBorders>
            <w:shd w:val="clear" w:color="auto" w:fill="CCEEFF"/>
          </w:tcPr>
          <w:p>
            <w:pPr>
              <w:spacing w:after="0"/>
              <w:rPr>
                <w:sz w:val="4"/>
                <w:szCs w:val="4"/>
                <w:color w:val="auto"/>
              </w:rPr>
            </w:pPr>
          </w:p>
        </w:tc>
        <w:tc>
          <w:tcPr>
            <w:tcW w:w="36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620" w:type="dxa"/>
            <w:vAlign w:val="bottom"/>
            <w:tcBorders>
              <w:top w:val="single" w:sz="8" w:color="0000EE"/>
              <w:bottom w:val="single" w:sz="8" w:color="CCEEFF"/>
            </w:tcBorders>
            <w:shd w:val="clear" w:color="auto" w:fill="CCEEFF"/>
          </w:tcPr>
          <w:p>
            <w:pPr>
              <w:spacing w:after="0"/>
              <w:rPr>
                <w:sz w:val="4"/>
                <w:szCs w:val="4"/>
                <w:color w:val="auto"/>
              </w:rPr>
            </w:pPr>
          </w:p>
        </w:tc>
        <w:tc>
          <w:tcPr>
            <w:tcW w:w="48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40" w:type="dxa"/>
            <w:vAlign w:val="bottom"/>
            <w:tcBorders>
              <w:top w:val="single" w:sz="8" w:color="CCEEFF"/>
              <w:bottom w:val="single" w:sz="8" w:color="CCEEFF"/>
            </w:tcBorders>
            <w:shd w:val="clear" w:color="auto" w:fill="CCEEFF"/>
          </w:tcPr>
          <w:p>
            <w:pPr>
              <w:spacing w:after="0"/>
              <w:rPr>
                <w:sz w:val="4"/>
                <w:szCs w:val="4"/>
                <w:color w:val="auto"/>
              </w:rPr>
            </w:pPr>
          </w:p>
        </w:tc>
        <w:tc>
          <w:tcPr>
            <w:tcW w:w="900" w:type="dxa"/>
            <w:vAlign w:val="bottom"/>
            <w:tcBorders>
              <w:top w:val="single" w:sz="8" w:color="CCEEFF"/>
              <w:bottom w:val="single" w:sz="8" w:color="CCEEFF"/>
            </w:tcBorders>
            <w:shd w:val="clear" w:color="auto" w:fill="CCEEFF"/>
          </w:tcPr>
          <w:p>
            <w:pPr>
              <w:spacing w:after="0"/>
              <w:rPr>
                <w:sz w:val="4"/>
                <w:szCs w:val="4"/>
                <w:color w:val="auto"/>
              </w:rPr>
            </w:pPr>
          </w:p>
        </w:tc>
        <w:tc>
          <w:tcPr>
            <w:tcW w:w="140" w:type="dxa"/>
            <w:vAlign w:val="bottom"/>
            <w:tcBorders>
              <w:top w:val="single" w:sz="8" w:color="CCEEFF"/>
              <w:bottom w:val="single" w:sz="8" w:color="CCEEFF"/>
            </w:tcBorders>
            <w:shd w:val="clear" w:color="auto" w:fill="CCEEFF"/>
          </w:tcPr>
          <w:p>
            <w:pPr>
              <w:spacing w:after="0"/>
              <w:rPr>
                <w:sz w:val="4"/>
                <w:szCs w:val="4"/>
                <w:color w:val="auto"/>
              </w:rPr>
            </w:pPr>
          </w:p>
        </w:tc>
        <w:tc>
          <w:tcPr>
            <w:tcW w:w="42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spacing w:after="0"/>
              <w:rPr>
                <w:sz w:val="4"/>
                <w:szCs w:val="4"/>
                <w:color w:val="auto"/>
              </w:rPr>
            </w:pPr>
          </w:p>
        </w:tc>
        <w:tc>
          <w:tcPr>
            <w:tcW w:w="220" w:type="dxa"/>
            <w:vAlign w:val="bottom"/>
            <w:tcBorders>
              <w:top w:val="single" w:sz="8" w:color="CCEEFF"/>
              <w:bottom w:val="single" w:sz="8" w:color="CCEEFF"/>
            </w:tcBorders>
            <w:shd w:val="clear" w:color="auto" w:fill="CCEEFF"/>
          </w:tcPr>
          <w:p>
            <w:pPr>
              <w:spacing w:after="0"/>
              <w:rPr>
                <w:sz w:val="4"/>
                <w:szCs w:val="4"/>
                <w:color w:val="auto"/>
              </w:rPr>
            </w:pPr>
          </w:p>
        </w:tc>
        <w:tc>
          <w:tcPr>
            <w:tcW w:w="320" w:type="dxa"/>
            <w:vAlign w:val="bottom"/>
            <w:tcBorders>
              <w:top w:val="single" w:sz="8" w:color="CCEEFF"/>
              <w:bottom w:val="single" w:sz="8" w:color="CCEEFF"/>
            </w:tcBorders>
            <w:shd w:val="clear" w:color="auto" w:fill="CCEEFF"/>
          </w:tcPr>
          <w:p>
            <w:pPr>
              <w:spacing w:after="0"/>
              <w:rPr>
                <w:sz w:val="4"/>
                <w:szCs w:val="4"/>
                <w:color w:val="auto"/>
              </w:rPr>
            </w:pPr>
          </w:p>
        </w:tc>
        <w:tc>
          <w:tcPr>
            <w:tcW w:w="480" w:type="dxa"/>
            <w:vAlign w:val="bottom"/>
            <w:tcBorders>
              <w:top w:val="single" w:sz="8" w:color="CCEEFF"/>
              <w:bottom w:val="single" w:sz="8" w:color="CCEEFF"/>
            </w:tcBorders>
            <w:shd w:val="clear" w:color="auto" w:fill="CCEEFF"/>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220" w:type="dxa"/>
            <w:vAlign w:val="bottom"/>
            <w:gridSpan w:val="16"/>
          </w:tcPr>
          <w:p>
            <w:pPr>
              <w:spacing w:after="0"/>
              <w:rPr>
                <w:sz w:val="20"/>
                <w:szCs w:val="20"/>
                <w:color w:val="auto"/>
              </w:rPr>
            </w:pPr>
            <w:r>
              <w:rPr>
                <w:rFonts w:ascii="Arial" w:cs="Arial" w:eastAsia="Arial" w:hAnsi="Arial"/>
                <w:sz w:val="18"/>
                <w:szCs w:val="18"/>
                <w:color w:val="0000EE"/>
              </w:rPr>
              <w:t>OTHER MATTERS</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220" w:type="dxa"/>
            <w:vAlign w:val="bottom"/>
            <w:gridSpan w:val="16"/>
            <w:shd w:val="clear" w:color="auto" w:fill="CCEEFF"/>
          </w:tcPr>
          <w:p>
            <w:pPr>
              <w:spacing w:after="0"/>
              <w:rPr>
                <w:sz w:val="20"/>
                <w:szCs w:val="20"/>
                <w:color w:val="auto"/>
              </w:rPr>
            </w:pPr>
            <w:r>
              <w:rPr>
                <w:rFonts w:ascii="Arial" w:cs="Arial" w:eastAsia="Arial" w:hAnsi="Arial"/>
                <w:sz w:val="18"/>
                <w:szCs w:val="18"/>
                <w:color w:val="0000EE"/>
              </w:rPr>
              <w:t>SHAREHOLDER PROPOSALS AND NOMINATIONS FOR DIRECTOR</w:t>
            </w:r>
          </w:p>
        </w:tc>
        <w:tc>
          <w:tcPr>
            <w:tcW w:w="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jc w:val="center"/>
              <w:ind w:left="284"/>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-2905760</wp:posOffset>
            </wp:positionV>
            <wp:extent cx="4920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TMC the metals company Inc.</w:t>
      </w:r>
    </w:p>
    <w:p>
      <w:pPr>
        <w:jc w:val="center"/>
        <w:ind w:right="-780"/>
        <w:spacing w:after="0" w:line="205"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Vancouver, British Columbia V6C 2T5</w:t>
      </w:r>
    </w:p>
    <w:p>
      <w:pPr>
        <w:spacing w:after="0" w:line="14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PROXY STATEMENT FOR THE TMC THE METALS COMPANY INC.</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ANNUAL MEETING OF SHAREHOLDERS TO BE HELD ON MAY 30, 2023</w:t>
      </w:r>
    </w:p>
    <w:p>
      <w:pPr>
        <w:spacing w:after="0" w:line="126"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This proxy statement, along with the accompanying notice of the 2023 annual meeting of shareholders, contains information about the 2023 annual meeting of shareholders of TMC the metals company Inc. (the “Annual Meeting”), including any adjournments or postponements of the Annual Meeting. We are holding the Annual Meeting at 10:00 a.m. EDT, on Tuesday, May 30, 2023. You will not be able to physically attend the Annual Meeting.</w:t>
      </w:r>
    </w:p>
    <w:p>
      <w:pPr>
        <w:spacing w:after="0" w:line="11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Annual Meeting will be a virtual meeting via live audio webcast on the Internet. You will be able to attend the Annual Meeting, vote, and submit your questions during the meeting by visiting https://www.cstproxy.com/metals/2023 and entering the 12-digit control number included in the Notice of Internet Availability that you receive. For further information about the virtual Annual Meeting, please see the Questions and Answers about the Meeting beginning on page 3.</w:t>
      </w:r>
    </w:p>
    <w:p>
      <w:pPr>
        <w:spacing w:after="0" w:line="11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In this proxy statement, we refer to TMC the metals company Inc. as “TMC,” “the Company,” “we” and “us.”</w:t>
      </w:r>
    </w:p>
    <w:p>
      <w:pPr>
        <w:spacing w:after="0" w:line="7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On or about April 20, 2023, we intend to begin sending to our shareholders the Important Notice Regarding the Availability of Proxy Materials containing instructions on how to access our proxy statement for our Annual Meeting of shareholders and our annual report to shareholders.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ANNUAL MEETING TO BE HELD ON MAY 30, 2023</w:t>
      </w:r>
    </w:p>
    <w:p>
      <w:pPr>
        <w:spacing w:after="0" w:line="140"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b w:val="1"/>
          <w:bCs w:val="1"/>
          <w:color w:val="auto"/>
        </w:rPr>
        <w:t>This proxy statement, the Notice of Annual Meeting of Shareholders, our form of proxy card and our 2023 annual report to shareholders are available for viewing, printing and downloading at https://www.cstproxy.com/metals/2023. To view these materials please have your 12-digit control number(s) available that appears on your Internet Availability Notice or proxy card. On this website, you can also elect to receive future distributions of our proxy statements and annual reports to shareholders by electronic delivery.</w:t>
      </w:r>
    </w:p>
    <w:p>
      <w:pPr>
        <w:spacing w:after="0" w:line="91"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b w:val="1"/>
          <w:bCs w:val="1"/>
          <w:color w:val="auto"/>
        </w:rPr>
        <w:t>Additionally, you can find a copy of our Annual Report on Form 10-K, which includes our financial statements for the fiscal year ended December 31, 2022, on the website of the Securities and Exchange Commission (the “SEC”), at www.sec.gov, or in the “Investors —  Stock — SEC Filings” section of our website at https://metals.co. You may also obtain a printed copy of our Annual Report on Form 10-K, including our financial statements, free of charge, from us by sending a written request to: 595 Howe Street, 10</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Vancouver, British Columbia V6C 2T5. Exhibits will be provided upon written request and payment of an appropriate processing fee.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1419" w:firstLine="1008"/>
        <w:spacing w:after="0" w:line="414" w:lineRule="auto"/>
        <w:rPr>
          <w:sz w:val="20"/>
          <w:szCs w:val="20"/>
          <w:color w:val="auto"/>
        </w:rPr>
      </w:pPr>
      <w:r>
        <w:rPr>
          <w:rFonts w:ascii="Arial" w:cs="Arial" w:eastAsia="Arial" w:hAnsi="Arial"/>
          <w:sz w:val="18"/>
          <w:szCs w:val="18"/>
          <w:b w:val="1"/>
          <w:bCs w:val="1"/>
          <w:color w:val="auto"/>
        </w:rPr>
        <w:t>IMPORTANT INFORMATION ABOUT THE ANNUAL MEETING AND VOTING Why is the Company soliciting my proxy?</w:t>
      </w:r>
    </w:p>
    <w:p>
      <w:pPr>
        <w:spacing w:after="0" w:line="1"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Our board of directors is soliciting your proxy to vote at the Annual Meeting to be held virtually on Tuesday, May 30, 2023, at 10:00 a.m. EDT and any adjournments or postponements of the meeting. This proxy statement, along with the accompanying Notice of Annual Meeting of Shareholders, summarizes the purposes of the meeting and the information you need to know to vote at the Annual Meeting.</w:t>
      </w:r>
    </w:p>
    <w:p>
      <w:pPr>
        <w:spacing w:after="0" w:line="112" w:lineRule="exact"/>
        <w:rPr>
          <w:sz w:val="20"/>
          <w:szCs w:val="20"/>
          <w:color w:val="auto"/>
        </w:rPr>
      </w:pPr>
    </w:p>
    <w:p>
      <w:pPr>
        <w:jc w:val="both"/>
        <w:ind w:left="1240" w:right="439" w:firstLine="360"/>
        <w:spacing w:after="0" w:line="257" w:lineRule="auto"/>
        <w:rPr>
          <w:sz w:val="20"/>
          <w:szCs w:val="20"/>
          <w:color w:val="auto"/>
        </w:rPr>
      </w:pPr>
      <w:r>
        <w:rPr>
          <w:rFonts w:ascii="Arial" w:cs="Arial" w:eastAsia="Arial" w:hAnsi="Arial"/>
          <w:sz w:val="18"/>
          <w:szCs w:val="18"/>
          <w:color w:val="auto"/>
        </w:rPr>
        <w:t>We have made available to you on the Internet or have sent you this proxy statement, the Notice of Annual Meeting of Shareholders, the proxy card and a copy of our Annual Report on Form 10-K for the fiscal year ended December 31, 2022 because you owned our common shares on the record date. We intend to commence distribution of the Important Notice Regarding the Availability of Proxy Materials, which we refer to throughout this proxy statement as the Internet Availability Notice (the “Notice”), and, if applicable, proxy materials to shareholders on or about April 20, 2023.</w:t>
      </w:r>
    </w:p>
    <w:p>
      <w:pPr>
        <w:spacing w:after="0" w:line="182" w:lineRule="exact"/>
        <w:rPr>
          <w:sz w:val="20"/>
          <w:szCs w:val="20"/>
          <w:color w:val="auto"/>
        </w:rPr>
      </w:pPr>
    </w:p>
    <w:p>
      <w:pPr>
        <w:jc w:val="both"/>
        <w:ind w:left="1240" w:right="439"/>
        <w:spacing w:after="0" w:line="296"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70"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As permitted by the rules of the U.S. Securities and Exchange Commission (the “SEC”), we may furnish our proxy materials to our shareholders by providing access to such documents on the Internet, rather than mailing printed copies of these materials to each shareholder. Most shareholders will not receive printed copies of the proxy materials unless they request them. We believe that this process should expedite shareholders’ receipt of proxy materials, lower the costs of the Annual Meeting and help to conserve natural resources. If you received the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This year’s Annual Meeting will be held in a virtual meeting format only. We have designed our virtual format to enhance, rather than constrain, shareholder access, participation and communication. For example, the virtual format allows shareholders to communicate with us in advance of, and during, the Annual Meeting so they can ask questions of our board of directors or management, as time permits.</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access the virtual Annual Meeting?</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live audio webcast of the Annual Meeting will begin promptly at 10:00 a.m. EDT. Online access to the audio webcast will open 15 minutes prior to the start of the Annual Meeting to allow time for you to log-in and test your device’s audio system. The virtual Annual Meeting is running the most updated version of the applicable software and plugins. You should ensure you have a strong Internet connection wherever you intend to participate in the Annual Meeting. You should also allow plenty of time to log in and ensure that you can hear streaming audio prior to the start of the Annual Meeting.</w:t>
      </w:r>
    </w:p>
    <w:p>
      <w:pPr>
        <w:spacing w:after="0" w:line="115" w:lineRule="exact"/>
        <w:rPr>
          <w:sz w:val="20"/>
          <w:szCs w:val="20"/>
          <w:color w:val="auto"/>
        </w:rPr>
      </w:pPr>
    </w:p>
    <w:p>
      <w:pPr>
        <w:jc w:val="both"/>
        <w:ind w:left="1240" w:right="379" w:firstLine="360"/>
        <w:spacing w:after="0" w:line="268" w:lineRule="auto"/>
        <w:rPr>
          <w:sz w:val="20"/>
          <w:szCs w:val="20"/>
          <w:color w:val="auto"/>
        </w:rPr>
      </w:pPr>
      <w:r>
        <w:rPr>
          <w:rFonts w:ascii="Arial" w:cs="Arial" w:eastAsia="Arial" w:hAnsi="Arial"/>
          <w:sz w:val="18"/>
          <w:szCs w:val="18"/>
          <w:color w:val="auto"/>
        </w:rPr>
        <w:t>To be admitted to the virtual Annual Meeting, you will need to log-in at https://www.cstproxy.com/​ metals/2023 using the 12-digit control number found on the proxy card or voting instruction card previously mailed or made available to shareholders entitled to vote at the Annual Meeting.</w:t>
      </w:r>
    </w:p>
    <w:p>
      <w:pPr>
        <w:spacing w:after="0" w:line="171" w:lineRule="exact"/>
        <w:rPr>
          <w:sz w:val="20"/>
          <w:szCs w:val="20"/>
          <w:color w:val="auto"/>
        </w:rPr>
      </w:pPr>
    </w:p>
    <w:p>
      <w:pPr>
        <w:jc w:val="both"/>
        <w:ind w:left="1240" w:right="439"/>
        <w:spacing w:after="0" w:line="296" w:lineRule="auto"/>
        <w:rPr>
          <w:sz w:val="20"/>
          <w:szCs w:val="20"/>
          <w:color w:val="auto"/>
        </w:rPr>
      </w:pPr>
      <w:r>
        <w:rPr>
          <w:rFonts w:ascii="Arial" w:cs="Arial" w:eastAsia="Arial" w:hAnsi="Arial"/>
          <w:sz w:val="18"/>
          <w:szCs w:val="18"/>
          <w:b w:val="1"/>
          <w:bCs w:val="1"/>
          <w:color w:val="auto"/>
        </w:rPr>
        <w:t>Will I be able to ask questions and have these questions answered during the virtual Annual Meeting?</w:t>
      </w:r>
    </w:p>
    <w:p>
      <w:pPr>
        <w:spacing w:after="0" w:line="56" w:lineRule="exact"/>
        <w:rPr>
          <w:sz w:val="20"/>
          <w:szCs w:val="20"/>
          <w:color w:val="auto"/>
        </w:rPr>
      </w:pPr>
    </w:p>
    <w:p>
      <w:pPr>
        <w:jc w:val="both"/>
        <w:ind w:left="1240" w:right="439" w:firstLine="360"/>
        <w:spacing w:after="0" w:line="262" w:lineRule="auto"/>
        <w:rPr>
          <w:sz w:val="20"/>
          <w:szCs w:val="20"/>
          <w:color w:val="auto"/>
        </w:rPr>
      </w:pPr>
      <w:r>
        <w:rPr>
          <w:rFonts w:ascii="Arial" w:cs="Arial" w:eastAsia="Arial" w:hAnsi="Arial"/>
          <w:sz w:val="18"/>
          <w:szCs w:val="18"/>
          <w:color w:val="auto"/>
        </w:rPr>
        <w:t>Shareholders may submit questions for the Annual Meeting after logging in. If you wish to submit a question, you may do so by logging into the virtual meeting platform at https://www.cstproxy.com/metals/​2023, typing your question into the “Ask a Question” field, and clicking “Submit.” Please submit any questions before the start time of the meeting.</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Appropriate questions related to the business of the Annual Meeting (the proposals being voted on) will be answered during the Annual Meeting, subject to time constraints. Any such questions that cannot be answered during the Annual Meeting due to time constraints will be answered directly with the shareholder as soon as practical after the Annual Meeting. Additional information regarding the ability of shareholders to ask questions during the Annual Meeting, related to rules of conduct and other materials for the Annual Meeting will be available on the virtual meeting platform available at the web address above.</w:t>
      </w:r>
    </w:p>
    <w:p>
      <w:pPr>
        <w:spacing w:after="0" w:line="108"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In addition, we have made available a separate conference line to allow attendees to communicate with each other during the Annual Meeting. Attendees who wish to utilize this facility may do so by dialing the attendee conference line number shown on the right-hand side of the meeting webpage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5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Beginning 15 minutes prior to, and during, the Annual Meeting, 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please call (917) 262-2373.</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may vote?</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Only shareholders of record at the close of business on April 3, 2023 (the “Record Date”) will be entitled to vote at the Annual Meeting. On this Record Date, there were 280,618,285 common shares outstanding and entitled to vote. Our common shares are our only class of voting stock.</w:t>
      </w:r>
    </w:p>
    <w:p>
      <w:pPr>
        <w:spacing w:after="0" w:line="101"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If on the Record Date your common shares were registered directly in your name with our transfer agent, Continental Stock Transfer and Trust Company, then you are a shareholder of record.</w:t>
      </w:r>
    </w:p>
    <w:p>
      <w:pPr>
        <w:spacing w:after="0" w:line="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If on the Record Date you did not hold your shares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at the Annual Meeting unless you request and obtain a valid proxy from your broker or other agent.</w:t>
      </w:r>
    </w:p>
    <w:p>
      <w:pPr>
        <w:spacing w:after="0" w:line="11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“May I change or revoke my proxy?” below.</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many votes do I have?</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Holders of common shares are entitled to one vote per share.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w:t>
      </w:r>
    </w:p>
    <w:p>
      <w:pPr>
        <w:spacing w:after="0" w:line="144"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or WITHHELD for each nominee for director, as well as for Proposal No. 3, and whether your shares should be voted for, against or abstain with respect to Proposal No. 1. If you properly submit a proxy without giving specific voting instructions, your shares will be voted in accordance with our board of directors’ recommendations as noted below. Voting by proxy will not affect your right to attend the Annual Meeting.</w:t>
      </w:r>
    </w:p>
    <w:p>
      <w:pPr>
        <w:spacing w:after="0" w:line="39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If your shares are registered directly in your name through our stock transfer agent, Continental Stock Transfer and Trust Company, or you have stock certificates registered in your name, you may vote:</w:t>
      </w:r>
    </w:p>
    <w:p>
      <w:pPr>
        <w:spacing w:after="0" w:line="54" w:lineRule="exact"/>
        <w:rPr>
          <w:sz w:val="20"/>
          <w:szCs w:val="20"/>
          <w:color w:val="auto"/>
        </w:rPr>
      </w:pPr>
    </w:p>
    <w:p>
      <w:pPr>
        <w:ind w:left="1780" w:right="419" w:hanging="172"/>
        <w:spacing w:after="0" w:line="287"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Follow the instructions included in the Notice or, if you received printed materials,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card to vote over the Internet.</w:t>
      </w:r>
    </w:p>
    <w:p>
      <w:pPr>
        <w:spacing w:after="0" w:line="31"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w:t>
      </w:r>
      <w:r>
        <w:rPr>
          <w:rFonts w:ascii="Arial" w:cs="Arial" w:eastAsia="Arial" w:hAnsi="Arial"/>
          <w:sz w:val="18"/>
          <w:szCs w:val="18"/>
          <w:b w:val="1"/>
          <w:bCs w:val="1"/>
          <w:color w:val="auto"/>
        </w:rPr>
        <w:t xml:space="preserve"> </w:t>
      </w:r>
      <w:r>
        <w:rPr>
          <w:rFonts w:ascii="Arial" w:cs="Arial" w:eastAsia="Arial" w:hAnsi="Arial"/>
          <w:sz w:val="18"/>
          <w:szCs w:val="18"/>
          <w:color w:val="auto"/>
        </w:rPr>
        <w:t>dating and returning the proxy card as instructed on the card. If you sign the proxy card but do not specify how you want your shares voted, they will be voted in accordance with our board of directors’ recommendations as noted below.</w:t>
      </w:r>
    </w:p>
    <w:p>
      <w:pPr>
        <w:spacing w:after="0" w:line="68"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At the meeting. </w:t>
      </w:r>
      <w:r>
        <w:rPr>
          <w:rFonts w:ascii="Arial" w:cs="Arial" w:eastAsia="Arial" w:hAnsi="Arial"/>
          <w:sz w:val="18"/>
          <w:szCs w:val="18"/>
          <w:color w:val="auto"/>
        </w:rPr>
        <w:t>If you attend the virtual Annual Meeting,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153" w:lineRule="exact"/>
        <w:rPr>
          <w:sz w:val="20"/>
          <w:szCs w:val="20"/>
          <w:color w:val="auto"/>
        </w:rPr>
      </w:pPr>
    </w:p>
    <w:p>
      <w:pPr>
        <w:jc w:val="both"/>
        <w:ind w:left="1240" w:right="439"/>
        <w:spacing w:after="0" w:line="281" w:lineRule="auto"/>
        <w:rPr>
          <w:sz w:val="20"/>
          <w:szCs w:val="20"/>
          <w:color w:val="auto"/>
        </w:rPr>
      </w:pPr>
      <w:r>
        <w:rPr>
          <w:rFonts w:ascii="Arial" w:cs="Arial" w:eastAsia="Arial" w:hAnsi="Arial"/>
          <w:sz w:val="18"/>
          <w:szCs w:val="18"/>
          <w:b w:val="1"/>
          <w:bCs w:val="1"/>
          <w:color w:val="auto"/>
        </w:rPr>
        <w:t>Internet voting facilities for shareholders of record will be available 24 hours a day and will close at 11:59 p.m. Eastern Daylight Time on May 29, 2023.</w:t>
      </w:r>
    </w:p>
    <w:p>
      <w:pPr>
        <w:spacing w:after="0" w:line="69"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shareholders owning shares through certain banks and brokers. If your shares are not registered in your own name and you plan to vote your shares in virtually at the Annual Meeting, you should contact your broker or agent to obtain a legal proxy or broker’s proxy card and bring it to the Annual Meeting in order to vote.</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does our board of directors recommend that I vote on the proposals?</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board of directors recommends that you vote as follows:</w:t>
      </w:r>
    </w:p>
    <w:p>
      <w:pPr>
        <w:spacing w:after="0" w:line="117" w:lineRule="exact"/>
        <w:rPr>
          <w:sz w:val="20"/>
          <w:szCs w:val="20"/>
          <w:color w:val="auto"/>
        </w:rPr>
      </w:pPr>
    </w:p>
    <w:p>
      <w:pPr>
        <w:ind w:left="1780" w:hanging="17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setting the number of directors at eight;</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103"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appointment of Ernst &amp; Young LLP as our independent registered public accounting firm for our fiscal year ending December 31, 2023.</w:t>
      </w:r>
    </w:p>
    <w:p>
      <w:pPr>
        <w:spacing w:after="0" w:line="85"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the proxy holder’s judgment. At the time this proxy statement was first made available, we knew of no matters that needed to be acted on at the Annual Meeting, other than those discussed in this proxy statement.</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May I change or revoke my proxy?</w:t>
      </w:r>
    </w:p>
    <w:p>
      <w:pPr>
        <w:spacing w:after="0" w:line="15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46" w:lineRule="exact"/>
        <w:rPr>
          <w:sz w:val="20"/>
          <w:szCs w:val="20"/>
          <w:color w:val="auto"/>
        </w:rPr>
      </w:pPr>
    </w:p>
    <w:p>
      <w:pPr>
        <w:ind w:left="1780" w:right="43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re-voting by Internet as instructed above;</w:t>
      </w:r>
    </w:p>
    <w:p>
      <w:pPr>
        <w:spacing w:after="0" w:line="117"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notifying the Company’s Secretary in writing before the Annual Meeting that you have revoked your proxy; or</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attending the Annual Meeting virtually and voting at the meeting. Attending the Annual Meeting will not in and of itself revoke a previously submitted proxy. You must specifically request at the Annual Meeting that it be revoked.</w:t>
      </w:r>
    </w:p>
    <w:p>
      <w:pPr>
        <w:spacing w:after="0" w:line="9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Your most current vote, whether by Internet or proxy card is the one that will be counted.</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Can I appoint some other person to be my proxyholder?</w:t>
      </w:r>
    </w:p>
    <w:p>
      <w:pPr>
        <w:spacing w:after="0" w:line="158"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Every holder of common shares has the right to appoint some other person or company of their choice, who need not be a security holder, to attend and act on their behalf at the Annual Meeting or any</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38" w:lineRule="auto"/>
        <w:rPr>
          <w:sz w:val="20"/>
          <w:szCs w:val="20"/>
          <w:color w:val="auto"/>
        </w:rPr>
      </w:pPr>
      <w:r>
        <w:rPr>
          <w:rFonts w:ascii="Arial" w:cs="Arial" w:eastAsia="Arial" w:hAnsi="Arial"/>
          <w:sz w:val="18"/>
          <w:szCs w:val="18"/>
          <w:color w:val="auto"/>
        </w:rPr>
        <w:t>adjournment or postponement thereof. If you wish to appoint a person or company other than Gerard Barron and Craig Shesky or their substitute, please deliver a proxy in the form contemplated in the Articles of the Company (“Articles”), a copy of which is available 595 Howe St,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 or at on the website of the SEC — www.sec.gov, naming your chosen proxyholder and deposit such proxy at the registered and records office of the Company at 595 Howe St,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may receive more than one Notice or proxy card if you hold our common shares in more than one account, which may be in registered form or held in street name. Please vote in the manner described above under “How do I vote?” for each account to ensure that all of your shares are voted.</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44"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only on the appointment of our independent registered public accounting firm (Proposal No. 3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ectPr>
          <w:pgSz w:w="11900" w:h="16838" w:orient="portrait"/>
          <w:cols w:equalWidth="0" w:num="1">
            <w:col w:w="9879"/>
          </w:cols>
          <w:pgMar w:left="580" w:top="97" w:right="1440" w:bottom="1440" w:gutter="0" w:footer="0" w:header="0"/>
        </w:sectPr>
      </w:pPr>
    </w:p>
    <w:p>
      <w:pPr>
        <w:spacing w:after="0" w:line="198" w:lineRule="exact"/>
        <w:rPr>
          <w:sz w:val="20"/>
          <w:szCs w:val="20"/>
          <w:color w:val="auto"/>
        </w:rPr>
      </w:pPr>
    </w:p>
    <w:p>
      <w:pPr>
        <w:ind w:left="1240" w:right="40"/>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1: Set Number of</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 at Eight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40"/>
        <w:spacing w:after="0"/>
        <w:tabs>
          <w:tab w:leader="none" w:pos="27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2:</w:t>
      </w:r>
      <w:r>
        <w:rPr>
          <w:sz w:val="20"/>
          <w:szCs w:val="20"/>
          <w:color w:val="auto"/>
        </w:rPr>
        <w:tab/>
      </w:r>
      <w:r>
        <w:rPr>
          <w:rFonts w:ascii="Arial" w:cs="Arial" w:eastAsia="Arial" w:hAnsi="Arial"/>
          <w:sz w:val="17"/>
          <w:szCs w:val="17"/>
          <w:b w:val="1"/>
          <w:bCs w:val="1"/>
          <w:color w:val="auto"/>
        </w:rPr>
        <w:t>Elect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40" w:right="100"/>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3: Appoint the</w:t>
      </w:r>
      <w:r>
        <w:rPr>
          <w:rFonts w:ascii="Arial" w:cs="Arial" w:eastAsia="Arial" w:hAnsi="Arial"/>
          <w:sz w:val="18"/>
          <w:szCs w:val="18"/>
          <w:color w:val="auto"/>
        </w:rPr>
        <w:t xml:space="preserve"> </w:t>
      </w:r>
      <w:r>
        <w:rPr>
          <w:rFonts w:ascii="Arial" w:cs="Arial" w:eastAsia="Arial" w:hAnsi="Arial"/>
          <w:sz w:val="18"/>
          <w:szCs w:val="18"/>
          <w:b w:val="1"/>
          <w:bCs w:val="1"/>
          <w:color w:val="auto"/>
        </w:rPr>
        <w:t>Independent Registered Public Accounting Firm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24" w:right="379" w:hanging="224"/>
        <w:spacing w:after="0" w:line="254" w:lineRule="auto"/>
        <w:tabs>
          <w:tab w:leader="none" w:pos="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affirmative vote of a majority of the shares cast for this​ proposal is required to set the number of directors at eight. Abstentions, if any, will have no effect on the results of this vote. Brokerage firms have authority to vote customers’ unvoted shares held by the firms in street name on this proposal. If a broker does not exercise this authority, such broker non-votes will have no effect on the results of this vote.</w:t>
      </w:r>
    </w:p>
    <w:p>
      <w:pPr>
        <w:spacing w:after="0" w:line="1" w:lineRule="exact"/>
        <w:rPr>
          <w:rFonts w:ascii="Arial" w:cs="Arial" w:eastAsia="Arial" w:hAnsi="Arial"/>
          <w:sz w:val="18"/>
          <w:szCs w:val="18"/>
          <w:color w:val="auto"/>
        </w:rPr>
      </w:pPr>
    </w:p>
    <w:p>
      <w:pPr>
        <w:ind w:left="224" w:right="379" w:hanging="224"/>
        <w:spacing w:after="0" w:line="253" w:lineRule="auto"/>
        <w:tabs>
          <w:tab w:leader="none" w:pos="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2" w:lineRule="exact"/>
        <w:rPr>
          <w:rFonts w:ascii="Arial" w:cs="Arial" w:eastAsia="Arial" w:hAnsi="Arial"/>
          <w:sz w:val="18"/>
          <w:szCs w:val="18"/>
          <w:color w:val="auto"/>
        </w:rPr>
      </w:pPr>
    </w:p>
    <w:p>
      <w:pPr>
        <w:ind w:left="224" w:right="379" w:hanging="224"/>
        <w:spacing w:after="0" w:line="255" w:lineRule="auto"/>
        <w:tabs>
          <w:tab w:leader="none" w:pos="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“plurality” of the votes cast for this proposal is required to​ appoint our independent registered public accounting firm. You may vote FOR the appointment of Ernst &amp; Young LLP or WITHHOLD your vote. Votes that are withheld will not be included in the vote tally for this proposal. Brokerage firms have authority to vote customers’ unvoted shares held by the firms in street name on this proposal. If a broker does not exercise this authority, such broker non-votes will have no effect on the results of this vote.</w:t>
      </w:r>
    </w:p>
    <w:p>
      <w:pPr>
        <w:spacing w:after="0" w:line="200" w:lineRule="exact"/>
        <w:rPr>
          <w:sz w:val="20"/>
          <w:szCs w:val="20"/>
          <w:color w:val="auto"/>
        </w:rPr>
      </w:pPr>
    </w:p>
    <w:p>
      <w:pPr>
        <w:sectPr>
          <w:pgSz w:w="11900" w:h="16838" w:orient="portrait"/>
          <w:cols w:equalWidth="0" w:num="2">
            <w:col w:w="3980" w:space="76"/>
            <w:col w:w="5823"/>
          </w:cols>
          <w:pgMar w:left="580" w:top="97" w:right="1440" w:bottom="1440" w:gutter="0" w:footer="0" w:header="0"/>
          <w:type w:val="continuous"/>
        </w:sect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17"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17"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17"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The presence, in person or by proxy, of two persons who are, or who represent by proxy, shareholders who, in the aggregate, hold at least 5% of the issued shares entitled to be voted at the meeting is necessary to constitute a quorum at the Annual Meeting. Votes of shareholders of record who are present at the Annual Meeting in person or by proxy, abstentions, and broker non-votes are counted for purposes of determining whether a quorum exists.</w:t>
      </w:r>
    </w:p>
    <w:p>
      <w:pPr>
        <w:spacing w:after="0" w:line="13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Attending the Annual Meeting</w:t>
      </w:r>
    </w:p>
    <w:p>
      <w:pPr>
        <w:spacing w:after="0" w:line="117"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Annual Meeting will be held in a virtual meeting format only. You can attend the Annual Meeting and view the live audio webcast by visiting https://www.cstproxy.com/metals/2023. The Annual Meeting will be held at 10:00 a.m. EDT on Tuesday, May 30, 2023. To attend the virtual Annual Meeting, go to https://www.cstproxy.com/metals/2023 shortly before the meeting time, enter your name, email address and control number to enter the meeting portal. If you miss the Annual Meeting, you can view a replay of the Webcast at https://www.cstproxy.com/metals/2023 until June 30, 2023. You need not attend the Annual Meeting in order to vote.</w:t>
      </w: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17"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Some brokers or other nominee record holders may be sending you, a single set of our proxy materials if multiple of the Company’s shareholders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Shareholders who participate in householding will continue to have access to and utilize separate proxy voting instructions.</w:t>
      </w:r>
    </w:p>
    <w:p>
      <w:pPr>
        <w:spacing w:after="0" w:line="81" w:lineRule="exact"/>
        <w:rPr>
          <w:sz w:val="20"/>
          <w:szCs w:val="20"/>
          <w:color w:val="auto"/>
        </w:rPr>
      </w:pPr>
    </w:p>
    <w:p>
      <w:pPr>
        <w:jc w:val="both"/>
        <w:ind w:left="1240" w:right="419" w:firstLine="360"/>
        <w:spacing w:after="0" w:line="230" w:lineRule="auto"/>
        <w:rPr>
          <w:sz w:val="20"/>
          <w:szCs w:val="20"/>
          <w:color w:val="auto"/>
        </w:rPr>
      </w:pPr>
      <w:r>
        <w:rPr>
          <w:rFonts w:ascii="Arial" w:cs="Arial" w:eastAsia="Arial" w:hAnsi="Arial"/>
          <w:sz w:val="18"/>
          <w:szCs w:val="18"/>
          <w:color w:val="auto"/>
        </w:rPr>
        <w:t>We will promptly deliver a separate copy of our Notice or if applicable, our proxy materials to you if you write to our corporate secretary at: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Electronic Delivery of Company Shareholder Communications</w:t>
      </w:r>
    </w:p>
    <w:p>
      <w:pPr>
        <w:spacing w:after="0" w:line="131"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Most shareholders can elect to view or receive copies of future proxy materials over the Internet instead of receiving paper copies in the mail.</w:t>
      </w:r>
    </w:p>
    <w:p>
      <w:pPr>
        <w:spacing w:after="0" w:line="5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 can choose this option and save us the cost of producing and mailing these documents by:</w:t>
      </w:r>
    </w:p>
    <w:p>
      <w:pPr>
        <w:spacing w:after="0" w:line="90" w:lineRule="exact"/>
        <w:rPr>
          <w:sz w:val="20"/>
          <w:szCs w:val="20"/>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 to https://www.cstproxy.com/metals/2023 and following the instructions provided.</w:t>
      </w:r>
    </w:p>
    <w:p>
      <w:pPr>
        <w:spacing w:after="0" w:line="200" w:lineRule="exact"/>
        <w:rPr>
          <w:sz w:val="20"/>
          <w:szCs w:val="20"/>
          <w:color w:val="auto"/>
        </w:r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58"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shares as of January 31, 2023 by:</w:t>
      </w:r>
    </w:p>
    <w:p>
      <w:pPr>
        <w:spacing w:after="0" w:line="45" w:lineRule="exact"/>
        <w:rPr>
          <w:sz w:val="20"/>
          <w:szCs w:val="20"/>
          <w:color w:val="auto"/>
        </w:rPr>
      </w:pPr>
    </w:p>
    <w:p>
      <w:pPr>
        <w:ind w:left="1780" w:right="419" w:hanging="172"/>
        <w:spacing w:after="0" w:line="287" w:lineRule="auto"/>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common shares;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beneficial ownership of common shares is based on 266,812,131 common shares issued and outstanding as of January 31, 2023.</w:t>
      </w:r>
    </w:p>
    <w:p>
      <w:pPr>
        <w:spacing w:after="0" w:line="72" w:lineRule="exact"/>
        <w:rPr>
          <w:sz w:val="20"/>
          <w:szCs w:val="20"/>
          <w:color w:val="auto"/>
        </w:rPr>
      </w:pPr>
    </w:p>
    <w:p>
      <w:pPr>
        <w:jc w:val="both"/>
        <w:ind w:left="1240" w:right="419" w:firstLine="360"/>
        <w:spacing w:after="0" w:line="237" w:lineRule="auto"/>
        <w:rPr>
          <w:sz w:val="20"/>
          <w:szCs w:val="20"/>
          <w:color w:val="auto"/>
        </w:rPr>
      </w:pPr>
      <w:r>
        <w:rPr>
          <w:rFonts w:ascii="Arial" w:cs="Arial" w:eastAsia="Arial" w:hAnsi="Arial"/>
          <w:sz w:val="18"/>
          <w:szCs w:val="18"/>
          <w:color w:val="auto"/>
        </w:rPr>
        <w:t>Unless otherwise indicated, the Company believes that each person named in the table below has sole voting and investment power with respect to all common shares beneficially owned by them. Unless otherwise indicated, the business address of each of the following entities or individuals is c/o TMC the metals company Inc.,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Canada V6C 2T5.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23495</wp:posOffset>
            </wp:positionV>
            <wp:extent cx="52120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Gerard Barron</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4445</wp:posOffset>
            </wp:positionV>
            <wp:extent cx="521208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Anthony O’Sullivan</w:t>
      </w:r>
      <w:r>
        <w:rPr>
          <w:rFonts w:ascii="Arial" w:cs="Arial" w:eastAsia="Arial" w:hAnsi="Arial"/>
          <w:sz w:val="23"/>
          <w:szCs w:val="23"/>
          <w:color w:val="auto"/>
          <w:vertAlign w:val="superscript"/>
        </w:rPr>
        <w:t>(3)</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Craig Shesky</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Christian Madsbjerg</w:t>
      </w:r>
      <w:r>
        <w:rPr>
          <w:rFonts w:ascii="Arial" w:cs="Arial" w:eastAsia="Arial" w:hAnsi="Arial"/>
          <w:sz w:val="23"/>
          <w:szCs w:val="23"/>
          <w:color w:val="auto"/>
          <w:vertAlign w:val="superscript"/>
        </w:rPr>
        <w:t>(5)</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Andrew C. Greig</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Andrew Hall</w:t>
      </w:r>
      <w:r>
        <w:rPr>
          <w:rFonts w:ascii="Arial" w:cs="Arial" w:eastAsia="Arial" w:hAnsi="Arial"/>
          <w:sz w:val="23"/>
          <w:szCs w:val="23"/>
          <w:color w:val="auto"/>
          <w:vertAlign w:val="superscript"/>
        </w:rPr>
        <w:t>(7)</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Sheila Khama</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Andrei Karkar</w:t>
      </w:r>
      <w:r>
        <w:rPr>
          <w:rFonts w:ascii="Arial" w:cs="Arial" w:eastAsia="Arial" w:hAnsi="Arial"/>
          <w:sz w:val="23"/>
          <w:szCs w:val="23"/>
          <w:color w:val="auto"/>
          <w:vertAlign w:val="superscript"/>
        </w:rPr>
        <w:t>(9)</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Amelia Kinahoi Siamomua</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Kathleen McAllister</w:t>
      </w:r>
      <w:r>
        <w:rPr>
          <w:rFonts w:ascii="Arial" w:cs="Arial" w:eastAsia="Arial" w:hAnsi="Arial"/>
          <w:sz w:val="23"/>
          <w:szCs w:val="23"/>
          <w:color w:val="auto"/>
          <w:vertAlign w:val="superscript"/>
        </w:rPr>
        <w:t>(11)</w:t>
      </w:r>
    </w:p>
    <w:p>
      <w:pPr>
        <w:spacing w:after="0" w:line="29" w:lineRule="exact"/>
        <w:rPr>
          <w:sz w:val="20"/>
          <w:szCs w:val="20"/>
          <w:color w:val="auto"/>
        </w:rPr>
      </w:pPr>
    </w:p>
    <w:p>
      <w:pPr>
        <w:ind w:left="1420" w:hanging="179"/>
        <w:spacing w:after="0" w:line="253" w:lineRule="auto"/>
        <w:rPr>
          <w:sz w:val="20"/>
          <w:szCs w:val="20"/>
          <w:color w:val="auto"/>
        </w:rPr>
      </w:pPr>
      <w:r>
        <w:rPr>
          <w:rFonts w:ascii="Arial" w:cs="Arial" w:eastAsia="Arial" w:hAnsi="Arial"/>
          <w:sz w:val="18"/>
          <w:szCs w:val="18"/>
          <w:b w:val="1"/>
          <w:bCs w:val="1"/>
          <w:color w:val="auto"/>
        </w:rPr>
        <w:t>All Directors and Executive Officers of the Company as a Group (12 Individuals)</w:t>
      </w:r>
      <w:r>
        <w:rPr>
          <w:rFonts w:ascii="Arial" w:cs="Arial" w:eastAsia="Arial" w:hAnsi="Arial"/>
          <w:sz w:val="23"/>
          <w:szCs w:val="23"/>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-22860</wp:posOffset>
            </wp:positionV>
            <wp:extent cx="52120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b w:val="1"/>
          <w:bCs w:val="1"/>
          <w:i w:val="1"/>
          <w:iCs w:val="1"/>
          <w:color w:val="auto"/>
        </w:rPr>
        <w:t>Five Percent Holders:</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ERAS Capital</w:t>
      </w:r>
      <w:r>
        <w:rPr>
          <w:rFonts w:ascii="Arial" w:cs="Arial" w:eastAsia="Arial" w:hAnsi="Arial"/>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4445</wp:posOffset>
            </wp:positionV>
            <wp:extent cx="521208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Maersk Supply Service A/S</w:t>
      </w:r>
      <w:r>
        <w:rPr>
          <w:rFonts w:ascii="Arial" w:cs="Arial" w:eastAsia="Arial" w:hAnsi="Arial"/>
          <w:sz w:val="23"/>
          <w:szCs w:val="23"/>
          <w:color w:val="auto"/>
          <w:vertAlign w:val="superscript"/>
        </w:rPr>
        <w:t>(14)</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Allseas Group S.A.</w:t>
      </w:r>
      <w:r>
        <w:rPr>
          <w:rFonts w:ascii="Arial" w:cs="Arial" w:eastAsia="Arial" w:hAnsi="Arial"/>
          <w:sz w:val="23"/>
          <w:szCs w:val="23"/>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121920</wp:posOffset>
            </wp:positionV>
            <wp:extent cx="685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5" w:lineRule="exact"/>
        <w:rPr>
          <w:sz w:val="20"/>
          <w:szCs w:val="20"/>
          <w:color w:val="auto"/>
        </w:rPr>
      </w:pPr>
    </w:p>
    <w:p>
      <w:pPr>
        <w:ind w:left="1600" w:hanging="352"/>
        <w:spacing w:after="0"/>
        <w:tabs>
          <w:tab w:leader="none" w:pos="16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96" w:lineRule="exact"/>
        <w:rPr>
          <w:sz w:val="20"/>
          <w:szCs w:val="20"/>
          <w:color w:val="auto"/>
        </w:rPr>
      </w:pPr>
    </w:p>
    <w:p>
      <w:pPr>
        <w:ind w:left="1600" w:hanging="352"/>
        <w:spacing w:after="0"/>
        <w:tabs>
          <w:tab w:leader="none" w:pos="1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Special Shares.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Percentage</w:t>
            </w: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9"/>
              </w:rPr>
              <w:t>Number of</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Shares</w:t>
            </w:r>
          </w:p>
        </w:tc>
        <w:tc>
          <w:tcPr>
            <w:tcW w:w="40" w:type="dxa"/>
            <w:vAlign w:val="bottom"/>
          </w:tcPr>
          <w:p>
            <w:pPr>
              <w:spacing w:after="0"/>
              <w:rPr>
                <w:sz w:val="14"/>
                <w:szCs w:val="14"/>
                <w:color w:val="auto"/>
              </w:rPr>
            </w:pPr>
          </w:p>
        </w:tc>
      </w:tr>
      <w:tr>
        <w:trPr>
          <w:trHeight w:val="149"/>
        </w:trPr>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90"/>
              <w:spacing w:after="0" w:line="149" w:lineRule="exact"/>
              <w:rPr>
                <w:sz w:val="20"/>
                <w:szCs w:val="20"/>
                <w:color w:val="auto"/>
              </w:rPr>
            </w:pPr>
            <w:r>
              <w:rPr>
                <w:rFonts w:ascii="Arial" w:cs="Arial" w:eastAsia="Arial" w:hAnsi="Arial"/>
                <w:sz w:val="14"/>
                <w:szCs w:val="14"/>
                <w:b w:val="1"/>
                <w:bCs w:val="1"/>
                <w:color w:val="auto"/>
              </w:rPr>
              <w:t>Common</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Beneficially</w:t>
            </w:r>
          </w:p>
        </w:tc>
        <w:tc>
          <w:tcPr>
            <w:tcW w:w="40" w:type="dxa"/>
            <w:vAlign w:val="bottom"/>
          </w:tcPr>
          <w:p>
            <w:pPr>
              <w:spacing w:after="0"/>
              <w:rPr>
                <w:sz w:val="12"/>
                <w:szCs w:val="12"/>
                <w:color w:val="auto"/>
              </w:rPr>
            </w:pPr>
          </w:p>
        </w:tc>
      </w:tr>
      <w:tr>
        <w:trPr>
          <w:trHeight w:val="211"/>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8"/>
                <w:szCs w:val="18"/>
                <w:color w:val="auto"/>
              </w:rPr>
            </w:pPr>
          </w:p>
        </w:tc>
        <w:tc>
          <w:tcPr>
            <w:tcW w:w="1940" w:type="dxa"/>
            <w:vAlign w:val="bottom"/>
            <w:gridSpan w:val="5"/>
          </w:tcPr>
          <w:p>
            <w:pPr>
              <w:jc w:val="right"/>
              <w:spacing w:after="0" w:line="211"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15"/>
                <w:szCs w:val="15"/>
                <w:b w:val="1"/>
                <w:bCs w:val="1"/>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Owned (%) </w:t>
            </w:r>
            <w:r>
              <w:rPr>
                <w:rFonts w:ascii="Arial" w:cs="Arial" w:eastAsia="Arial" w:hAnsi="Arial"/>
                <w:sz w:val="24"/>
                <w:szCs w:val="24"/>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w:t>
            </w:r>
          </w:p>
        </w:tc>
        <w:tc>
          <w:tcPr>
            <w:tcW w:w="8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3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1300" w:type="dxa"/>
            <w:vAlign w:val="bottom"/>
            <w:gridSpan w:val="4"/>
          </w:tcPr>
          <w:p>
            <w:pPr>
              <w:spacing w:after="0"/>
              <w:rPr>
                <w:sz w:val="20"/>
                <w:szCs w:val="20"/>
                <w:color w:val="auto"/>
              </w:rPr>
            </w:pPr>
            <w:r>
              <w:rPr>
                <w:rFonts w:ascii="Arial" w:cs="Arial" w:eastAsia="Arial" w:hAnsi="Arial"/>
                <w:sz w:val="18"/>
                <w:szCs w:val="18"/>
                <w:color w:val="auto"/>
              </w:rPr>
              <w:t>​ ​​19,109,093​​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w:t>
            </w:r>
          </w:p>
        </w:tc>
      </w:tr>
      <w:tr>
        <w:trPr>
          <w:trHeight w:val="283"/>
        </w:trPr>
        <w:tc>
          <w:tcPr>
            <w:tcW w:w="1300" w:type="dxa"/>
            <w:vAlign w:val="bottom"/>
            <w:gridSpan w:val="4"/>
          </w:tcPr>
          <w:p>
            <w:pPr>
              <w:spacing w:after="0"/>
              <w:rPr>
                <w:sz w:val="20"/>
                <w:szCs w:val="20"/>
                <w:color w:val="auto"/>
              </w:rPr>
            </w:pPr>
            <w:r>
              <w:rPr>
                <w:rFonts w:ascii="Arial" w:cs="Arial" w:eastAsia="Arial" w:hAnsi="Arial"/>
                <w:sz w:val="18"/>
                <w:szCs w:val="18"/>
                <w:color w:val="auto"/>
              </w:rPr>
              <w:t>​ ​​ 1,364,949​​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770,498​​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593,186​​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1300" w:type="dxa"/>
            <w:vAlign w:val="bottom"/>
            <w:gridSpan w:val="4"/>
          </w:tcPr>
          <w:p>
            <w:pPr>
              <w:spacing w:after="0"/>
              <w:rPr>
                <w:sz w:val="20"/>
                <w:szCs w:val="20"/>
                <w:color w:val="auto"/>
              </w:rPr>
            </w:pPr>
            <w:r>
              <w:rPr>
                <w:rFonts w:ascii="Arial" w:cs="Arial" w:eastAsia="Arial" w:hAnsi="Arial"/>
                <w:sz w:val="18"/>
                <w:szCs w:val="18"/>
                <w:color w:val="auto"/>
              </w:rPr>
              <w:t>​ ​​ 4,812,743​​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w:t>
            </w:r>
          </w:p>
        </w:tc>
      </w:tr>
      <w:tr>
        <w:trPr>
          <w:trHeight w:val="284"/>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30,677​​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2,677​​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1300" w:type="dxa"/>
            <w:vAlign w:val="bottom"/>
            <w:gridSpan w:val="4"/>
          </w:tcPr>
          <w:p>
            <w:pPr>
              <w:spacing w:after="0"/>
              <w:rPr>
                <w:sz w:val="20"/>
                <w:szCs w:val="20"/>
                <w:color w:val="auto"/>
              </w:rPr>
            </w:pPr>
            <w:r>
              <w:rPr>
                <w:rFonts w:ascii="Arial" w:cs="Arial" w:eastAsia="Arial" w:hAnsi="Arial"/>
                <w:sz w:val="18"/>
                <w:szCs w:val="18"/>
                <w:color w:val="auto"/>
              </w:rPr>
              <w:t>​ ​​54,015,982​​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20.2%</w:t>
            </w:r>
            <w:r>
              <w:rPr>
                <w:rFonts w:ascii="Arial" w:cs="Arial" w:eastAsia="Arial" w:hAnsi="Arial"/>
                <w:sz w:val="18"/>
                <w:szCs w:val="18"/>
                <w:b w:val="1"/>
                <w:bCs w:val="1"/>
                <w:color w:val="auto"/>
              </w:rPr>
              <w:t xml:space="preserve"> ​</w:t>
            </w:r>
          </w:p>
        </w:tc>
      </w:tr>
      <w:tr>
        <w:trPr>
          <w:trHeight w:val="284"/>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2,677​​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21,505​​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59"/>
        </w:trPr>
        <w:tc>
          <w:tcPr>
            <w:tcW w:w="1300" w:type="dxa"/>
            <w:vAlign w:val="bottom"/>
            <w:gridSpan w:val="4"/>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83,981,868​​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31.3%</w:t>
            </w:r>
            <w:r>
              <w:rPr>
                <w:rFonts w:ascii="Arial" w:cs="Arial" w:eastAsia="Arial" w:hAnsi="Arial"/>
                <w:sz w:val="18"/>
                <w:szCs w:val="18"/>
                <w:b w:val="1"/>
                <w:bCs w:val="1"/>
                <w:color w:val="auto"/>
              </w:rPr>
              <w:t xml:space="preserve"> ​</w:t>
            </w:r>
          </w:p>
        </w:tc>
      </w:tr>
      <w:tr>
        <w:trPr>
          <w:trHeight w:val="291"/>
        </w:trPr>
        <w:tc>
          <w:tcPr>
            <w:tcW w:w="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w:t>
            </w:r>
          </w:p>
        </w:tc>
        <w:tc>
          <w:tcPr>
            <w:tcW w:w="8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3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1300" w:type="dxa"/>
            <w:vAlign w:val="bottom"/>
            <w:gridSpan w:val="4"/>
          </w:tcPr>
          <w:p>
            <w:pPr>
              <w:spacing w:after="0"/>
              <w:rPr>
                <w:sz w:val="20"/>
                <w:szCs w:val="20"/>
                <w:color w:val="auto"/>
              </w:rPr>
            </w:pPr>
            <w:r>
              <w:rPr>
                <w:rFonts w:ascii="Arial" w:cs="Arial" w:eastAsia="Arial" w:hAnsi="Arial"/>
                <w:sz w:val="18"/>
                <w:szCs w:val="18"/>
                <w:color w:val="auto"/>
              </w:rPr>
              <w:t>​ ​​53,370,692​​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19.9%</w:t>
            </w:r>
            <w:r>
              <w:rPr>
                <w:rFonts w:ascii="Arial" w:cs="Arial" w:eastAsia="Arial" w:hAnsi="Arial"/>
                <w:sz w:val="18"/>
                <w:szCs w:val="18"/>
                <w:b w:val="1"/>
                <w:bCs w:val="1"/>
                <w:color w:val="auto"/>
              </w:rPr>
              <w:t xml:space="preserve"> ​</w:t>
            </w:r>
          </w:p>
        </w:tc>
      </w:tr>
      <w:tr>
        <w:trPr>
          <w:trHeight w:val="284"/>
        </w:trPr>
        <w:tc>
          <w:tcPr>
            <w:tcW w:w="1300" w:type="dxa"/>
            <w:vAlign w:val="bottom"/>
            <w:gridSpan w:val="4"/>
          </w:tcPr>
          <w:p>
            <w:pPr>
              <w:spacing w:after="0"/>
              <w:rPr>
                <w:sz w:val="20"/>
                <w:szCs w:val="20"/>
                <w:color w:val="auto"/>
              </w:rPr>
            </w:pPr>
            <w:r>
              <w:rPr>
                <w:rFonts w:ascii="Arial" w:cs="Arial" w:eastAsia="Arial" w:hAnsi="Arial"/>
                <w:sz w:val="18"/>
                <w:szCs w:val="18"/>
                <w:color w:val="auto"/>
              </w:rPr>
              <w:t>​ ​​17,189,636​​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w:t>
            </w:r>
          </w:p>
        </w:tc>
      </w:tr>
      <w:tr>
        <w:trPr>
          <w:trHeight w:val="283"/>
        </w:trPr>
        <w:tc>
          <w:tcPr>
            <w:tcW w:w="1300" w:type="dxa"/>
            <w:vAlign w:val="bottom"/>
            <w:gridSpan w:val="4"/>
          </w:tcPr>
          <w:p>
            <w:pPr>
              <w:spacing w:after="0"/>
              <w:rPr>
                <w:sz w:val="20"/>
                <w:szCs w:val="20"/>
                <w:color w:val="auto"/>
              </w:rPr>
            </w:pPr>
            <w:r>
              <w:rPr>
                <w:rFonts w:ascii="Arial" w:cs="Arial" w:eastAsia="Arial" w:hAnsi="Arial"/>
                <w:sz w:val="18"/>
                <w:szCs w:val="18"/>
                <w:color w:val="auto"/>
              </w:rPr>
              <w:t>​ ​​34,280,268​​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12.3%</w:t>
            </w:r>
            <w:r>
              <w:rPr>
                <w:rFonts w:ascii="Arial" w:cs="Arial" w:eastAsia="Arial" w:hAnsi="Arial"/>
                <w:sz w:val="18"/>
                <w:szCs w:val="18"/>
                <w:b w:val="1"/>
                <w:bCs w:val="1"/>
                <w:color w:val="auto"/>
              </w:rPr>
              <w:t xml:space="preserve"> ​</w:t>
            </w:r>
          </w:p>
        </w:tc>
      </w:tr>
    </w:tbl>
    <w:p>
      <w:pPr>
        <w:spacing w:after="0" w:line="824" w:lineRule="exact"/>
        <w:rPr>
          <w:sz w:val="20"/>
          <w:szCs w:val="20"/>
          <w:color w:val="auto"/>
        </w:rPr>
      </w:pPr>
    </w:p>
    <w:p>
      <w:pPr>
        <w:sectPr>
          <w:pgSz w:w="11900" w:h="16838" w:orient="portrait"/>
          <w:cols w:equalWidth="0" w:num="2">
            <w:col w:w="6680" w:space="640"/>
            <w:col w:w="2559"/>
          </w:cols>
          <w:pgMar w:left="580" w:top="97" w:right="1440" w:bottom="1440" w:gutter="0" w:footer="0" w:header="0"/>
          <w:type w:val="continuous"/>
        </w:sectPr>
      </w:pPr>
    </w:p>
    <w:p>
      <w:pPr>
        <w:jc w:val="both"/>
        <w:ind w:left="1600" w:right="419" w:hanging="352"/>
        <w:spacing w:after="0" w:line="282"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14,941,655 common shares, (ii) 4,078,044 common shares underlying options that are exercisable within 60 days of January 31, 2023, and (iii) 89,394 common shares underlying warrants held by Mr. Barron. Does not include 2,275,334 common shares underlying options that are not exercisable and 520,833 common shares underlying restricted share units that do not vest within 60 days of January 31, 2023 held by Mr. Barron.</w:t>
      </w:r>
    </w:p>
    <w:p>
      <w:pPr>
        <w:sectPr>
          <w:pgSz w:w="11900" w:h="16838" w:orient="portrait"/>
          <w:cols w:equalWidth="0" w:num="1">
            <w:col w:w="9879"/>
          </w:cols>
          <w:pgMar w:left="580" w:top="97" w:right="1440" w:bottom="1440" w:gutter="0" w:footer="0" w:header="0"/>
          <w:type w:val="continuous"/>
        </w:sect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600" w:right="419" w:hanging="352"/>
        <w:spacing w:after="0" w:line="277"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575,110 common shares held by The O’Sullivan Family Trust No. 1 and 104,167 common shares held by Mr. O’Sullivan, (ii) 685,672 common shares underlying options that are exercisable within 60 days of January 31, 2023 held by Mr. O’Sullivan. Does not include 1,011,259 common shares underlying options that are not exercisable and 208,333 common shares underlying restricted share units that do not vest within 60 days of January 31, 2023 held by O’Sullivan. Anthony O’Sullivan is the sole director of JOZEM Pty Ltd. which is the trustee of The O’Sullivan Family Trust No. 1.</w:t>
      </w:r>
    </w:p>
    <w:p>
      <w:pPr>
        <w:spacing w:after="0" w:line="42" w:lineRule="exact"/>
        <w:rPr>
          <w:rFonts w:ascii="Arial" w:cs="Arial" w:eastAsia="Arial" w:hAnsi="Arial"/>
          <w:sz w:val="14"/>
          <w:szCs w:val="14"/>
          <w:color w:val="auto"/>
        </w:rPr>
      </w:pPr>
    </w:p>
    <w:p>
      <w:pPr>
        <w:jc w:val="both"/>
        <w:ind w:left="1600" w:right="439" w:hanging="352"/>
        <w:spacing w:after="0" w:line="28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500,331 common shares and (ii) 270,167 common shares underlying options that are exercisable within 60 days of January 31, 2023 held by Mr. Shesky. Does not include 387,898 common shares underlying options that are not exercisable and 156,250 common shares underlying restricted share units that do not vest within 60 days of January 31, 2023 held by Mr. Shesky.</w:t>
      </w:r>
    </w:p>
    <w:p>
      <w:pPr>
        <w:spacing w:after="0" w:line="39"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2,677 common shares held by Mr. Madsbjerg and (ii) 590,509 common shares underlying options that are exercisable within 60 days of January 31, 2023 held by Mr. Madsbjerg. Does not include 126,407 common shares underlying options that are not exercisable and 73,382 common shares underlying restricted share units that do not vest within 60 days of January 31, 2023 held by Mr. Madsbjerg.</w:t>
      </w:r>
    </w:p>
    <w:p>
      <w:pPr>
        <w:spacing w:after="0" w:line="26" w:lineRule="exact"/>
        <w:rPr>
          <w:rFonts w:ascii="Arial" w:cs="Arial" w:eastAsia="Arial" w:hAnsi="Arial"/>
          <w:sz w:val="14"/>
          <w:szCs w:val="14"/>
          <w:color w:val="auto"/>
        </w:rPr>
      </w:pPr>
    </w:p>
    <w:p>
      <w:pPr>
        <w:jc w:val="both"/>
        <w:ind w:left="1600" w:right="439" w:hanging="352"/>
        <w:spacing w:after="0" w:line="293"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4,095,827 common shares held by Mr. Greig and (ii) 716,916 common shares underlying options that are exercisable within 60 days of January 31, 2023 held by Mr. Greig. Does not include 95,238 common shares underlying restricted share units that do not vest within 60 days of January 31, 2023 held by Mr. Greig.</w:t>
      </w:r>
    </w:p>
    <w:p>
      <w:pPr>
        <w:spacing w:after="0" w:line="31"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30,677 common shares held by Mr. Hall. Does not include 73,382 common shares underlying restricted share units that do not vest within 60 days of January 31, 2023 held by Mr. Hall.</w:t>
      </w:r>
    </w:p>
    <w:p>
      <w:pPr>
        <w:spacing w:after="0" w:line="22"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2,677 common shares held by Ms. Khama. Does not include 73,382 common shares underlying restricted share units that do not vest within 60 days of January 31, 2023 held by Ms. Khama.</w:t>
      </w:r>
    </w:p>
    <w:p>
      <w:pPr>
        <w:spacing w:after="0" w:line="22" w:lineRule="exact"/>
        <w:rPr>
          <w:rFonts w:ascii="Arial" w:cs="Arial" w:eastAsia="Arial" w:hAnsi="Arial"/>
          <w:sz w:val="14"/>
          <w:szCs w:val="14"/>
          <w:color w:val="auto"/>
        </w:rPr>
      </w:pPr>
    </w:p>
    <w:p>
      <w:pPr>
        <w:jc w:val="both"/>
        <w:ind w:left="1600" w:right="419" w:hanging="352"/>
        <w:spacing w:after="0" w:line="274"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2,677 common shares held by Mr. Karkar, (ii) 642,613 common shares underlying options that are exercisable within 60 days of January 31, 2023 held by Mr. Karkar, (iii) 51,955,976 common shares held by ERAS Capital LLC (“ERAS”), and (iv) 1,414,716 common shares underlying warrants held by ERAS. Does not include 126,407 common shares underlying options that are not exercisable and 73,382 common shares underlying restricted share units that do not vest within 60 days of January 31, 2023 held by Mr. Karkar. Mr. Karkar has voting and dispositive control over the securities held by ERAS and therefore Mr. Karkar may be deemed to have beneficial ownership of the shares held by ERAS.</w:t>
      </w:r>
    </w:p>
    <w:p>
      <w:pPr>
        <w:spacing w:after="0" w:line="44"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2,677 common shares held by Ms. Siamomua. Does not include 73,382 common shares underlying restricted share units that do not vest within 60 days of January 31, 2023 held by Ms. Siamomua.</w:t>
      </w:r>
    </w:p>
    <w:p>
      <w:pPr>
        <w:spacing w:after="0" w:line="22"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21,505 common shares underlying restricted share units that vest within 60 days of January 31, 2023 held by Ms. McAllister. Does not include 111,038 common shares underlying restricted share units that do not vest within 60 days of January 31, 2023 held by Ms. McAllister.</w:t>
      </w:r>
    </w:p>
    <w:p>
      <w:pPr>
        <w:spacing w:after="0" w:line="37" w:lineRule="exact"/>
        <w:rPr>
          <w:rFonts w:ascii="Arial" w:cs="Arial" w:eastAsia="Arial" w:hAnsi="Arial"/>
          <w:sz w:val="14"/>
          <w:szCs w:val="14"/>
          <w:color w:val="auto"/>
        </w:rPr>
      </w:pPr>
    </w:p>
    <w:p>
      <w:pPr>
        <w:jc w:val="both"/>
        <w:ind w:left="1600" w:right="419" w:hanging="352"/>
        <w:spacing w:after="0" w:line="277"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footnotes 2 through 11. Includes (i) 572,191 common shares held in the aggregate by executive officers (and their children) other than the NEOs and (ii) 2,685,690 common shares underlying options that are exercisable within 60 days of January 31, 2023 held in the aggregate by executive officers other than the NEOs. Does not include 1,516,889 common shares underlying options that are not exercisable and 260,417 common shares underlying restricted share units that do not vest within 60 days of January 31, 2023 held in the aggregate by executive officers other than the NEOs.</w:t>
      </w:r>
    </w:p>
    <w:p>
      <w:pPr>
        <w:spacing w:after="0" w:line="42"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address of ERAS is 323 Marina Boulevard, San Francisco, California 94123. Consists of (i) 51,955,976 common shares and (ii) 1,414,716 common shares issuable upon exercise of warrants owned by ERAS. Andrei Karkar has voting and dispositive control over the securities held by ERAS and therefore Mr. Karkar may be deemed to have beneficial ownership of the shares held by ERAS.</w:t>
      </w:r>
    </w:p>
    <w:p>
      <w:pPr>
        <w:spacing w:after="0" w:line="39"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address of Maersk Supply Service A/S is Esplanaden 50 Copenhagen K, DK-1098 Denmark. Maersk Supply Service A/S is a subsidiary of AP Moller-Maersk A/S.</w:t>
      </w:r>
    </w:p>
    <w:p>
      <w:pPr>
        <w:spacing w:after="0" w:line="22" w:lineRule="exact"/>
        <w:rPr>
          <w:rFonts w:ascii="Arial" w:cs="Arial" w:eastAsia="Arial" w:hAnsi="Arial"/>
          <w:sz w:val="14"/>
          <w:szCs w:val="14"/>
          <w:color w:val="auto"/>
        </w:rPr>
      </w:pPr>
    </w:p>
    <w:p>
      <w:pPr>
        <w:jc w:val="both"/>
        <w:ind w:left="1600" w:right="419" w:hanging="352"/>
        <w:spacing w:after="0" w:line="274"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address of Allseas Group S.A. is 18 Route de Pra de Plan, Case Postale, 411 1618 Chatel-Saint-Denis, Switzerland. Includes (i) 22,701,648 common shares owned by Allseas Group S.A. and (ii) 11,578,620 common shares issuable upon the exercise of a warrant owned by Allseas Group S.A. Excludes (i) 1,000,000 common shares held by Argentum Cedit Virtuti GCV, which has an ownership interest in Allseas Group S.A., to which Allseas Group, S.A. does not have voting or investment power with respect thereto and (ii) 10,850,000 common shares the Company intended to issue to Allseas Group S.A. under the PMTA, which were issued to Allseas Group S.A. on February 13,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Our Board of Directors</w:t>
      </w:r>
    </w:p>
    <w:p>
      <w:pPr>
        <w:spacing w:after="0" w:line="144"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On March 22, 2023, our board of directors accepted the recommendation of the nominating and corporate governance committee and voted to nominate eight directors for election at the Annual Meeting for a term of one year to serve until the 2024 annual meeting of shareholders, and until their respective successors have been elected and qualified.</w:t>
      </w:r>
    </w:p>
    <w:p>
      <w:pPr>
        <w:spacing w:after="0" w:line="103"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number of directors for the Company is set by ordinary resolution of the shareholders of the Company. Management of the Company is seeking shareholder approval of an ordinary resolution determining the number of directors of the Company at eight (8) for the ensuing year.</w:t>
      </w:r>
    </w:p>
    <w:p>
      <w:pPr>
        <w:spacing w:after="0" w:line="94"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Set forth below are the names of the persons nominated for election as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April 20, 2023.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2" w:lineRule="exact"/>
        <w:rPr>
          <w:sz w:val="20"/>
          <w:szCs w:val="20"/>
          <w:color w:val="auto"/>
        </w:rPr>
      </w:pPr>
    </w:p>
    <w:tbl>
      <w:tblPr>
        <w:tblLayout w:type="fixed"/>
        <w:tblInd w:w="1240" w:type="dxa"/>
        <w:tblCellMar>
          <w:top w:w="0" w:type="dxa"/>
          <w:left w:w="0" w:type="dxa"/>
          <w:bottom w:w="0" w:type="dxa"/>
          <w:right w:w="0" w:type="dxa"/>
        </w:tblCellMar>
      </w:tblPr>
      <w:tr>
        <w:trPr>
          <w:trHeight w:val="354"/>
        </w:trPr>
        <w:tc>
          <w:tcPr>
            <w:tcW w:w="22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000" w:type="dxa"/>
            <w:vAlign w:val="bottom"/>
            <w:gridSpan w:val="5"/>
          </w:tcPr>
          <w:p>
            <w:pPr>
              <w:ind w:left="8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Age</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Position</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24"/>
        </w:trPr>
        <w:tc>
          <w:tcPr>
            <w:tcW w:w="2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Directors:</w:t>
            </w:r>
          </w:p>
        </w:tc>
        <w:tc>
          <w:tcPr>
            <w:tcW w:w="1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rPr>
              <w:t>​ ​</w:t>
            </w:r>
          </w:p>
        </w:tc>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Gerard Barron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542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Chief Executive Officer and Chairman of the board of directors</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Andrew Hall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542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Director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2200" w:type="dxa"/>
            <w:vAlign w:val="bottom"/>
          </w:tcPr>
          <w:p>
            <w:pPr>
              <w:spacing w:after="0"/>
              <w:rPr>
                <w:sz w:val="20"/>
                <w:szCs w:val="20"/>
                <w:color w:val="auto"/>
              </w:rPr>
            </w:pPr>
            <w:r>
              <w:rPr>
                <w:rFonts w:ascii="Arial" w:cs="Arial" w:eastAsia="Arial" w:hAnsi="Arial"/>
                <w:sz w:val="18"/>
                <w:szCs w:val="18"/>
                <w:color w:val="auto"/>
              </w:rPr>
              <w:t>Andrew Greig</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66</w:t>
            </w:r>
          </w:p>
        </w:tc>
        <w:tc>
          <w:tcPr>
            <w:tcW w:w="542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Director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Andrei Karkar</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54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Sheila Khama</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54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Christian Madsbjerg</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54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Kathleen McAllister</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54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483"/>
        </w:trPr>
        <w:tc>
          <w:tcPr>
            <w:tcW w:w="2200" w:type="dxa"/>
            <w:vAlign w:val="bottom"/>
          </w:tcPr>
          <w:p>
            <w:pPr>
              <w:spacing w:after="0"/>
              <w:rPr>
                <w:sz w:val="20"/>
                <w:szCs w:val="20"/>
                <w:color w:val="auto"/>
              </w:rPr>
            </w:pPr>
            <w:r>
              <w:rPr>
                <w:rFonts w:ascii="Arial" w:cs="Arial" w:eastAsia="Arial" w:hAnsi="Arial"/>
                <w:sz w:val="18"/>
                <w:szCs w:val="18"/>
                <w:color w:val="auto"/>
              </w:rPr>
              <w:t>Amelia Kinahoi Siamomua</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5420" w:type="dxa"/>
            <w:vAlign w:val="bottom"/>
            <w:gridSpan w:val="2"/>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Director</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Directors</w:t>
      </w:r>
    </w:p>
    <w:p>
      <w:pPr>
        <w:spacing w:after="0" w:line="156"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has served as our Chief Executive Officer and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closing of the business combination (the “Business Combination”) on September 9, 2021 by and among Sustainable Opportunities Acquisition Corp. (“SOAC”), 1291924 B.C. Unlimited Liability Company and DeepGreen Metals Inc. (“DeepGreen”). Mr. Barron 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110"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b w:val="1"/>
          <w:bCs w:val="1"/>
          <w:i w:val="1"/>
          <w:iCs w:val="1"/>
          <w:color w:val="auto"/>
        </w:rPr>
        <w:t xml:space="preserve">Andrew Hall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Mr. Hall is an internationally experienced executive and non-executive in the renewable energy technologies and services sector. Since July 2018, Mr. Hall has served as Managing Director of Saxjo Limited, a renewable energy consultancy company. Previously, Mr. Hall was Group Chief Financial Officer at Siemens Gamesa Renewable Energy SA, one of the largest companies in the wind and</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1" w:lineRule="auto"/>
        <w:rPr>
          <w:sz w:val="20"/>
          <w:szCs w:val="20"/>
          <w:color w:val="auto"/>
        </w:rPr>
      </w:pPr>
      <w:r>
        <w:rPr>
          <w:rFonts w:ascii="Arial" w:cs="Arial" w:eastAsia="Arial" w:hAnsi="Arial"/>
          <w:sz w:val="18"/>
          <w:szCs w:val="18"/>
          <w:color w:val="auto"/>
        </w:rPr>
        <w:t>renewables industry, from April 2017 to November 2017. From October 2015 to March 2017, Mr. Hall served as Group Chief Financial Officer and Executive Director at Siemens Wind Power GmbH &amp; Co KG, a wind turbine original equipment manufacturer. 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September 2019, Mr. Hall has been Executive Chair of Windlogix Limited, a company providing wind turbine erection services. Since October 2018, Mr. Hall has been a non-executive director of Time to Act Limited, which specializes in metal coatings for the gas turbine and hydrogen industries. Additionally, Mr. Hall has served as Chair of New Motion Labs Limited, which licenses technology for the manufacture of mechanical drives, since June 2019, and as Senior Independent Director of Hero Future Energies Global Limited, a global renewable energy developer, since February 2019. Mr. Hall is an Investor Director at Arctic Green Energy Corporation, Singapore since 2022. Arctic Green Energy is a leading global geothermal energy company. Previously, Mr. Hall served as a board member of A2Sea AS from 2015 to 2017, Voith Hydro GmbH &amp; Co KG from 2015 to 2017 and Mimica Labs from 2014 to 2017.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123"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i w:val="1"/>
          <w:iCs w:val="1"/>
          <w:color w:val="auto"/>
        </w:rPr>
        <w:t xml:space="preserve">Andrew C. Greig </w:t>
      </w:r>
      <w:r>
        <w:rPr>
          <w:rFonts w:ascii="Arial" w:cs="Arial" w:eastAsia="Arial" w:hAnsi="Arial"/>
          <w:sz w:val="18"/>
          <w:szCs w:val="18"/>
          <w:color w:val="auto"/>
        </w:rPr>
        <w:t>has served on the board of directors since October 3, 2022, and is currently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board’s Lead Independent Director. Mr. Greig is the founder of ACAC Innovation Pty Ltd and its Senior Director and previously worked for Bechtel Group, Inc. (“Bechtel”) for 34 years, leading its global mining business for 13 years. In addition, Mr. Greig was managing director for its Australian operations and was group Human Resources Manager in his last assignment. Mr. Greig was also Senior Vice President and Director of Bechtel. From 2001 to 2006, Mr. Greig served as President of Bechtel’s Mining &amp; Metals global business unit, prior to becoming Project Director for the Brass LNG Project in Nigeria. As President of Mining &amp; Metals, Mr. Greig was responsible for strategy, planning, execution and project delivery for the global business unit which peaked at 55,000 personnel across 14 countries and over $5 billion in annual revenue. Mr. Greig was elected as Principal Vice President in 1997 and as Senior Vice President in 2001. He was a member of Bechtel Group’s Board of Directors from 2011 until leaving Bechtel. Mr. Greig’s qualifications to be on the board include his long career in project development, overseeing major capital projects, his role leading the global HR team at Bechtel and his long tenure on Bechtel’s Board of Directors.</w:t>
      </w:r>
    </w:p>
    <w:p>
      <w:pPr>
        <w:spacing w:after="0" w:line="11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b w:val="1"/>
          <w:bCs w:val="1"/>
          <w:i w:val="1"/>
          <w:iCs w:val="1"/>
          <w:color w:val="auto"/>
        </w:rPr>
        <w:t xml:space="preserve">Andrei Karkar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and served as a director of DeepGreen since March 2019. Mr. Karkar currently serves as the chairperson of the compensation committee. Since 2006,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 of Shepherd OÜ based in Estonia Mr. Karkar received a B.A. from Georgetown University. Mr. Karkar’s qualifications to serve on the board of directors include his experience as an advisor and investor in public and private companies.</w:t>
      </w:r>
    </w:p>
    <w:p>
      <w:pPr>
        <w:spacing w:after="0" w:line="110"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b w:val="1"/>
          <w:bCs w:val="1"/>
          <w:i w:val="1"/>
          <w:iCs w:val="1"/>
          <w:color w:val="auto"/>
        </w:rPr>
        <w:t xml:space="preserve">Sheila Khama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Ms. Khama is a consultant, policy advisor and former mining industry executive with expertise in corporate governance and sustainable development of minerals, oil and gas resources. Ms. Khama currently serves as the chairperson of the sustainability and innovation committee. Since April 2019, Ms. Khama has been an independent consultant on oil and gas governance and policy reforms for SK Consulting Pty, Ltd. From November 2016 to 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w:t>
      </w:r>
    </w:p>
    <w:p>
      <w:pPr>
        <w:spacing w:after="0" w:line="3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3" w:lineRule="auto"/>
        <w:rPr>
          <w:sz w:val="20"/>
          <w:szCs w:val="20"/>
          <w:color w:val="auto"/>
        </w:rPr>
      </w:pPr>
      <w:r>
        <w:rPr>
          <w:rFonts w:ascii="Arial" w:cs="Arial" w:eastAsia="Arial" w:hAnsi="Arial"/>
          <w:sz w:val="18"/>
          <w:szCs w:val="18"/>
          <w:color w:val="auto"/>
        </w:rPr>
        <w:t>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118"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Christian Madsbjerg </w:t>
      </w:r>
      <w:r>
        <w:rPr>
          <w:rFonts w:ascii="Arial" w:cs="Arial" w:eastAsia="Arial" w:hAnsi="Arial"/>
          <w:sz w:val="18"/>
          <w:szCs w:val="18"/>
          <w:color w:val="auto"/>
        </w:rPr>
        <w:t>has served on our board of directors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in September 2021. Mr. Madsbjerg currently serves as the chairperson of the nominating and corporate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w:t>
      </w:r>
    </w:p>
    <w:p>
      <w:pPr>
        <w:spacing w:after="0" w:line="3" w:lineRule="exact"/>
        <w:rPr>
          <w:sz w:val="20"/>
          <w:szCs w:val="20"/>
          <w:color w:val="auto"/>
        </w:rPr>
      </w:pPr>
    </w:p>
    <w:p>
      <w:pPr>
        <w:jc w:val="both"/>
        <w:ind w:left="1240" w:right="419"/>
        <w:spacing w:after="0"/>
        <w:rPr>
          <w:sz w:val="20"/>
          <w:szCs w:val="20"/>
          <w:color w:val="auto"/>
        </w:rPr>
      </w:pPr>
      <w:r>
        <w:rPr>
          <w:rFonts w:ascii="Arial" w:cs="Arial" w:eastAsia="Arial" w:hAnsi="Arial"/>
          <w:sz w:val="18"/>
          <w:szCs w:val="18"/>
          <w:color w:val="auto"/>
        </w:rPr>
        <w:t xml:space="preserve">August 2007. Mr. Madsbjerg is also a writer whose work has been featured in publications such as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Wall Street Journal, Financial Times, The Washington Post, Der Spiegel</w:t>
      </w:r>
      <w:r>
        <w:rPr>
          <w:rFonts w:ascii="Arial" w:cs="Arial" w:eastAsia="Arial" w:hAnsi="Arial"/>
          <w:sz w:val="18"/>
          <w:szCs w:val="18"/>
          <w:color w:val="auto"/>
        </w:rPr>
        <w:t>, and</w:t>
      </w:r>
      <w:r>
        <w:rPr>
          <w:rFonts w:ascii="Arial" w:cs="Arial" w:eastAsia="Arial" w:hAnsi="Arial"/>
          <w:sz w:val="18"/>
          <w:szCs w:val="18"/>
          <w:i w:val="1"/>
          <w:iCs w:val="1"/>
          <w:color w:val="auto"/>
        </w:rPr>
        <w:t xml:space="preserve"> Bloomberg Businessweek</w:t>
      </w:r>
      <w:r>
        <w:rPr>
          <w:rFonts w:ascii="Arial" w:cs="Arial" w:eastAsia="Arial" w:hAnsi="Arial"/>
          <w:sz w:val="18"/>
          <w:szCs w:val="18"/>
          <w:color w:val="auto"/>
        </w:rPr>
        <w:t>. His latest book,</w:t>
      </w:r>
      <w:r>
        <w:rPr>
          <w:rFonts w:ascii="Arial" w:cs="Arial" w:eastAsia="Arial" w:hAnsi="Arial"/>
          <w:sz w:val="18"/>
          <w:szCs w:val="18"/>
          <w:i w:val="1"/>
          <w:iCs w:val="1"/>
          <w:color w:val="auto"/>
        </w:rPr>
        <w:t xml:space="preserve"> Sensemaking: The Power of the Humanities in the Age of the</w:t>
      </w:r>
    </w:p>
    <w:p>
      <w:pPr>
        <w:jc w:val="both"/>
        <w:ind w:left="1240" w:right="419"/>
        <w:spacing w:after="0" w:line="241" w:lineRule="auto"/>
        <w:rPr>
          <w:sz w:val="20"/>
          <w:szCs w:val="20"/>
          <w:color w:val="auto"/>
        </w:rPr>
      </w:pPr>
      <w:r>
        <w:rPr>
          <w:rFonts w:ascii="Arial" w:cs="Arial" w:eastAsia="Arial" w:hAnsi="Arial"/>
          <w:sz w:val="18"/>
          <w:szCs w:val="18"/>
          <w:i w:val="1"/>
          <w:iCs w:val="1"/>
          <w:color w:val="auto"/>
        </w:rPr>
        <w:t>Algorithm</w:t>
      </w:r>
      <w:r>
        <w:rPr>
          <w:rFonts w:ascii="Arial" w:cs="Arial" w:eastAsia="Arial" w:hAnsi="Arial"/>
          <w:sz w:val="18"/>
          <w:szCs w:val="18"/>
          <w:color w:val="auto"/>
        </w:rPr>
        <w:t>, was published in the spring of 2017 by Hachette Book Group. His book</w:t>
      </w:r>
      <w:r>
        <w:rPr>
          <w:rFonts w:ascii="Arial" w:cs="Arial" w:eastAsia="Arial" w:hAnsi="Arial"/>
          <w:sz w:val="18"/>
          <w:szCs w:val="18"/>
          <w:i w:val="1"/>
          <w:iCs w:val="1"/>
          <w:color w:val="auto"/>
        </w:rPr>
        <w:t xml:space="preserve"> The Moment of Clarity</w:t>
      </w:r>
      <w:r>
        <w:rPr>
          <w:rFonts w:ascii="Arial" w:cs="Arial" w:eastAsia="Arial" w:hAnsi="Arial"/>
          <w:sz w:val="18"/>
          <w:szCs w:val="18"/>
          <w:color w:val="auto"/>
        </w:rPr>
        <w:t>, co-written with ReD partner Mikkel B. Rasmussen, was published by Harvard Business Press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fall of 2014. He studied 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112"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i w:val="1"/>
          <w:iCs w:val="1"/>
          <w:color w:val="auto"/>
        </w:rPr>
        <w:t xml:space="preserve">Kathleen McAllister </w:t>
      </w:r>
      <w:r>
        <w:rPr>
          <w:rFonts w:ascii="Arial" w:cs="Arial" w:eastAsia="Arial" w:hAnsi="Arial"/>
          <w:sz w:val="18"/>
          <w:szCs w:val="18"/>
          <w:color w:val="auto"/>
        </w:rPr>
        <w:t>has served on the board of directors since February 9, 2022, and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as the chairperson of the audit committee. Ms. McAllister is a Certified Professional Accountant (CPA) and former President and CEO and CFO of Transocean Partners LLC. Ms. McAllister brings a broad strategic perspective to the complex challenges of operating cyclical businesses and raising capital and corporate governance in the global marketplace. She currently serves as an independent director for Black Hills Corporation, SilverBow Resources and Hoegh LNG Partners LP. She serves on the Audit Committees of Black Hills Corporation and SilverBow Resources, and Hoegh LNG Partners and the Hoegh LNG Conflicts Committee. Previously, Ms. McAllister served on the board of Maersk Drilling and chaired the Audit and Risk Committee. As a former CEO, CFO and treasurer of publicly traded companies, Ms. McAllister’s broad business perspective, financial acumen and experience in capital raising and capital allocation contributes to the Board’s oversight of strategy and risk. Her experience serving as a corporate director and audit and risk committee chair on other public companies provides a valuable perspective on the Board’s role in management oversight and corporate governance.</w:t>
      </w:r>
    </w:p>
    <w:p>
      <w:pPr>
        <w:spacing w:after="0" w:line="116"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i w:val="1"/>
          <w:iCs w:val="1"/>
          <w:color w:val="auto"/>
        </w:rPr>
        <w:t xml:space="preserve">Amelia Kinahoi Siamomua </w:t>
      </w:r>
      <w:r>
        <w:rPr>
          <w:rFonts w:ascii="Arial" w:cs="Arial" w:eastAsia="Arial" w:hAnsi="Arial"/>
          <w:sz w:val="18"/>
          <w:szCs w:val="18"/>
          <w:color w:val="auto"/>
        </w:rPr>
        <w:t>has served on our board of directors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in September 2021. Ms. Siamomua has over 35 years of experience as a development economist and an international civil servant with a strong focus on gender equality and sustainability issues. Since March 2021, Ms. Siamomua has been an independent consultant on gender and social inclusion for the Government of Nauru. From June 2015 until February 2021, Ms. Siamomua served as Head of Gender,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Ms. Siamomua has earned a B.A. in Economics and Politics and an M.B.A. from the University of the South Pacific. Ms. Siamomua’s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303" w:lineRule="auto"/>
        <w:rPr>
          <w:sz w:val="20"/>
          <w:szCs w:val="20"/>
          <w:color w:val="auto"/>
        </w:rPr>
      </w:pPr>
      <w:r>
        <w:rPr>
          <w:rFonts w:ascii="Arial" w:cs="Arial" w:eastAsia="Arial" w:hAnsi="Arial"/>
          <w:sz w:val="18"/>
          <w:szCs w:val="18"/>
          <w:color w:val="auto"/>
        </w:rPr>
        <w:t>qualifications to serve on the board of directors include her sustainable development expertise and her extensive knowledge of economic and social policies of developing countries.</w:t>
      </w:r>
    </w:p>
    <w:p>
      <w:pPr>
        <w:spacing w:after="0" w:line="71" w:lineRule="exact"/>
        <w:rPr>
          <w:sz w:val="20"/>
          <w:szCs w:val="20"/>
          <w:color w:val="auto"/>
        </w:rPr>
      </w:pPr>
    </w:p>
    <w:p>
      <w:pPr>
        <w:jc w:val="both"/>
        <w:ind w:left="1240" w:right="439" w:firstLine="360"/>
        <w:spacing w:after="0" w:line="303" w:lineRule="auto"/>
        <w:rPr>
          <w:sz w:val="20"/>
          <w:szCs w:val="20"/>
          <w:color w:val="auto"/>
        </w:rPr>
      </w:pPr>
      <w:r>
        <w:rPr>
          <w:rFonts w:ascii="Arial" w:cs="Arial" w:eastAsia="Arial" w:hAnsi="Arial"/>
          <w:sz w:val="18"/>
          <w:szCs w:val="18"/>
          <w:color w:val="auto"/>
        </w:rPr>
        <w:t>There are no family relationships, as such term is defined in Item 401(d) of Regulation S-K, between or among any of our directors or executive officers.</w:t>
      </w:r>
    </w:p>
    <w:p>
      <w:pPr>
        <w:spacing w:after="0" w:line="139" w:lineRule="exact"/>
        <w:rPr>
          <w:sz w:val="20"/>
          <w:szCs w:val="20"/>
          <w:color w:val="auto"/>
        </w:rPr>
      </w:pPr>
    </w:p>
    <w:tbl>
      <w:tblPr>
        <w:tblLayout w:type="fixed"/>
        <w:tblInd w:w="1240" w:type="dxa"/>
        <w:tblCellMar>
          <w:top w:w="0" w:type="dxa"/>
          <w:left w:w="0" w:type="dxa"/>
          <w:bottom w:w="0" w:type="dxa"/>
          <w:right w:w="0" w:type="dxa"/>
        </w:tblCellMar>
      </w:tblPr>
      <w:tr>
        <w:trPr>
          <w:trHeight w:val="247"/>
        </w:trPr>
        <w:tc>
          <w:tcPr>
            <w:tcW w:w="1700" w:type="dxa"/>
            <w:vAlign w:val="bottom"/>
          </w:tcPr>
          <w:p>
            <w:pPr>
              <w:spacing w:after="0"/>
              <w:rPr>
                <w:sz w:val="20"/>
                <w:szCs w:val="20"/>
                <w:color w:val="auto"/>
              </w:rPr>
            </w:pPr>
            <w:r>
              <w:rPr>
                <w:rFonts w:ascii="Arial" w:cs="Arial" w:eastAsia="Arial" w:hAnsi="Arial"/>
                <w:sz w:val="18"/>
                <w:szCs w:val="18"/>
                <w:b w:val="1"/>
                <w:bCs w:val="1"/>
                <w:color w:val="auto"/>
              </w:rPr>
              <w:t>Director Diversity</w:t>
            </w: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700" w:type="dxa"/>
            <w:vAlign w:val="bottom"/>
          </w:tcPr>
          <w:p>
            <w:pPr>
              <w:spacing w:after="0"/>
              <w:rPr>
                <w:sz w:val="15"/>
                <w:szCs w:val="15"/>
                <w:color w:val="auto"/>
              </w:rPr>
            </w:pPr>
          </w:p>
        </w:tc>
        <w:tc>
          <w:tcPr>
            <w:tcW w:w="2880" w:type="dxa"/>
            <w:vAlign w:val="bottom"/>
            <w:gridSpan w:val="4"/>
          </w:tcPr>
          <w:p>
            <w:pPr>
              <w:spacing w:after="0"/>
              <w:rPr>
                <w:sz w:val="15"/>
                <w:szCs w:val="15"/>
                <w:color w:val="auto"/>
              </w:rPr>
            </w:pPr>
          </w:p>
        </w:tc>
        <w:tc>
          <w:tcPr>
            <w:tcW w:w="1820" w:type="dxa"/>
            <w:vAlign w:val="bottom"/>
            <w:gridSpan w:val="5"/>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w:t>
            </w:r>
          </w:p>
        </w:tc>
        <w:tc>
          <w:tcPr>
            <w:tcW w:w="4700" w:type="dxa"/>
            <w:vAlign w:val="bottom"/>
            <w:gridSpan w:val="9"/>
            <w:shd w:val="clear" w:color="auto" w:fill="CCEEFF"/>
          </w:tcPr>
          <w:p>
            <w:pPr>
              <w:jc w:val="right"/>
              <w:ind w:right="350"/>
              <w:spacing w:after="0" w:line="189" w:lineRule="exact"/>
              <w:rPr>
                <w:sz w:val="20"/>
                <w:szCs w:val="20"/>
                <w:color w:val="auto"/>
              </w:rPr>
            </w:pPr>
            <w:r>
              <w:rPr>
                <w:rFonts w:ascii="Arial" w:cs="Arial" w:eastAsia="Arial" w:hAnsi="Arial"/>
                <w:sz w:val="18"/>
                <w:szCs w:val="18"/>
                <w:b w:val="1"/>
                <w:bCs w:val="1"/>
                <w:color w:val="auto"/>
              </w:rPr>
              <w:t>Board Diversity Matrix (As of April 20, 2023)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Total Number of Directors: Eight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170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7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Did Not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860" w:type="dxa"/>
            <w:vAlign w:val="bottom"/>
            <w:gridSpan w:val="10"/>
            <w:shd w:val="clear" w:color="auto" w:fill="CCEEFF"/>
          </w:tcPr>
          <w:p>
            <w:pPr>
              <w:ind w:left="60"/>
              <w:spacing w:after="0"/>
              <w:rPr>
                <w:sz w:val="20"/>
                <w:szCs w:val="20"/>
                <w:color w:val="auto"/>
              </w:rPr>
            </w:pPr>
            <w:r>
              <w:rPr>
                <w:rFonts w:ascii="Arial" w:cs="Arial" w:eastAsia="Arial" w:hAnsi="Arial"/>
                <w:sz w:val="18"/>
                <w:szCs w:val="18"/>
                <w:b w:val="1"/>
                <w:bCs w:val="1"/>
                <w:color w:val="auto"/>
              </w:rPr>
              <w:t>​ ​​Female​​ ​Male ​ ​Non-Binary ​ ​</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Disclose Gender</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70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20"/>
                <w:szCs w:val="20"/>
                <w:color w:val="auto"/>
              </w:rPr>
            </w:pPr>
            <w:r>
              <w:rPr>
                <w:rFonts w:ascii="Arial" w:cs="Arial" w:eastAsia="Arial" w:hAnsi="Arial"/>
                <w:sz w:val="18"/>
                <w:szCs w:val="18"/>
                <w:b w:val="1"/>
                <w:bCs w:val="1"/>
                <w:color w:val="auto"/>
              </w:rPr>
              <w:t>Gender:</w:t>
            </w:r>
          </w:p>
        </w:tc>
        <w:tc>
          <w:tcPr>
            <w:tcW w:w="2040" w:type="dxa"/>
            <w:vAlign w:val="bottom"/>
          </w:tcPr>
          <w:p>
            <w:pPr>
              <w:spacing w:after="0"/>
              <w:rPr>
                <w:sz w:val="18"/>
                <w:szCs w:val="18"/>
                <w:color w:val="auto"/>
              </w:rPr>
            </w:pPr>
          </w:p>
        </w:tc>
        <w:tc>
          <w:tcPr>
            <w:tcW w:w="50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auto"/>
              </w:rPr>
              <w:t>​ ​​</w:t>
            </w:r>
          </w:p>
        </w:tc>
        <w:tc>
          <w:tcPr>
            <w:tcW w:w="340" w:type="dxa"/>
            <w:vAlign w:val="bottom"/>
          </w:tcPr>
          <w:p>
            <w:pPr>
              <w:spacing w:after="0"/>
              <w:rPr>
                <w:sz w:val="18"/>
                <w:szCs w:val="18"/>
                <w:color w:val="auto"/>
              </w:rPr>
            </w:pPr>
          </w:p>
        </w:tc>
        <w:tc>
          <w:tcPr>
            <w:tcW w:w="220" w:type="dxa"/>
            <w:vAlign w:val="bottom"/>
            <w:vMerge w:val="restart"/>
          </w:tcPr>
          <w:p>
            <w:pPr>
              <w:spacing w:after="0"/>
              <w:rPr>
                <w:sz w:val="20"/>
                <w:szCs w:val="20"/>
                <w:color w:val="auto"/>
              </w:rPr>
            </w:pPr>
            <w:r>
              <w:rPr>
                <w:rFonts w:ascii="Arial" w:cs="Arial" w:eastAsia="Arial" w:hAnsi="Arial"/>
                <w:sz w:val="18"/>
                <w:szCs w:val="18"/>
                <w:b w:val="1"/>
                <w:bCs w:val="1"/>
                <w:color w:val="auto"/>
              </w:rPr>
              <w:t>​​ ​</w:t>
            </w: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w:t>
            </w:r>
          </w:p>
        </w:tc>
        <w:tc>
          <w:tcPr>
            <w:tcW w:w="320" w:type="dxa"/>
            <w:vAlign w:val="bottom"/>
          </w:tcPr>
          <w:p>
            <w:pPr>
              <w:spacing w:after="0"/>
              <w:rPr>
                <w:sz w:val="18"/>
                <w:szCs w:val="18"/>
                <w:color w:val="auto"/>
              </w:rPr>
            </w:pPr>
          </w:p>
        </w:tc>
        <w:tc>
          <w:tcPr>
            <w:tcW w:w="6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w:t>
            </w:r>
          </w:p>
        </w:tc>
        <w:tc>
          <w:tcPr>
            <w:tcW w:w="162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w:t>
            </w: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170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20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Directors</w:t>
            </w:r>
          </w:p>
        </w:tc>
        <w:tc>
          <w:tcPr>
            <w:tcW w:w="204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70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0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2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4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740" w:type="dxa"/>
            <w:vAlign w:val="bottom"/>
            <w:gridSpan w:val="9"/>
          </w:tcPr>
          <w:p>
            <w:pPr>
              <w:spacing w:after="0"/>
              <w:rPr>
                <w:sz w:val="20"/>
                <w:szCs w:val="20"/>
                <w:color w:val="auto"/>
              </w:rPr>
            </w:pPr>
            <w:r>
              <w:rPr>
                <w:rFonts w:ascii="Arial" w:cs="Arial" w:eastAsia="Arial" w:hAnsi="Arial"/>
                <w:sz w:val="18"/>
                <w:szCs w:val="18"/>
                <w:b w:val="1"/>
                <w:bCs w:val="1"/>
                <w:color w:val="auto"/>
              </w:rPr>
              <w:t>Number of Directors Who Identify in Any of the Categories Below:</w:t>
            </w:r>
          </w:p>
        </w:tc>
        <w:tc>
          <w:tcPr>
            <w:tcW w:w="660" w:type="dxa"/>
            <w:vAlign w:val="bottom"/>
          </w:tcPr>
          <w:p>
            <w:pPr>
              <w:spacing w:after="0"/>
              <w:rPr>
                <w:sz w:val="24"/>
                <w:szCs w:val="24"/>
                <w:color w:val="auto"/>
              </w:rPr>
            </w:pPr>
          </w:p>
        </w:tc>
        <w:tc>
          <w:tcPr>
            <w:tcW w:w="1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162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w:t>
            </w: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170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2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African American or Black</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70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0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2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4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Alaskan Native or Native American</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75"/>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8"/>
                <w:szCs w:val="18"/>
                <w:color w:val="auto"/>
              </w:rPr>
            </w:pP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700" w:type="dxa"/>
            <w:vAlign w:val="bottom"/>
          </w:tcPr>
          <w:p>
            <w:pPr>
              <w:spacing w:after="0" w:line="54" w:lineRule="exact"/>
              <w:rPr>
                <w:sz w:val="20"/>
                <w:szCs w:val="20"/>
                <w:color w:val="auto"/>
              </w:rPr>
            </w:pPr>
            <w:r>
              <w:rPr>
                <w:rFonts w:ascii="Arial" w:cs="Arial" w:eastAsia="Arial" w:hAnsi="Arial"/>
                <w:sz w:val="6"/>
                <w:szCs w:val="6"/>
                <w:color w:val="auto"/>
              </w:rPr>
              <w:t>​</w:t>
            </w:r>
          </w:p>
        </w:tc>
        <w:tc>
          <w:tcPr>
            <w:tcW w:w="20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 ​</w:t>
            </w:r>
          </w:p>
        </w:tc>
        <w:tc>
          <w:tcPr>
            <w:tcW w:w="4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Asian</w:t>
            </w:r>
          </w:p>
        </w:tc>
        <w:tc>
          <w:tcPr>
            <w:tcW w:w="204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70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0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2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4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Hispanic or Latinx</w:t>
            </w:r>
          </w:p>
        </w:tc>
        <w:tc>
          <w:tcPr>
            <w:tcW w:w="2040" w:type="dxa"/>
            <w:vAlign w:val="bottom"/>
          </w:tcPr>
          <w:p>
            <w:pPr>
              <w:spacing w:after="0"/>
              <w:rPr>
                <w:sz w:val="18"/>
                <w:szCs w:val="18"/>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75"/>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8"/>
                <w:szCs w:val="18"/>
                <w:color w:val="auto"/>
              </w:rPr>
            </w:pP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700" w:type="dxa"/>
            <w:vAlign w:val="bottom"/>
          </w:tcPr>
          <w:p>
            <w:pPr>
              <w:spacing w:after="0" w:line="54" w:lineRule="exact"/>
              <w:rPr>
                <w:sz w:val="20"/>
                <w:szCs w:val="20"/>
                <w:color w:val="auto"/>
              </w:rPr>
            </w:pPr>
            <w:r>
              <w:rPr>
                <w:rFonts w:ascii="Arial" w:cs="Arial" w:eastAsia="Arial" w:hAnsi="Arial"/>
                <w:sz w:val="6"/>
                <w:szCs w:val="6"/>
                <w:color w:val="auto"/>
              </w:rPr>
              <w:t>​</w:t>
            </w:r>
          </w:p>
        </w:tc>
        <w:tc>
          <w:tcPr>
            <w:tcW w:w="20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 ​</w:t>
            </w:r>
          </w:p>
        </w:tc>
        <w:tc>
          <w:tcPr>
            <w:tcW w:w="4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Native Hawaiian or Pacific Islander</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70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0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2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4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White</w:t>
            </w:r>
          </w:p>
        </w:tc>
        <w:tc>
          <w:tcPr>
            <w:tcW w:w="2040" w:type="dxa"/>
            <w:vAlign w:val="bottom"/>
          </w:tcPr>
          <w:p>
            <w:pPr>
              <w:spacing w:after="0"/>
              <w:rPr>
                <w:sz w:val="18"/>
                <w:szCs w:val="18"/>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2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75"/>
              <w:spacing w:after="0"/>
              <w:rPr>
                <w:sz w:val="20"/>
                <w:szCs w:val="20"/>
                <w:color w:val="auto"/>
              </w:rPr>
            </w:pPr>
            <w:r>
              <w:rPr>
                <w:rFonts w:ascii="Arial" w:cs="Arial" w:eastAsia="Arial" w:hAnsi="Arial"/>
                <w:sz w:val="18"/>
                <w:szCs w:val="18"/>
                <w:color w:val="auto"/>
              </w:rPr>
              <w:t>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8"/>
                <w:szCs w:val="18"/>
                <w:color w:val="auto"/>
              </w:rPr>
            </w:pP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0</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700" w:type="dxa"/>
            <w:vAlign w:val="bottom"/>
          </w:tcPr>
          <w:p>
            <w:pPr>
              <w:spacing w:after="0" w:line="54" w:lineRule="exact"/>
              <w:rPr>
                <w:sz w:val="20"/>
                <w:szCs w:val="20"/>
                <w:color w:val="auto"/>
              </w:rPr>
            </w:pPr>
            <w:r>
              <w:rPr>
                <w:rFonts w:ascii="Arial" w:cs="Arial" w:eastAsia="Arial" w:hAnsi="Arial"/>
                <w:sz w:val="6"/>
                <w:szCs w:val="6"/>
                <w:color w:val="auto"/>
              </w:rPr>
              <w:t>​</w:t>
            </w:r>
          </w:p>
        </w:tc>
        <w:tc>
          <w:tcPr>
            <w:tcW w:w="20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 ​</w:t>
            </w:r>
          </w:p>
        </w:tc>
        <w:tc>
          <w:tcPr>
            <w:tcW w:w="4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Two or More Races or Ethnicities</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70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0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2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 ​</w:t>
            </w:r>
          </w:p>
        </w:tc>
        <w:tc>
          <w:tcPr>
            <w:tcW w:w="40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LGBTQ+</w:t>
            </w:r>
          </w:p>
        </w:tc>
        <w:tc>
          <w:tcPr>
            <w:tcW w:w="2040" w:type="dxa"/>
            <w:vAlign w:val="bottom"/>
          </w:tcPr>
          <w:p>
            <w:pPr>
              <w:spacing w:after="0"/>
              <w:rPr>
                <w:sz w:val="18"/>
                <w:szCs w:val="18"/>
                <w:color w:val="auto"/>
              </w:rPr>
            </w:pPr>
          </w:p>
        </w:tc>
        <w:tc>
          <w:tcPr>
            <w:tcW w:w="50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8"/>
                <w:szCs w:val="18"/>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0</w:t>
            </w:r>
          </w:p>
        </w:tc>
        <w:tc>
          <w:tcPr>
            <w:tcW w:w="660" w:type="dxa"/>
            <w:vAlign w:val="bottom"/>
          </w:tcPr>
          <w:p>
            <w:pPr>
              <w:spacing w:after="0"/>
              <w:rPr>
                <w:sz w:val="18"/>
                <w:szCs w:val="18"/>
                <w:color w:val="auto"/>
              </w:rPr>
            </w:pP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20" w:type="dxa"/>
            <w:vAlign w:val="bottom"/>
            <w:vMerge w:val="restart"/>
          </w:tcPr>
          <w:p>
            <w:pPr>
              <w:jc w:val="right"/>
              <w:ind w:right="7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700" w:type="dxa"/>
            <w:vAlign w:val="bottom"/>
          </w:tcPr>
          <w:p>
            <w:pPr>
              <w:spacing w:after="0" w:line="54" w:lineRule="exact"/>
              <w:rPr>
                <w:sz w:val="20"/>
                <w:szCs w:val="20"/>
                <w:color w:val="auto"/>
              </w:rPr>
            </w:pPr>
            <w:r>
              <w:rPr>
                <w:rFonts w:ascii="Arial" w:cs="Arial" w:eastAsia="Arial" w:hAnsi="Arial"/>
                <w:sz w:val="6"/>
                <w:szCs w:val="6"/>
                <w:color w:val="auto"/>
              </w:rPr>
              <w:t>​</w:t>
            </w:r>
          </w:p>
        </w:tc>
        <w:tc>
          <w:tcPr>
            <w:tcW w:w="204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Did Not Disclose Demographic Background</w:t>
            </w:r>
          </w:p>
        </w:tc>
        <w:tc>
          <w:tcPr>
            <w:tcW w:w="50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w:t>
            </w:r>
          </w:p>
        </w:tc>
        <w:tc>
          <w:tcPr>
            <w:tcW w:w="4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0</w:t>
            </w:r>
          </w:p>
        </w:tc>
        <w:tc>
          <w:tcPr>
            <w:tcW w:w="66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700" w:type="dxa"/>
            <w:vAlign w:val="bottom"/>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040" w:type="dxa"/>
            <w:vAlign w:val="bottom"/>
            <w:shd w:val="clear" w:color="auto" w:fill="CCEEFF"/>
          </w:tcPr>
          <w:p>
            <w:pPr>
              <w:spacing w:after="0"/>
              <w:rPr>
                <w:sz w:val="4"/>
                <w:szCs w:val="4"/>
                <w:color w:val="auto"/>
              </w:rPr>
            </w:pPr>
          </w:p>
        </w:tc>
        <w:tc>
          <w:tcPr>
            <w:tcW w:w="500" w:type="dxa"/>
            <w:vAlign w:val="bottom"/>
            <w:gridSpan w:val="2"/>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400" w:type="dxa"/>
            <w:vAlign w:val="bottom"/>
            <w:vMerge w:val="continue"/>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2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1240" w:right="419" w:firstLine="360"/>
        <w:spacing w:after="0" w:line="273" w:lineRule="auto"/>
        <w:rPr>
          <w:sz w:val="20"/>
          <w:szCs w:val="20"/>
          <w:color w:val="auto"/>
        </w:rPr>
      </w:pPr>
      <w:r>
        <w:rPr>
          <w:rFonts w:ascii="Arial" w:cs="Arial" w:eastAsia="Arial" w:hAnsi="Arial"/>
          <w:sz w:val="18"/>
          <w:szCs w:val="18"/>
          <w:color w:val="auto"/>
        </w:rPr>
        <w:t xml:space="preserve">Our Board Diversity Matrix as of April 20, 2023 is included under “Management and Corporate Governance — Director Diversity” in our definitive proxy statement for our 2022 annual and special meeting of shareholders that we filed with the SEC on April 20, 2023, which is available on the website of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58" w:lineRule="exact"/>
        <w:rPr>
          <w:sz w:val="20"/>
          <w:szCs w:val="20"/>
          <w:color w:val="auto"/>
        </w:rPr>
      </w:pPr>
    </w:p>
    <w:p>
      <w:pPr>
        <w:jc w:val="both"/>
        <w:ind w:left="1240" w:right="419" w:firstLine="360"/>
        <w:spacing w:after="0" w:line="266" w:lineRule="auto"/>
        <w:rPr>
          <w:sz w:val="20"/>
          <w:szCs w:val="20"/>
          <w:color w:val="auto"/>
        </w:rPr>
      </w:pPr>
      <w:r>
        <w:rPr>
          <w:rFonts w:ascii="Arial" w:cs="Arial" w:eastAsia="Arial" w:hAnsi="Arial"/>
          <w:sz w:val="18"/>
          <w:szCs w:val="18"/>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Andrew Hall, Andrew Greig, Sheila Khama, Christian Madsbjerg, Amelia Kinahoi Siamomua, Andrei Karkar and Kathleen McAllister, representing seven (7) of the Company’s eight (8) directors, are “independent” as that term is defined under the applicable rules and regulations of the SEC and the listing requirements and rules of the Nasdaq. Andrew Greig serves as the Lead Independent Director of the board of directors.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 of our Board of Directors and Meetings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Meeting Attendance</w:t>
      </w:r>
    </w:p>
    <w:p>
      <w:pPr>
        <w:spacing w:after="0" w:line="156" w:lineRule="exact"/>
        <w:rPr>
          <w:sz w:val="20"/>
          <w:szCs w:val="20"/>
          <w:color w:val="auto"/>
        </w:rPr>
      </w:pPr>
    </w:p>
    <w:p>
      <w:pPr>
        <w:jc w:val="both"/>
        <w:ind w:left="1240" w:right="419" w:firstLine="360"/>
        <w:spacing w:after="0" w:line="267" w:lineRule="auto"/>
        <w:rPr>
          <w:sz w:val="20"/>
          <w:szCs w:val="20"/>
          <w:color w:val="auto"/>
        </w:rPr>
      </w:pPr>
      <w:r>
        <w:rPr>
          <w:rFonts w:ascii="Arial" w:cs="Arial" w:eastAsia="Arial" w:hAnsi="Arial"/>
          <w:sz w:val="18"/>
          <w:szCs w:val="18"/>
          <w:color w:val="auto"/>
        </w:rPr>
        <w:t>During the fiscal year ended December 31, 2022, there were nine meetings of our board of directors, and the various committees of our board of directors met a total of twenty-one times. No director attended fewer than 75% of the total number of meetings of our board of directors and of committees of our board of directors on which he or she served during fiscal 2022. Each member of our board of directors is strongly encouraged but is not required to attend each annual meeting of our shareholders. All directors attended our annual meeting of shareholders held in 2022.</w:t>
      </w:r>
    </w:p>
    <w:p>
      <w:pPr>
        <w:spacing w:after="0" w:line="40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6"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Our audit committee met nine times during fiscal 2022. Our audit committee consists of Kathleen McAllister, who serves as the chairperson, Andrew Hall and Sheila Khama. Each member of the audit committee qualifies as an independent director under the Nasdaq Listing Rules and the independence requirements of Rule 10A-3 under the Securities Exchange Act of 1934, as amended.</w:t>
      </w:r>
    </w:p>
    <w:p>
      <w:pPr>
        <w:spacing w:after="0" w:line="9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board of directors has determined that each of Ms. McAllister and Mr. Hall qualifies as an “audit committee financial expert”, as such term is defined in Item 407(d)(5) of Regulation S-K and possesses financial sophistication, as defined under the rules of Nasdaq.</w:t>
      </w:r>
    </w:p>
    <w:p>
      <w:pPr>
        <w:spacing w:after="0" w:line="103"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8"/>
          <w:szCs w:val="18"/>
          <w:color w:val="auto"/>
        </w:rPr>
        <w:t>The purpose of the audit committee is to prepare the audit committee report required by the SEC to be included in our proxy statement and to assist the board of directors in overseeing and monitoring</w:t>
      </w:r>
    </w:p>
    <w:p>
      <w:pPr>
        <w:spacing w:after="0" w:line="2" w:lineRule="exact"/>
        <w:rPr>
          <w:sz w:val="20"/>
          <w:szCs w:val="20"/>
          <w:color w:val="auto"/>
        </w:rPr>
      </w:pPr>
    </w:p>
    <w:p>
      <w:pPr>
        <w:jc w:val="both"/>
        <w:ind w:left="1240" w:right="419" w:firstLine="8"/>
        <w:spacing w:after="0" w:line="250" w:lineRule="auto"/>
        <w:tabs>
          <w:tab w:leader="none" w:pos="15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and integrity of the financial statements, (2) compliance with legal and regulatory requirements, (3) our independent registered public accounting firm’s qualifications and independence,</w:t>
      </w:r>
    </w:p>
    <w:p>
      <w:pPr>
        <w:ind w:left="1240" w:right="439" w:firstLine="8"/>
        <w:spacing w:after="0" w:line="266" w:lineRule="auto"/>
        <w:tabs>
          <w:tab w:leader="none" w:pos="15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(5) the performance of our independent registered public accounting firm.</w:t>
      </w:r>
    </w:p>
    <w:p>
      <w:pPr>
        <w:spacing w:after="0" w:line="104"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 xml:space="preserve">The board of directors has adopted a written charter for the audit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Committee Charters.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Our compensation committee met four times during fiscal 2022. Our compensation committee consists of Andrei Karkar, who serves as the chairperson, Sheila Khama and Andrew Greig. All members of the compensation committee qualify as independent under the definition promulgated by Nasdaq.</w:t>
      </w:r>
    </w:p>
    <w:p>
      <w:pPr>
        <w:spacing w:after="0" w:line="109"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equity-based compensation plans and</w:t>
      </w:r>
    </w:p>
    <w:p>
      <w:pPr>
        <w:spacing w:after="0" w:line="1" w:lineRule="exact"/>
        <w:rPr>
          <w:sz w:val="20"/>
          <w:szCs w:val="20"/>
          <w:color w:val="auto"/>
        </w:rPr>
      </w:pPr>
    </w:p>
    <w:p>
      <w:pPr>
        <w:ind w:left="1240" w:right="439" w:firstLine="8"/>
        <w:spacing w:after="0" w:line="266" w:lineRule="auto"/>
        <w:tabs>
          <w:tab w:leader="none" w:pos="15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to be included in our proxy statement under the rules and regulations of the SEC.</w:t>
      </w:r>
    </w:p>
    <w:p>
      <w:pPr>
        <w:spacing w:after="0" w:line="104"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 xml:space="preserve">The board of directors has adopted a written charter for the compensation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Committee Charters.</w:t>
      </w:r>
    </w:p>
    <w:p>
      <w:pPr>
        <w:spacing w:after="0" w:line="90"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compensation committee has adopted the following processes and procedures for the consideration and determination of executive and director compensation:</w:t>
      </w:r>
    </w:p>
    <w:p>
      <w:pPr>
        <w:spacing w:after="0" w:line="58" w:lineRule="exact"/>
        <w:rPr>
          <w:sz w:val="20"/>
          <w:szCs w:val="20"/>
          <w:color w:val="auto"/>
        </w:rPr>
      </w:pPr>
    </w:p>
    <w:p>
      <w:pPr>
        <w:jc w:val="both"/>
        <w:ind w:left="1780" w:right="419" w:hanging="172"/>
        <w:spacing w:after="0" w:line="254" w:lineRule="auto"/>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compensation committee’s independent compensation consultant during fiscal year 2022 was Frederic W. Cook &amp; Co. (“FW Cook”). FW Cook is engaged by, and reports directly to, the compensation committee, which has the sole authority to hire or fire FW Cook and to approve fee arrangements for work performed. FW Cook assists the compensation committee in fulfilling its responsibilities under its charter, including advising on proposed compensation packages for executive officers, compensation program design and market practices generally. The compensation committee has authorized FW Cook to interact with management on behalf of the compensation committee, as needed in connection with advising the compensation committee, and FW Cook is included in discussions with management and, when applicable, the compensation committee’s outside legal counsel on matters being brought to the compensation committee for consideration.</w:t>
      </w:r>
    </w:p>
    <w:p>
      <w:pPr>
        <w:spacing w:after="0" w:line="7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the compensation committee’s policy that the chair of the compensation committee or the full compensation committee pre-approve any additional services provided to management by our independent compensation consultant. In fiscal year 2022, FW Cook only did work for the compensation committee. The compensation committee has assessed the independence of FW Cook pursuant to SEC rules and concluded that FW Cook’s work for the compensation committee does not raise any conflict of interest.</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6"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Our nominating and corporate governance committee met four times during fiscal 2022. 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w:t>
      </w:r>
    </w:p>
    <w:p>
      <w:pPr>
        <w:spacing w:after="0" w:line="2" w:lineRule="exact"/>
        <w:rPr>
          <w:sz w:val="20"/>
          <w:szCs w:val="20"/>
          <w:color w:val="auto"/>
        </w:rPr>
      </w:pPr>
    </w:p>
    <w:p>
      <w:pPr>
        <w:jc w:val="both"/>
        <w:ind w:left="1240" w:right="419" w:firstLine="8"/>
        <w:spacing w:after="0" w:line="252" w:lineRule="auto"/>
        <w:tabs>
          <w:tab w:leader="none" w:pos="15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individuals qualified to become new board of directors members, consistent with the criteria approved by the board of directors, (2) 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10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 xml:space="preserve">The board of directors have adopted a written charter for the nominating and corporate governance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Committee Charters.</w:t>
      </w:r>
    </w:p>
    <w:p>
      <w:pPr>
        <w:spacing w:after="0" w:line="103"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Generally, our nominating and corporate governance committee considers candidates recommended by shareholders as well as from other sources such as other directors or officers, third party search firms or other appropriate sources. Once identified, the nominating and corporate governance committee will evaluate a candidate’s qualifications in accordance with our nominating and corporate governance committee’s written charter. Threshold criteria include: personal integrity and sound judgment, business and professional skills and experience, independence, knowledge of our industry, possible conflicts of interest, diversity, the extent to which the candidate would fill a present need on our board of directors, and concern for the long-term interests of our shareholders. The nominating and corporate governance committee has not adopted a formal diversity policy in connection with the consideration of director nominations or the selection of nominees. However, the nominating and corporate governance committee will consider issues of diversity among its members in identifying and considering nominees for director, and strive where appropriate to achieve a diverse balance of backgrounds, perspectives, experience, age, gender, ethnicity and country of citizenship on our board of directors and its committees.</w:t>
      </w:r>
    </w:p>
    <w:p>
      <w:pPr>
        <w:spacing w:after="0" w:line="11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a shareholder wishes to propose a candidate for consideration as a nominee for election to our board of directors, it must follow the procedures described in the Articles and in “Shareholder Proposals and Nominations for Director” at the end of this proxy statement. In general, persons recommended by shareholders will be considered in accordance with our nominating and corporate governance committee’s written charter. Any such recommendation should be made in writing to the nominating and corporate governance committee, care of our Corporate Secretary at our principal office and should be accompanied by the following information concerning each recommending shareholder and the beneficial owner</w:t>
      </w:r>
      <w:r>
        <w:rPr>
          <w:rFonts w:ascii="Arial" w:cs="Arial" w:eastAsia="Arial" w:hAnsi="Arial"/>
          <w:sz w:val="18"/>
          <w:szCs w:val="18"/>
          <w:b w:val="1"/>
          <w:bCs w:val="1"/>
          <w:color w:val="auto"/>
        </w:rPr>
        <w:t>,</w:t>
      </w:r>
      <w:r>
        <w:rPr>
          <w:rFonts w:ascii="Arial" w:cs="Arial" w:eastAsia="Arial" w:hAnsi="Arial"/>
          <w:sz w:val="18"/>
          <w:szCs w:val="18"/>
          <w:color w:val="auto"/>
        </w:rPr>
        <w:t xml:space="preserve"> if any, on whose behalf the nomination is made:</w:t>
      </w:r>
    </w:p>
    <w:p>
      <w:pPr>
        <w:spacing w:after="0" w:line="63" w:lineRule="exact"/>
        <w:rPr>
          <w:sz w:val="20"/>
          <w:szCs w:val="20"/>
          <w:color w:val="auto"/>
        </w:rPr>
      </w:pPr>
    </w:p>
    <w:p>
      <w:pPr>
        <w:ind w:left="1780" w:right="439" w:hanging="172"/>
        <w:spacing w:after="0" w:line="287"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information relating to such person that would be required to be disclosed in a proxy statement;</w:t>
      </w:r>
    </w:p>
    <w:p>
      <w:pPr>
        <w:spacing w:after="0" w:line="44"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biographical and share ownership information about the shareholder and any other proponent, including a description of any derivative transactions in the Company’s securities;</w:t>
      </w:r>
    </w:p>
    <w:p>
      <w:pPr>
        <w:spacing w:after="0" w:line="44" w:lineRule="exact"/>
        <w:rPr>
          <w:rFonts w:ascii="Arial" w:cs="Arial" w:eastAsia="Arial" w:hAnsi="Arial"/>
          <w:sz w:val="18"/>
          <w:szCs w:val="18"/>
          <w:color w:val="auto"/>
        </w:rPr>
      </w:pPr>
    </w:p>
    <w:p>
      <w:pPr>
        <w:jc w:val="both"/>
        <w:ind w:left="1780" w:right="439" w:hanging="172"/>
        <w:spacing w:after="0" w:line="268"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description of certain arrangements and understandings between the proposing shareholder and any beneficial owner and any other person in connection with such shareholder nomination; and</w:t>
      </w:r>
    </w:p>
    <w:p>
      <w:pPr>
        <w:spacing w:after="0" w:line="62"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statement whether or not either such shareholder or beneficial owner intends to deliver a proxy statement and form of proxy to holders of voting shares sufficient to carry the proposal.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439" w:firstLine="360"/>
        <w:spacing w:after="0" w:line="271" w:lineRule="auto"/>
        <w:rPr>
          <w:sz w:val="20"/>
          <w:szCs w:val="20"/>
          <w:color w:val="auto"/>
        </w:rPr>
      </w:pPr>
      <w:r>
        <w:rPr>
          <w:rFonts w:ascii="Arial" w:cs="Arial" w:eastAsia="Arial" w:hAnsi="Arial"/>
          <w:sz w:val="18"/>
          <w:szCs w:val="18"/>
          <w:color w:val="auto"/>
        </w:rPr>
        <w:t>The recommendation must also be accompanied by the following information concerning the proposed nominee:</w:t>
      </w:r>
    </w:p>
    <w:p>
      <w:pPr>
        <w:spacing w:after="0" w:line="46" w:lineRule="exact"/>
        <w:rPr>
          <w:sz w:val="20"/>
          <w:szCs w:val="20"/>
          <w:color w:val="auto"/>
        </w:rPr>
      </w:pPr>
    </w:p>
    <w:p>
      <w:pPr>
        <w:ind w:left="1780" w:hanging="172"/>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biographical information concerning the proposed nominee;</w:t>
      </w:r>
    </w:p>
    <w:p>
      <w:pPr>
        <w:spacing w:after="0" w:line="117"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information concerning the proposed nominee required to be disclosed in solicitations of proxies for election of directors;</w:t>
      </w:r>
    </w:p>
    <w:p>
      <w:pPr>
        <w:spacing w:after="0" w:line="44"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information about any other security holder of the Company who supports the proposed nominee;</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description of all relationships between the proposed nominee and the recommending shareholder or any beneficial owner, including any agreements or understandings regarding the nomination; and</w:t>
      </w:r>
    </w:p>
    <w:p>
      <w:pPr>
        <w:spacing w:after="0" w:line="49"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disclosures relating to shareholder nominees for directors, including completed questionnaires and disclosures required by our Articles.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Sustainability and Innovation Committee</w:t>
      </w:r>
    </w:p>
    <w:p>
      <w:pPr>
        <w:spacing w:after="0" w:line="156"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Our sustainability and innovation committee met four times during fiscal 2022. Our sustainability and innovation committee consists of Sheila Khama, who serves as the chairperson, Christian Madsbjerg and Amelia Kinahoi Siamomua.</w:t>
      </w:r>
    </w:p>
    <w:p>
      <w:pPr>
        <w:spacing w:after="0" w:line="94"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 xml:space="preserve">The board of directors have adopted a written charter for the sustainability and innovation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Committee Charters.</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Board Leadership Structure</w:t>
      </w:r>
    </w:p>
    <w:p>
      <w:pPr>
        <w:spacing w:after="0" w:line="158" w:lineRule="exact"/>
        <w:rPr>
          <w:sz w:val="20"/>
          <w:szCs w:val="20"/>
          <w:color w:val="auto"/>
        </w:rPr>
      </w:pPr>
    </w:p>
    <w:p>
      <w:pPr>
        <w:jc w:val="both"/>
        <w:ind w:left="1240" w:right="419" w:firstLine="360"/>
        <w:spacing w:after="0" w:line="258" w:lineRule="auto"/>
        <w:rPr>
          <w:sz w:val="20"/>
          <w:szCs w:val="20"/>
          <w:color w:val="auto"/>
        </w:rPr>
      </w:pPr>
      <w:r>
        <w:rPr>
          <w:rFonts w:ascii="Arial" w:cs="Arial" w:eastAsia="Arial" w:hAnsi="Arial"/>
          <w:sz w:val="17"/>
          <w:szCs w:val="17"/>
          <w:color w:val="auto"/>
        </w:rPr>
        <w:t>The positions of chairman of the board of directors and chief executive officer of the Company have historically been combined, and Gerard Barron currently holds both positions. We believe this board leadership structure is appropriate because of the efficiencies and institutional history with the positions held by Mr. Barron as the former chief executive officer and chairman of DeepGreen and of the subsequent combined entity following the closing of the Business Combination. Mr. Barron possess the detailed knowledge of our day-to-day operations and this has both informed and supported the decision-making processes of the board of directors as a whole. We have a strong governance structure in place, including the appointment of a lead independent director (currently Mr. Greig) as well as the remaining six independent directors, which seek to ensure the powers and duties of the dual role are handled responsibly. Furthermore, consistent with Nasdaq listing requirements, the independent directors regularly have the opportunity to meet in executive sessions without Mr. Barron in attendance.</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Role in Risk Oversight</w:t>
      </w:r>
    </w:p>
    <w:p>
      <w:pPr>
        <w:spacing w:after="0" w:line="158"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(including cybersecurity) and the appropriate mitigating factors. In addition, the board of directors will receive periodic detailed operating performance reviews from management.</w:t>
      </w: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Corporate Governance Guidelines</w:t>
      </w:r>
    </w:p>
    <w:p>
      <w:pPr>
        <w:spacing w:after="0" w:line="104" w:lineRule="exact"/>
        <w:rPr>
          <w:sz w:val="20"/>
          <w:szCs w:val="20"/>
          <w:color w:val="auto"/>
        </w:rPr>
      </w:pPr>
    </w:p>
    <w:p>
      <w:pPr>
        <w:jc w:val="both"/>
        <w:ind w:left="1240" w:right="1260" w:firstLine="360"/>
        <w:spacing w:after="0" w:line="243" w:lineRule="auto"/>
        <w:rPr>
          <w:sz w:val="20"/>
          <w:szCs w:val="20"/>
          <w:color w:val="auto"/>
        </w:rPr>
      </w:pPr>
      <w:r>
        <w:rPr>
          <w:rFonts w:ascii="Arial" w:cs="Arial" w:eastAsia="Arial" w:hAnsi="Arial"/>
          <w:sz w:val="18"/>
          <w:szCs w:val="18"/>
          <w:color w:val="auto"/>
        </w:rPr>
        <w:t xml:space="preserve">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Shareholder Communications to our Board of Directors</w:t>
      </w:r>
    </w:p>
    <w:p>
      <w:pPr>
        <w:spacing w:after="0" w:line="90" w:lineRule="exact"/>
        <w:rPr>
          <w:sz w:val="20"/>
          <w:szCs w:val="20"/>
          <w:color w:val="auto"/>
        </w:rPr>
      </w:pPr>
    </w:p>
    <w:p>
      <w:pPr>
        <w:jc w:val="both"/>
        <w:ind w:left="1240" w:right="1260" w:firstLine="360"/>
        <w:spacing w:after="0" w:line="226" w:lineRule="auto"/>
        <w:rPr>
          <w:sz w:val="20"/>
          <w:szCs w:val="20"/>
          <w:color w:val="auto"/>
        </w:rPr>
      </w:pPr>
      <w:r>
        <w:rPr>
          <w:rFonts w:ascii="Arial" w:cs="Arial" w:eastAsia="Arial" w:hAnsi="Arial"/>
          <w:sz w:val="18"/>
          <w:szCs w:val="18"/>
          <w:color w:val="auto"/>
        </w:rPr>
        <w:t>Generally, shareholders who have questions or concerns should contact our Investor Relations department at investors@metals.co. However, any shareholders who wish to address questions regarding our business directly with our board of directors, or any individual director, should direct his or her questions in writing to the chairperson of our board of directors at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2" w:lineRule="exact"/>
        <w:rPr>
          <w:sz w:val="20"/>
          <w:szCs w:val="20"/>
          <w:color w:val="auto"/>
        </w:rPr>
      </w:pPr>
    </w:p>
    <w:p>
      <w:pPr>
        <w:jc w:val="both"/>
        <w:ind w:left="1240" w:right="1260"/>
        <w:spacing w:after="0" w:line="245" w:lineRule="auto"/>
        <w:rPr>
          <w:sz w:val="20"/>
          <w:szCs w:val="20"/>
          <w:color w:val="auto"/>
        </w:rPr>
      </w:pPr>
      <w:r>
        <w:rPr>
          <w:rFonts w:ascii="Arial" w:cs="Arial" w:eastAsia="Arial" w:hAnsi="Arial"/>
          <w:sz w:val="18"/>
          <w:szCs w:val="18"/>
          <w:color w:val="auto"/>
        </w:rPr>
        <w:t>Vancouver, British Columbia, V6C 2T5. Communications will be distributed to our board of directors, or to any individual director or directors as appropriate, depending on the facts and circumstances outlined in the communications. Items that are unrelated to the duties and responsibilities of our board of directors may be excluded, such as:</w:t>
      </w:r>
    </w:p>
    <w:p>
      <w:pPr>
        <w:spacing w:after="0" w:line="28" w:lineRule="exact"/>
        <w:rPr>
          <w:sz w:val="20"/>
          <w:szCs w:val="20"/>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junk mail and mass mailings;</w:t>
      </w:r>
    </w:p>
    <w:p>
      <w:pPr>
        <w:spacing w:after="0" w:line="76"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90"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surveys; and</w:t>
      </w:r>
    </w:p>
    <w:p>
      <w:pPr>
        <w:spacing w:after="0" w:line="76"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solicitations or advertisements.</w:t>
      </w:r>
    </w:p>
    <w:p>
      <w:pPr>
        <w:spacing w:after="0" w:line="104" w:lineRule="exact"/>
        <w:rPr>
          <w:sz w:val="20"/>
          <w:szCs w:val="20"/>
          <w:color w:val="auto"/>
        </w:rPr>
      </w:pPr>
    </w:p>
    <w:p>
      <w:pPr>
        <w:ind w:left="1240" w:right="1280" w:firstLine="360"/>
        <w:spacing w:after="0" w:line="271" w:lineRule="auto"/>
        <w:rPr>
          <w:sz w:val="20"/>
          <w:szCs w:val="20"/>
          <w:color w:val="auto"/>
        </w:rPr>
      </w:pPr>
      <w:r>
        <w:rPr>
          <w:rFonts w:ascii="Arial" w:cs="Arial" w:eastAsia="Arial" w:hAnsi="Arial"/>
          <w:sz w:val="18"/>
          <w:szCs w:val="18"/>
          <w:color w:val="auto"/>
        </w:rPr>
        <w:t>In addition, any material that is unduly hostile, threatening, or illegal in nature may be excluded, in which case it will be made available to any outside director upon request.</w:t>
      </w:r>
    </w:p>
    <w:p>
      <w:pPr>
        <w:spacing w:after="0" w:line="10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Hedging Policy</w:t>
      </w:r>
    </w:p>
    <w:p>
      <w:pPr>
        <w:spacing w:after="0" w:line="104" w:lineRule="exact"/>
        <w:rPr>
          <w:sz w:val="20"/>
          <w:szCs w:val="20"/>
          <w:color w:val="auto"/>
        </w:rPr>
      </w:pPr>
    </w:p>
    <w:p>
      <w:pPr>
        <w:jc w:val="both"/>
        <w:ind w:left="1240" w:right="1260" w:firstLine="360"/>
        <w:spacing w:after="0" w:line="271" w:lineRule="auto"/>
        <w:rPr>
          <w:sz w:val="20"/>
          <w:szCs w:val="20"/>
          <w:color w:val="auto"/>
        </w:rPr>
      </w:pPr>
      <w:r>
        <w:rPr>
          <w:rFonts w:ascii="Arial" w:cs="Arial" w:eastAsia="Arial" w:hAnsi="Arial"/>
          <w:sz w:val="18"/>
          <w:szCs w:val="18"/>
          <w:color w:val="auto"/>
        </w:rPr>
        <w:t>Our insider trading policy explicitly prohibits the engagement of our employees, contracts, directors and officers to engage in short-term or speculative transactions involving our securities, which includes:</w:t>
      </w:r>
    </w:p>
    <w:p>
      <w:pPr>
        <w:spacing w:after="0" w:line="46" w:lineRule="exact"/>
        <w:rPr>
          <w:sz w:val="20"/>
          <w:szCs w:val="20"/>
          <w:color w:val="auto"/>
        </w:rPr>
      </w:pPr>
    </w:p>
    <w:p>
      <w:pPr>
        <w:ind w:left="1780" w:right="1280" w:hanging="172"/>
        <w:spacing w:after="0" w:line="287"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trading in our securities on a short-term basis (any of our common shares purchased in the open market must be held for a minimum of six months and ideally longer);</w:t>
      </w:r>
    </w:p>
    <w:p>
      <w:pPr>
        <w:spacing w:after="0" w:line="44" w:lineRule="exact"/>
        <w:rPr>
          <w:rFonts w:ascii="Arial" w:cs="Arial" w:eastAsia="Arial" w:hAnsi="Arial"/>
          <w:sz w:val="18"/>
          <w:szCs w:val="18"/>
          <w:color w:val="auto"/>
        </w:rPr>
      </w:pPr>
    </w:p>
    <w:p>
      <w:pPr>
        <w:jc w:val="both"/>
        <w:ind w:left="1780" w:right="1260" w:hanging="172"/>
        <w:spacing w:after="0" w:line="262"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purchasing of financial instruments (including prepaid variable forward contracts, equity swaps, puts, calls, straddles, collars and exchange funds) that are designed to hedge or offset any decrease in the market value of our equity securities and entering into other transactions with the same economic effect, including short sales;</w:t>
      </w:r>
    </w:p>
    <w:p>
      <w:pPr>
        <w:spacing w:after="0" w:line="68" w:lineRule="exact"/>
        <w:rPr>
          <w:rFonts w:ascii="Arial" w:cs="Arial" w:eastAsia="Arial" w:hAnsi="Arial"/>
          <w:sz w:val="18"/>
          <w:szCs w:val="18"/>
          <w:color w:val="auto"/>
        </w:rPr>
      </w:pPr>
    </w:p>
    <w:p>
      <w:pPr>
        <w:ind w:left="1780" w:hanging="172"/>
        <w:spacing w:after="0"/>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borrowing or other arrangements involving pledge of securities; and</w:t>
      </w:r>
    </w:p>
    <w:p>
      <w:pPr>
        <w:spacing w:after="0" w:line="117" w:lineRule="exact"/>
        <w:rPr>
          <w:rFonts w:ascii="Arial" w:cs="Arial" w:eastAsia="Arial" w:hAnsi="Arial"/>
          <w:sz w:val="18"/>
          <w:szCs w:val="18"/>
          <w:color w:val="auto"/>
        </w:rPr>
      </w:pPr>
    </w:p>
    <w:p>
      <w:pPr>
        <w:ind w:left="1780" w:right="1280" w:hanging="172"/>
        <w:spacing w:after="0" w:line="287"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selling a security future that establishes a position that increases in value as the value of the underlying equity security decreases.</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Executive Officers</w:t>
      </w:r>
    </w:p>
    <w:p>
      <w:pPr>
        <w:spacing w:after="0" w:line="104" w:lineRule="exact"/>
        <w:rPr>
          <w:sz w:val="20"/>
          <w:szCs w:val="20"/>
          <w:color w:val="auto"/>
        </w:rPr>
      </w:pPr>
    </w:p>
    <w:p>
      <w:pPr>
        <w:ind w:left="1240" w:right="1280" w:firstLine="360"/>
        <w:spacing w:after="0" w:line="255" w:lineRule="auto"/>
        <w:rPr>
          <w:sz w:val="20"/>
          <w:szCs w:val="20"/>
          <w:color w:val="auto"/>
        </w:rPr>
      </w:pPr>
      <w:r>
        <w:rPr>
          <w:rFonts w:ascii="Arial" w:cs="Arial" w:eastAsia="Arial" w:hAnsi="Arial"/>
          <w:sz w:val="18"/>
          <w:szCs w:val="18"/>
          <w:color w:val="auto"/>
        </w:rPr>
        <w:t>The following table sets forth certain information as of April 20, 2023 regarding our executive officers. We have employment agreements with executive officers.</w:t>
      </w:r>
    </w:p>
    <w:tbl>
      <w:tblPr>
        <w:tblLayout w:type="fixed"/>
        <w:tblInd w:w="0" w:type="dxa"/>
        <w:tblCellMar>
          <w:top w:w="0" w:type="dxa"/>
          <w:left w:w="0" w:type="dxa"/>
          <w:bottom w:w="0" w:type="dxa"/>
          <w:right w:w="0" w:type="dxa"/>
        </w:tblCellMar>
      </w:tblPr>
      <w:tr>
        <w:trPr>
          <w:trHeight w:val="275"/>
        </w:trPr>
        <w:tc>
          <w:tcPr>
            <w:tcW w:w="1240" w:type="dxa"/>
            <w:vAlign w:val="bottom"/>
          </w:tcPr>
          <w:p>
            <w:pPr>
              <w:spacing w:after="0"/>
              <w:rPr>
                <w:sz w:val="23"/>
                <w:szCs w:val="23"/>
                <w:color w:val="auto"/>
              </w:rPr>
            </w:pPr>
          </w:p>
        </w:tc>
        <w:tc>
          <w:tcPr>
            <w:tcW w:w="1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240" w:type="dxa"/>
            <w:vAlign w:val="bottom"/>
            <w:gridSpan w:val="5"/>
          </w:tcPr>
          <w:p>
            <w:pPr>
              <w:ind w:left="320"/>
              <w:spacing w:after="0" w:line="262"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Age </w:t>
            </w: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Position</w:t>
            </w:r>
          </w:p>
        </w:tc>
        <w:tc>
          <w:tcPr>
            <w:tcW w:w="128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89"/>
        </w:trPr>
        <w:tc>
          <w:tcPr>
            <w:tcW w:w="1240" w:type="dxa"/>
            <w:vAlign w:val="bottom"/>
          </w:tcPr>
          <w:p>
            <w:pPr>
              <w:spacing w:after="0"/>
              <w:rPr>
                <w:sz w:val="16"/>
                <w:szCs w:val="16"/>
                <w:color w:val="auto"/>
              </w:rPr>
            </w:pPr>
          </w:p>
        </w:tc>
        <w:tc>
          <w:tcPr>
            <w:tcW w:w="1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420" w:type="dxa"/>
            <w:vAlign w:val="bottom"/>
            <w:tcBorders>
              <w:top w:val="single" w:sz="8" w:color="auto"/>
            </w:tcBorders>
          </w:tcPr>
          <w:p>
            <w:pPr>
              <w:ind w:left="320"/>
              <w:spacing w:after="0" w:line="189" w:lineRule="exact"/>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line="189" w:lineRule="exact"/>
              <w:rPr>
                <w:sz w:val="20"/>
                <w:szCs w:val="20"/>
                <w:color w:val="auto"/>
              </w:rPr>
            </w:pPr>
            <w:r>
              <w:rPr>
                <w:rFonts w:ascii="Arial" w:cs="Arial" w:eastAsia="Arial" w:hAnsi="Arial"/>
                <w:sz w:val="18"/>
                <w:szCs w:val="18"/>
                <w:b w:val="1"/>
                <w:bCs w:val="1"/>
                <w:color w:val="auto"/>
              </w:rPr>
              <w:t>​ ​</w:t>
            </w:r>
          </w:p>
        </w:tc>
        <w:tc>
          <w:tcPr>
            <w:tcW w:w="5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spacing w:after="0" w:line="189" w:lineRule="exact"/>
              <w:rPr>
                <w:sz w:val="20"/>
                <w:szCs w:val="20"/>
                <w:color w:val="auto"/>
              </w:rPr>
            </w:pPr>
            <w:r>
              <w:rPr>
                <w:rFonts w:ascii="Arial" w:cs="Arial" w:eastAsia="Arial" w:hAnsi="Arial"/>
                <w:sz w:val="18"/>
                <w:szCs w:val="18"/>
                <w:b w:val="1"/>
                <w:bCs w:val="1"/>
                <w:color w:val="auto"/>
              </w:rPr>
              <w:t>​</w:t>
            </w:r>
          </w:p>
        </w:tc>
      </w:tr>
      <w:tr>
        <w:trPr>
          <w:trHeight w:val="224"/>
        </w:trPr>
        <w:tc>
          <w:tcPr>
            <w:tcW w:w="124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Gerard Barron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2"/>
          </w:tcPr>
          <w:p>
            <w:pPr>
              <w:spacing w:after="0" w:line="224"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4"/>
                <w:szCs w:val="14"/>
                <w:color w:val="auto"/>
              </w:rPr>
              <w:t xml:space="preserve"> Chief Executive Officer and Chairman of the Board of Directors</w:t>
            </w:r>
          </w:p>
        </w:tc>
        <w:tc>
          <w:tcPr>
            <w:tcW w:w="128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124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Anthony O’Sullivan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5420" w:type="dxa"/>
            <w:vAlign w:val="bottom"/>
            <w:gridSpan w:val="2"/>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Chief Development Officer</w:t>
            </w:r>
          </w:p>
        </w:tc>
        <w:tc>
          <w:tcPr>
            <w:tcW w:w="128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124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Erika Ilves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5420" w:type="dxa"/>
            <w:vAlign w:val="bottom"/>
            <w:gridSpan w:val="2"/>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Chief Strategy Officer</w:t>
            </w:r>
          </w:p>
        </w:tc>
        <w:tc>
          <w:tcPr>
            <w:tcW w:w="1280" w:type="dxa"/>
            <w:vAlign w:val="bottom"/>
          </w:tcPr>
          <w:p>
            <w:pPr>
              <w:spacing w:after="0"/>
              <w:rPr>
                <w:sz w:val="20"/>
                <w:szCs w:val="20"/>
                <w:color w:val="auto"/>
              </w:rPr>
            </w:pPr>
            <w:r>
              <w:rPr>
                <w:rFonts w:ascii="Arial" w:cs="Arial" w:eastAsia="Arial" w:hAnsi="Arial"/>
                <w:sz w:val="18"/>
                <w:szCs w:val="18"/>
                <w:color w:val="auto"/>
              </w:rPr>
              <w:t>​</w:t>
            </w:r>
          </w:p>
        </w:tc>
      </w:tr>
      <w:tr>
        <w:trPr>
          <w:trHeight w:val="229"/>
        </w:trPr>
        <w:tc>
          <w:tcPr>
            <w:tcW w:w="124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Craig Shesky</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5420" w:type="dxa"/>
            <w:vAlign w:val="bottom"/>
            <w:gridSpan w:val="2"/>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Chief Financial Officer</w:t>
            </w:r>
          </w:p>
        </w:tc>
        <w:tc>
          <w:tcPr>
            <w:tcW w:w="1280" w:type="dxa"/>
            <w:vAlign w:val="bottom"/>
          </w:tcPr>
          <w:p>
            <w:pPr>
              <w:spacing w:after="0"/>
              <w:rPr>
                <w:sz w:val="20"/>
                <w:szCs w:val="20"/>
                <w:color w:val="auto"/>
              </w:rPr>
            </w:pPr>
            <w:r>
              <w:rPr>
                <w:rFonts w:ascii="Arial" w:cs="Arial" w:eastAsia="Arial" w:hAnsi="Arial"/>
                <w:sz w:val="18"/>
                <w:szCs w:val="18"/>
                <w:color w:val="auto"/>
              </w:rPr>
              <w:t>​</w:t>
            </w:r>
          </w:p>
        </w:tc>
      </w:tr>
      <w:tr>
        <w:trPr>
          <w:trHeight w:val="483"/>
        </w:trPr>
        <w:tc>
          <w:tcPr>
            <w:tcW w:w="124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Dr. Gregory Stone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5420" w:type="dxa"/>
            <w:vAlign w:val="bottom"/>
            <w:gridSpan w:val="2"/>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Chief Ocean Scientist</w:t>
            </w:r>
          </w:p>
        </w:tc>
        <w:tc>
          <w:tcPr>
            <w:tcW w:w="1280" w:type="dxa"/>
            <w:vAlign w:val="bottom"/>
          </w:tcPr>
          <w:p>
            <w:pPr>
              <w:spacing w:after="0"/>
              <w:rPr>
                <w:sz w:val="20"/>
                <w:szCs w:val="20"/>
                <w:color w:val="auto"/>
              </w:rPr>
            </w:pPr>
            <w:r>
              <w:rPr>
                <w:rFonts w:ascii="Arial" w:cs="Arial" w:eastAsia="Arial" w:hAnsi="Arial"/>
                <w:sz w:val="18"/>
                <w:szCs w:val="18"/>
                <w:color w:val="auto"/>
              </w:rPr>
              <w:t>​</w:t>
            </w:r>
          </w:p>
        </w:tc>
      </w:tr>
      <w:tr>
        <w:trPr>
          <w:trHeight w:val="431"/>
        </w:trPr>
        <w:tc>
          <w:tcPr>
            <w:tcW w:w="1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gridSpan w:val="2"/>
          </w:tcPr>
          <w:p>
            <w:pPr>
              <w:ind w:left="1200"/>
              <w:spacing w:after="0"/>
              <w:rPr>
                <w:sz w:val="20"/>
                <w:szCs w:val="20"/>
                <w:color w:val="auto"/>
              </w:rPr>
            </w:pPr>
            <w:r>
              <w:rPr>
                <w:rFonts w:ascii="Arial" w:cs="Arial" w:eastAsia="Arial" w:hAnsi="Arial"/>
                <w:sz w:val="18"/>
                <w:szCs w:val="18"/>
                <w:color w:val="auto"/>
              </w:rPr>
              <w:t>17</w:t>
            </w:r>
          </w:p>
        </w:tc>
        <w:tc>
          <w:tcPr>
            <w:tcW w:w="1280" w:type="dxa"/>
            <w:vAlign w:val="bottom"/>
          </w:tcPr>
          <w:p>
            <w:pPr>
              <w:spacing w:after="0"/>
              <w:rPr>
                <w:sz w:val="24"/>
                <w:szCs w:val="24"/>
                <w:color w:val="auto"/>
              </w:rPr>
            </w:pPr>
          </w:p>
        </w:tc>
      </w:tr>
      <w:tr>
        <w:trPr>
          <w:trHeight w:val="354"/>
        </w:trPr>
        <w:tc>
          <w:tcPr>
            <w:tcW w:w="12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See Mr. Barron’s biography above.</w:t>
      </w:r>
    </w:p>
    <w:p>
      <w:pPr>
        <w:spacing w:after="0" w:line="90"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b w:val="1"/>
          <w:bCs w:val="1"/>
          <w:i w:val="1"/>
          <w:iCs w:val="1"/>
          <w:color w:val="auto"/>
        </w:rPr>
        <w:t xml:space="preserve">Anthony O’Sullivan </w:t>
      </w:r>
      <w:r>
        <w:rPr>
          <w:rFonts w:ascii="Arial" w:cs="Arial" w:eastAsia="Arial" w:hAnsi="Arial"/>
          <w:sz w:val="18"/>
          <w:szCs w:val="18"/>
          <w:color w:val="auto"/>
        </w:rPr>
        <w:t>has served as our Chief Development Officer since the Closing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and has served as DeepGreen’s Chief 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 Mr. O’Sullivan earned a M.Sc. in Mineral Exploration from the University of Western Australia and a B.Sc. (Hons) in Geology from the University of Western Australia.</w:t>
      </w:r>
    </w:p>
    <w:p>
      <w:pPr>
        <w:spacing w:after="0" w:line="69"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b w:val="1"/>
          <w:bCs w:val="1"/>
          <w:i w:val="1"/>
          <w:iCs w:val="1"/>
          <w:color w:val="auto"/>
        </w:rPr>
        <w:t xml:space="preserve">Erika Ilves </w:t>
      </w:r>
      <w:r>
        <w:rPr>
          <w:rFonts w:ascii="Arial" w:cs="Arial" w:eastAsia="Arial" w:hAnsi="Arial"/>
          <w:sz w:val="18"/>
          <w:szCs w:val="18"/>
          <w:color w:val="auto"/>
        </w:rPr>
        <w:t>has served as our Chief Strategy Officer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and has served as DeepGreen’s Head of Strategy and Business 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 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 magna cum laude from the University of Tartu.</w:t>
      </w:r>
    </w:p>
    <w:p>
      <w:pPr>
        <w:spacing w:after="0" w:line="63"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b w:val="1"/>
          <w:bCs w:val="1"/>
          <w:i w:val="1"/>
          <w:iCs w:val="1"/>
          <w:color w:val="auto"/>
        </w:rPr>
        <w:t xml:space="preserve">Craig Shesky </w:t>
      </w:r>
      <w:r>
        <w:rPr>
          <w:rFonts w:ascii="Arial" w:cs="Arial" w:eastAsia="Arial" w:hAnsi="Arial"/>
          <w:sz w:val="18"/>
          <w:szCs w:val="18"/>
          <w:color w:val="auto"/>
        </w:rPr>
        <w:t>has served as our Chief Financial Officer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and has served as DeepGreen’s Head of Financial Markets 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71" w:lineRule="auto"/>
        <w:rPr>
          <w:sz w:val="20"/>
          <w:szCs w:val="20"/>
          <w:color w:val="auto"/>
        </w:rPr>
      </w:pPr>
      <w:r>
        <w:rPr>
          <w:rFonts w:ascii="Arial" w:cs="Arial" w:eastAsia="Arial" w:hAnsi="Arial"/>
          <w:sz w:val="18"/>
          <w:szCs w:val="18"/>
          <w:color w:val="auto"/>
        </w:rPr>
        <w:t>investment banking team at Morgan Stanley. Mr. Shesky graduated magna cum laude with a B.S. in Finance from the University of Notre Dame.</w:t>
      </w:r>
    </w:p>
    <w:p>
      <w:pPr>
        <w:spacing w:after="0" w:line="32"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i w:val="1"/>
          <w:iCs w:val="1"/>
          <w:color w:val="auto"/>
        </w:rPr>
        <w:t xml:space="preserve">Gregory Stone, Ph.D. </w:t>
      </w:r>
      <w:r>
        <w:rPr>
          <w:rFonts w:ascii="Arial" w:cs="Arial" w:eastAsia="Arial" w:hAnsi="Arial"/>
          <w:sz w:val="18"/>
          <w:szCs w:val="18"/>
          <w:color w:val="auto"/>
        </w:rPr>
        <w:t>has served as our Chief Ocean Officer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Combination and has served as a Director and Chief Ocean Officer of DeepGreen since February 2018. In January 2020, Dr. Stone founded Pole-to-Pole, a non-profit organization with a mission to apply practical solutions to the problems facing Earth’s ocean, and has been serving as the organization’s Chairman since that time. Dr. Stone is an ocean scientist and explorer with over 10,000 dives throughout Earth’s ocean down to 18,000 feet using submarines, SCUBA, underwater habitats and robotics. Dr. Stone is also widely known as a global thought leader who finds ways for humanity and the ocean to co-exist and support each other in the modern world. Dr. Stone was a catalyst at the genesis of the Ocean Health Index, a scientific framework used to measure oceans’ health, and specializes in sustainable fishing, aquaculture, climate adaptation and seamount ecology. Dr. Stone’s ability to communicate complex science is illustrated by his compelling TED and World Economic Forum talks, and his appearances in documentaries for the Discovery Channel and National Geographic. Dr. Stone has authored hundreds of publications including articles for </w:t>
      </w:r>
      <w:r>
        <w:rPr>
          <w:rFonts w:ascii="Arial" w:cs="Arial" w:eastAsia="Arial" w:hAnsi="Arial"/>
          <w:sz w:val="18"/>
          <w:szCs w:val="18"/>
          <w:i w:val="1"/>
          <w:iCs w:val="1"/>
          <w:color w:val="auto"/>
        </w:rPr>
        <w:t>Nature</w:t>
      </w:r>
      <w:r>
        <w:rPr>
          <w:rFonts w:ascii="Arial" w:cs="Arial" w:eastAsia="Arial" w:hAnsi="Arial"/>
          <w:sz w:val="18"/>
          <w:szCs w:val="18"/>
          <w:color w:val="auto"/>
        </w:rPr>
        <w:t xml:space="preserve">, </w:t>
      </w:r>
      <w:r>
        <w:rPr>
          <w:rFonts w:ascii="Arial" w:cs="Arial" w:eastAsia="Arial" w:hAnsi="Arial"/>
          <w:sz w:val="18"/>
          <w:szCs w:val="18"/>
          <w:i w:val="1"/>
          <w:iCs w:val="1"/>
          <w:color w:val="auto"/>
        </w:rPr>
        <w:t>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Geographic</w:t>
      </w:r>
      <w:r>
        <w:rPr>
          <w:rFonts w:ascii="Arial" w:cs="Arial" w:eastAsia="Arial" w:hAnsi="Arial"/>
          <w:sz w:val="18"/>
          <w:szCs w:val="18"/>
          <w:color w:val="auto"/>
        </w:rPr>
        <w:t>, and four books, one of which is a National Outdoor Book Award winner. Dr. Stone’s</w:t>
      </w:r>
      <w:r>
        <w:rPr>
          <w:rFonts w:ascii="Arial" w:cs="Arial" w:eastAsia="Arial" w:hAnsi="Arial"/>
          <w:sz w:val="18"/>
          <w:szCs w:val="18"/>
          <w:i w:val="1"/>
          <w:iCs w:val="1"/>
          <w:color w:val="auto"/>
        </w:rPr>
        <w:t xml:space="preserve"> </w:t>
      </w:r>
      <w:r>
        <w:rPr>
          <w:rFonts w:ascii="Arial" w:cs="Arial" w:eastAsia="Arial" w:hAnsi="Arial"/>
          <w:sz w:val="18"/>
          <w:szCs w:val="18"/>
          <w:color w:val="auto"/>
        </w:rPr>
        <w:t>numerous accolades and professional associations include the Explorers Club, Pew Fellowship for Marine Conservation, National Geographic Hero, the Boston Sea Rover’s Diver of the year, Order of Kiribati Medal, the U.S. National Science Foundation/Navy Antarctic Service medal, and a NOGI Award from National Academy of Underwater Arts and Sciences. Dr. Stone is also a Senior Science Advisor to the Special Envoy for Ocean and the World Economic Forum Ocean Program. From September 2008 to February 2018, Dr. Stone served as Chief Scientist for Conservation International and head of the Global Ocean Program. Dr. Stone earned a Ph.D. in Marine Science from the University of the South Pacific, a M.Sc. in Marine Policy from the University of Rhode Island and a B.A. in Human Ecology and Marine Biology from the College of the Atlantic.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Introduction</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1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We are currently considered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​(“NEOs”), which are the individuals who served as principal executive officer and the next two most highly compensated executive officers for the fiscal year ended December 31, 2022. As of December 31, 2022, our NEOs were:</w:t>
      </w:r>
    </w:p>
    <w:p>
      <w:pPr>
        <w:spacing w:after="0" w:line="77" w:lineRule="exact"/>
        <w:rPr>
          <w:sz w:val="20"/>
          <w:szCs w:val="20"/>
          <w:color w:val="auto"/>
        </w:rPr>
      </w:pPr>
    </w:p>
    <w:p>
      <w:pPr>
        <w:ind w:left="1780" w:hanging="172"/>
        <w:spacing w:after="0"/>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30" w:lineRule="exact"/>
        <w:rPr>
          <w:rFonts w:ascii="Arial" w:cs="Arial" w:eastAsia="Arial" w:hAnsi="Arial"/>
          <w:sz w:val="18"/>
          <w:szCs w:val="18"/>
          <w:color w:val="auto"/>
        </w:rPr>
      </w:pPr>
    </w:p>
    <w:p>
      <w:pPr>
        <w:ind w:left="1780" w:hanging="172"/>
        <w:spacing w:after="0"/>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Anthony O’Sullivan, Chief Development Officer;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Craig Shesky, Chief Financial Officer</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Our current executive compensation plan has been in place since September 9, 2021 and is the ongoing compensation program post-Business Combination. Our current executive compensation plan includes base salaries, Short-Term Incentive Program (paid in restricted share units for 2022), and a Long-Term Incentive Program (granted in the form of restricted share units grants for 2022).</w:t>
      </w:r>
    </w:p>
    <w:p>
      <w:pPr>
        <w:spacing w:after="0" w:line="9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In 2022, our executive compensation program was designed to provide our named executive officers with meaningful incentives and rewards, while effectively balancing the short-term and long-term interests of our shareholders with our ability to attract and retain talented executives. The compensation committee of our board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p>
      <w:pPr>
        <w:spacing w:after="0" w:line="46" w:lineRule="exact"/>
        <w:rPr>
          <w:sz w:val="20"/>
          <w:szCs w:val="20"/>
          <w:color w:val="auto"/>
        </w:rPr>
      </w:pPr>
    </w:p>
    <w:p>
      <w:pPr>
        <w:ind w:left="1780" w:right="419" w:hanging="172"/>
        <w:spacing w:after="0" w:line="287"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 shareholder value by aligning the financial interests of our named executive officers with those of our shareholders;</w:t>
      </w:r>
    </w:p>
    <w:p>
      <w:pPr>
        <w:spacing w:after="0" w:line="17" w:lineRule="exact"/>
        <w:rPr>
          <w:rFonts w:ascii="Arial" w:cs="Arial" w:eastAsia="Arial" w:hAnsi="Arial"/>
          <w:sz w:val="18"/>
          <w:szCs w:val="18"/>
          <w:color w:val="auto"/>
        </w:rPr>
      </w:pPr>
    </w:p>
    <w:p>
      <w:pPr>
        <w:ind w:left="1780" w:hanging="172"/>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enable us to attract, motivate and retain the people needed to define and lead our industry;</w:t>
      </w:r>
    </w:p>
    <w:p>
      <w:pPr>
        <w:spacing w:after="0" w:line="76"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integrate compensation closely with the achievement of our business and performance objectives; and</w:t>
      </w:r>
    </w:p>
    <w:p>
      <w:pPr>
        <w:spacing w:after="0" w:line="17" w:lineRule="exact"/>
        <w:rPr>
          <w:rFonts w:ascii="Arial" w:cs="Arial" w:eastAsia="Arial" w:hAnsi="Arial"/>
          <w:sz w:val="18"/>
          <w:szCs w:val="18"/>
          <w:color w:val="auto"/>
        </w:rPr>
      </w:pPr>
    </w:p>
    <w:p>
      <w:pPr>
        <w:ind w:left="1780" w:hanging="172"/>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reward the individual performance that contributes to our short-term and long-term success.</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compensation committee utilized and relied significantly on a competitive market analysis when determining the size, components and mix of our named executive officers’ compensation packages.</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NEOs’ target annual compensation consists of three principal components: (a) base salary,</w:t>
      </w:r>
    </w:p>
    <w:p>
      <w:pPr>
        <w:spacing w:after="0" w:line="27" w:lineRule="exact"/>
        <w:rPr>
          <w:sz w:val="20"/>
          <w:szCs w:val="20"/>
          <w:color w:val="auto"/>
        </w:rPr>
      </w:pPr>
    </w:p>
    <w:p>
      <w:pPr>
        <w:jc w:val="both"/>
        <w:ind w:left="1240" w:right="419" w:firstLine="8"/>
        <w:spacing w:after="0" w:line="253" w:lineRule="auto"/>
        <w:tabs>
          <w:tab w:leader="none" w:pos="15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annual performance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 equity compensation component and is primarily designed to incentivize and retain our executives over a multi-year period and to reward the achievement of our long-term financial and strategic objectives.</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Our executive compensation program consists of three principal components: base salary, STIP (together with base salary, “total cash compensation”), and the LTIP. The LTIP consists primarily of restricted share units (“RSUs”), and prior to the Business Combination, stock options, that each vest over time based on continued employment and, in some cases, the achievement of performance and market goals.</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Key Components of Our 2022 Compensation Plans</w:t>
      </w:r>
    </w:p>
    <w:p>
      <w:pPr>
        <w:spacing w:after="0" w:line="194"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00" w:type="dxa"/>
            <w:vAlign w:val="bottom"/>
            <w:gridSpan w:val="3"/>
          </w:tcPr>
          <w:p>
            <w:pPr>
              <w:spacing w:after="0" w:line="172" w:lineRule="exact"/>
              <w:rPr>
                <w:sz w:val="20"/>
                <w:szCs w:val="20"/>
                <w:color w:val="auto"/>
              </w:rPr>
            </w:pPr>
            <w:r>
              <w:rPr>
                <w:rFonts w:ascii="Arial" w:cs="Arial" w:eastAsia="Arial" w:hAnsi="Arial"/>
                <w:sz w:val="11"/>
                <w:szCs w:val="11"/>
                <w:b w:val="1"/>
                <w:bCs w:val="1"/>
                <w:color w:val="auto"/>
              </w:rPr>
              <w:t xml:space="preserve">Compensation Element  </w:t>
            </w:r>
            <w:r>
              <w:rPr>
                <w:rFonts w:ascii="Arial" w:cs="Arial" w:eastAsia="Arial" w:hAnsi="Arial"/>
                <w:sz w:val="19"/>
                <w:szCs w:val="19"/>
                <w:b w:val="1"/>
                <w:bCs w:val="1"/>
                <w:color w:val="auto"/>
                <w:vertAlign w:val="subscript"/>
              </w:rPr>
              <w:t>​​</w:t>
            </w:r>
            <w:r>
              <w:rPr>
                <w:rFonts w:ascii="Arial" w:cs="Arial" w:eastAsia="Arial" w:hAnsi="Arial"/>
                <w:sz w:val="11"/>
                <w:szCs w:val="11"/>
                <w:b w:val="1"/>
                <w:bCs w:val="1"/>
                <w:color w:val="auto"/>
              </w:rPr>
              <w:t>Primary Purpose</w:t>
            </w:r>
          </w:p>
        </w:tc>
        <w:tc>
          <w:tcPr>
            <w:tcW w:w="220" w:type="dxa"/>
            <w:vAlign w:val="bottom"/>
          </w:tcPr>
          <w:p>
            <w:pPr>
              <w:spacing w:after="0"/>
              <w:rPr>
                <w:sz w:val="14"/>
                <w:szCs w:val="14"/>
                <w:color w:val="auto"/>
              </w:rPr>
            </w:pPr>
          </w:p>
        </w:tc>
        <w:tc>
          <w:tcPr>
            <w:tcW w:w="1100" w:type="dxa"/>
            <w:vAlign w:val="bottom"/>
            <w:gridSpan w:val="3"/>
          </w:tcPr>
          <w:p>
            <w:pPr>
              <w:spacing w:after="0" w:line="172" w:lineRule="exact"/>
              <w:rPr>
                <w:sz w:val="20"/>
                <w:szCs w:val="20"/>
                <w:color w:val="auto"/>
              </w:rPr>
            </w:pPr>
            <w:r>
              <w:rPr>
                <w:rFonts w:ascii="Arial" w:cs="Arial" w:eastAsia="Arial" w:hAnsi="Arial"/>
                <w:sz w:val="19"/>
                <w:szCs w:val="19"/>
                <w:b w:val="1"/>
                <w:bCs w:val="1"/>
                <w:color w:val="auto"/>
                <w:vertAlign w:val="subscript"/>
              </w:rPr>
              <w:t>​ ​</w:t>
            </w:r>
            <w:r>
              <w:rPr>
                <w:rFonts w:ascii="Arial" w:cs="Arial" w:eastAsia="Arial" w:hAnsi="Arial"/>
                <w:sz w:val="11"/>
                <w:szCs w:val="11"/>
                <w:b w:val="1"/>
                <w:bCs w:val="1"/>
                <w:color w:val="auto"/>
              </w:rPr>
              <w:t xml:space="preserve"> Period</w:t>
            </w:r>
          </w:p>
        </w:tc>
        <w:tc>
          <w:tcPr>
            <w:tcW w:w="3780" w:type="dxa"/>
            <w:vAlign w:val="bottom"/>
            <w:gridSpan w:val="2"/>
          </w:tcPr>
          <w:p>
            <w:pPr>
              <w:ind w:left="20"/>
              <w:spacing w:after="0" w:line="172" w:lineRule="exact"/>
              <w:rPr>
                <w:sz w:val="20"/>
                <w:szCs w:val="20"/>
                <w:color w:val="auto"/>
              </w:rPr>
            </w:pPr>
            <w:r>
              <w:rPr>
                <w:rFonts w:ascii="Arial" w:cs="Arial" w:eastAsia="Arial" w:hAnsi="Arial"/>
                <w:sz w:val="19"/>
                <w:szCs w:val="19"/>
                <w:b w:val="1"/>
                <w:bCs w:val="1"/>
                <w:color w:val="auto"/>
                <w:vertAlign w:val="subscript"/>
              </w:rPr>
              <w:t>​ ​</w:t>
            </w:r>
            <w:r>
              <w:rPr>
                <w:rFonts w:ascii="Arial" w:cs="Arial" w:eastAsia="Arial" w:hAnsi="Arial"/>
                <w:sz w:val="11"/>
                <w:szCs w:val="11"/>
                <w:b w:val="1"/>
                <w:bCs w:val="1"/>
                <w:color w:val="auto"/>
              </w:rPr>
              <w:t xml:space="preserve"> Details</w:t>
            </w:r>
          </w:p>
        </w:tc>
        <w:tc>
          <w:tcPr>
            <w:tcW w:w="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gridSpan w:val="2"/>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100" w:type="dxa"/>
            <w:vAlign w:val="bottom"/>
            <w:gridSpan w:val="6"/>
          </w:tcPr>
          <w:p>
            <w:pPr>
              <w:ind w:left="140"/>
              <w:spacing w:after="0"/>
              <w:rPr>
                <w:sz w:val="20"/>
                <w:szCs w:val="20"/>
                <w:color w:val="auto"/>
              </w:rPr>
            </w:pPr>
            <w:r>
              <w:rPr>
                <w:rFonts w:ascii="Arial" w:cs="Arial" w:eastAsia="Arial" w:hAnsi="Arial"/>
                <w:sz w:val="18"/>
                <w:szCs w:val="18"/>
                <w:b w:val="1"/>
                <w:bCs w:val="1"/>
                <w:color w:val="auto"/>
              </w:rPr>
              <w:t>Cash Compensation</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tbl>
      <w:tblPr>
        <w:tblLayout w:type="fixed"/>
        <w:tblInd w:w="1240" w:type="dxa"/>
        <w:tblCellMar>
          <w:top w:w="0" w:type="dxa"/>
          <w:left w:w="0" w:type="dxa"/>
          <w:bottom w:w="0" w:type="dxa"/>
          <w:right w:w="0" w:type="dxa"/>
        </w:tblCellMar>
      </w:tblPr>
      <w:tr>
        <w:trPr>
          <w:trHeight w:val="225"/>
        </w:trPr>
        <w:tc>
          <w:tcPr>
            <w:tcW w:w="1340" w:type="dxa"/>
            <w:vAlign w:val="bottom"/>
          </w:tcPr>
          <w:p>
            <w:pPr>
              <w:spacing w:after="0"/>
              <w:rPr>
                <w:sz w:val="20"/>
                <w:szCs w:val="20"/>
                <w:color w:val="auto"/>
              </w:rPr>
            </w:pPr>
            <w:r>
              <w:rPr>
                <w:rFonts w:ascii="Arial" w:cs="Arial" w:eastAsia="Arial" w:hAnsi="Arial"/>
                <w:sz w:val="18"/>
                <w:szCs w:val="18"/>
                <w:color w:val="auto"/>
              </w:rPr>
              <w:t>Base Salary</w:t>
            </w:r>
          </w:p>
        </w:tc>
        <w:tc>
          <w:tcPr>
            <w:tcW w:w="1920" w:type="dxa"/>
            <w:vAlign w:val="bottom"/>
          </w:tcPr>
          <w:p>
            <w:pPr>
              <w:ind w:left="360"/>
              <w:spacing w:after="0"/>
              <w:rPr>
                <w:sz w:val="20"/>
                <w:szCs w:val="20"/>
                <w:color w:val="auto"/>
              </w:rPr>
            </w:pPr>
            <w:r>
              <w:rPr>
                <w:rFonts w:ascii="Arial" w:cs="Arial" w:eastAsia="Arial" w:hAnsi="Arial"/>
                <w:sz w:val="18"/>
                <w:szCs w:val="18"/>
                <w:color w:val="auto"/>
              </w:rPr>
              <w:t>​​Reward for</w:t>
            </w:r>
          </w:p>
        </w:tc>
        <w:tc>
          <w:tcPr>
            <w:tcW w:w="940" w:type="dxa"/>
            <w:vAlign w:val="bottom"/>
          </w:tcPr>
          <w:p>
            <w:pPr>
              <w:ind w:left="60"/>
              <w:spacing w:after="0"/>
              <w:rPr>
                <w:sz w:val="20"/>
                <w:szCs w:val="20"/>
                <w:color w:val="auto"/>
              </w:rPr>
            </w:pPr>
            <w:r>
              <w:rPr>
                <w:rFonts w:ascii="Arial" w:cs="Arial" w:eastAsia="Arial" w:hAnsi="Arial"/>
                <w:sz w:val="18"/>
                <w:szCs w:val="18"/>
                <w:color w:val="auto"/>
              </w:rPr>
              <w:t>​ ​ Ongoing</w:t>
            </w:r>
          </w:p>
        </w:tc>
      </w:tr>
      <w:tr>
        <w:trPr>
          <w:trHeight w:val="216"/>
        </w:trPr>
        <w:tc>
          <w:tcPr>
            <w:tcW w:w="134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ongoing work</w:t>
            </w:r>
          </w:p>
        </w:tc>
        <w:tc>
          <w:tcPr>
            <w:tcW w:w="9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performed,</w:t>
            </w:r>
          </w:p>
        </w:tc>
        <w:tc>
          <w:tcPr>
            <w:tcW w:w="9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executive tenure</w:t>
            </w:r>
          </w:p>
        </w:tc>
        <w:tc>
          <w:tcPr>
            <w:tcW w:w="940" w:type="dxa"/>
            <w:vAlign w:val="bottom"/>
          </w:tcPr>
          <w:p>
            <w:pPr>
              <w:spacing w:after="0"/>
              <w:rPr>
                <w:sz w:val="18"/>
                <w:szCs w:val="18"/>
                <w:color w:val="auto"/>
              </w:rPr>
            </w:pPr>
          </w:p>
        </w:tc>
      </w:tr>
      <w:tr>
        <w:trPr>
          <w:trHeight w:val="229"/>
        </w:trPr>
        <w:tc>
          <w:tcPr>
            <w:tcW w:w="1340" w:type="dxa"/>
            <w:vAlign w:val="bottom"/>
          </w:tcPr>
          <w:p>
            <w:pPr>
              <w:spacing w:after="0"/>
              <w:rPr>
                <w:sz w:val="19"/>
                <w:szCs w:val="19"/>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and role</w:t>
            </w:r>
          </w:p>
        </w:tc>
        <w:tc>
          <w:tcPr>
            <w:tcW w:w="940" w:type="dxa"/>
            <w:vAlign w:val="bottom"/>
          </w:tcPr>
          <w:p>
            <w:pPr>
              <w:spacing w:after="0"/>
              <w:rPr>
                <w:sz w:val="19"/>
                <w:szCs w:val="19"/>
                <w:color w:val="auto"/>
              </w:rPr>
            </w:pP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Short Term Incentive ​​Reinforce and</w:t>
            </w:r>
          </w:p>
        </w:tc>
        <w:tc>
          <w:tcPr>
            <w:tcW w:w="940" w:type="dxa"/>
            <w:vAlign w:val="bottom"/>
          </w:tcPr>
          <w:p>
            <w:pPr>
              <w:ind w:left="60"/>
              <w:spacing w:after="0"/>
              <w:rPr>
                <w:sz w:val="20"/>
                <w:szCs w:val="20"/>
                <w:color w:val="auto"/>
              </w:rPr>
            </w:pPr>
            <w:r>
              <w:rPr>
                <w:rFonts w:ascii="Arial" w:cs="Arial" w:eastAsia="Arial" w:hAnsi="Arial"/>
                <w:sz w:val="18"/>
                <w:szCs w:val="18"/>
                <w:color w:val="auto"/>
              </w:rPr>
              <w:t>​ ​ 1 year</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Plan (STIP)</w:t>
            </w:r>
          </w:p>
        </w:tc>
        <w:tc>
          <w:tcPr>
            <w:tcW w:w="1920" w:type="dxa"/>
            <w:vAlign w:val="bottom"/>
          </w:tcPr>
          <w:p>
            <w:pPr>
              <w:ind w:left="480"/>
              <w:spacing w:after="0"/>
              <w:rPr>
                <w:sz w:val="20"/>
                <w:szCs w:val="20"/>
                <w:color w:val="auto"/>
              </w:rPr>
            </w:pPr>
            <w:r>
              <w:rPr>
                <w:rFonts w:ascii="Arial" w:cs="Arial" w:eastAsia="Arial" w:hAnsi="Arial"/>
                <w:sz w:val="18"/>
                <w:szCs w:val="18"/>
                <w:color w:val="auto"/>
              </w:rPr>
              <w:t>drive short-term</w:t>
            </w:r>
          </w:p>
        </w:tc>
        <w:tc>
          <w:tcPr>
            <w:tcW w:w="9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priorities and</w:t>
            </w:r>
          </w:p>
        </w:tc>
        <w:tc>
          <w:tcPr>
            <w:tcW w:w="940" w:type="dxa"/>
            <w:vAlign w:val="bottom"/>
          </w:tcPr>
          <w:p>
            <w:pPr>
              <w:spacing w:after="0"/>
              <w:rPr>
                <w:sz w:val="18"/>
                <w:szCs w:val="18"/>
                <w:color w:val="auto"/>
              </w:rPr>
            </w:pPr>
          </w:p>
        </w:tc>
      </w:tr>
      <w:tr>
        <w:trPr>
          <w:trHeight w:val="229"/>
        </w:trPr>
        <w:tc>
          <w:tcPr>
            <w:tcW w:w="1340" w:type="dxa"/>
            <w:vAlign w:val="bottom"/>
          </w:tcPr>
          <w:p>
            <w:pPr>
              <w:spacing w:after="0"/>
              <w:rPr>
                <w:sz w:val="19"/>
                <w:szCs w:val="19"/>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business results</w:t>
            </w:r>
          </w:p>
        </w:tc>
        <w:tc>
          <w:tcPr>
            <w:tcW w:w="940" w:type="dxa"/>
            <w:vAlign w:val="bottom"/>
          </w:tcPr>
          <w:p>
            <w:pPr>
              <w:spacing w:after="0"/>
              <w:rPr>
                <w:sz w:val="19"/>
                <w:szCs w:val="19"/>
                <w:color w:val="auto"/>
              </w:rPr>
            </w:pP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ind w:left="360"/>
              <w:spacing w:after="0"/>
              <w:rPr>
                <w:sz w:val="20"/>
                <w:szCs w:val="20"/>
                <w:color w:val="auto"/>
              </w:rPr>
            </w:pPr>
            <w:r>
              <w:rPr>
                <w:rFonts w:ascii="Arial" w:cs="Arial" w:eastAsia="Arial" w:hAnsi="Arial"/>
                <w:sz w:val="18"/>
                <w:szCs w:val="18"/>
                <w:color w:val="auto"/>
              </w:rPr>
              <w:t>​​Recognize and</w:t>
            </w:r>
          </w:p>
        </w:tc>
        <w:tc>
          <w:tcPr>
            <w:tcW w:w="940" w:type="dxa"/>
            <w:vAlign w:val="bottom"/>
          </w:tcPr>
          <w:p>
            <w:pPr>
              <w:ind w:left="60"/>
              <w:spacing w:after="0"/>
              <w:rPr>
                <w:sz w:val="20"/>
                <w:szCs w:val="20"/>
                <w:color w:val="auto"/>
              </w:rPr>
            </w:pPr>
            <w:r>
              <w:rPr>
                <w:rFonts w:ascii="Arial" w:cs="Arial" w:eastAsia="Arial" w:hAnsi="Arial"/>
                <w:sz w:val="18"/>
                <w:szCs w:val="18"/>
                <w:color w:val="auto"/>
              </w:rPr>
              <w:t>​ ​ ​</w:t>
            </w:r>
          </w:p>
        </w:tc>
      </w:tr>
      <w:tr>
        <w:trPr>
          <w:trHeight w:val="216"/>
        </w:trPr>
        <w:tc>
          <w:tcPr>
            <w:tcW w:w="134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reward corporate</w:t>
            </w:r>
          </w:p>
        </w:tc>
        <w:tc>
          <w:tcPr>
            <w:tcW w:w="94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and individual</w:t>
            </w:r>
          </w:p>
        </w:tc>
        <w:tc>
          <w:tcPr>
            <w:tcW w:w="940" w:type="dxa"/>
            <w:vAlign w:val="bottom"/>
          </w:tcPr>
          <w:p>
            <w:pPr>
              <w:spacing w:after="0"/>
              <w:rPr>
                <w:sz w:val="18"/>
                <w:szCs w:val="18"/>
                <w:color w:val="auto"/>
              </w:rPr>
            </w:pPr>
          </w:p>
        </w:tc>
      </w:tr>
      <w:tr>
        <w:trPr>
          <w:trHeight w:val="239"/>
        </w:trPr>
        <w:tc>
          <w:tcPr>
            <w:tcW w:w="1340" w:type="dxa"/>
            <w:vAlign w:val="bottom"/>
          </w:tcPr>
          <w:p>
            <w:pPr>
              <w:spacing w:after="0"/>
              <w:rPr>
                <w:sz w:val="20"/>
                <w:szCs w:val="20"/>
                <w:color w:val="auto"/>
              </w:rPr>
            </w:pPr>
          </w:p>
        </w:tc>
        <w:tc>
          <w:tcPr>
            <w:tcW w:w="1920" w:type="dxa"/>
            <w:vAlign w:val="bottom"/>
          </w:tcPr>
          <w:p>
            <w:pPr>
              <w:ind w:left="480"/>
              <w:spacing w:after="0"/>
              <w:rPr>
                <w:sz w:val="20"/>
                <w:szCs w:val="20"/>
                <w:color w:val="auto"/>
              </w:rPr>
            </w:pPr>
            <w:r>
              <w:rPr>
                <w:rFonts w:ascii="Arial" w:cs="Arial" w:eastAsia="Arial" w:hAnsi="Arial"/>
                <w:sz w:val="18"/>
                <w:szCs w:val="18"/>
                <w:color w:val="auto"/>
              </w:rPr>
              <w:t>performance</w:t>
            </w: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tabs>
          <w:tab w:leader="none" w:pos="3760" w:val="left"/>
        </w:tabs>
        <w:rPr>
          <w:sz w:val="20"/>
          <w:szCs w:val="20"/>
          <w:color w:val="auto"/>
        </w:rPr>
      </w:pPr>
      <w:r>
        <w:rPr>
          <w:rFonts w:ascii="Arial" w:cs="Arial" w:eastAsia="Arial" w:hAnsi="Arial"/>
          <w:sz w:val="18"/>
          <w:szCs w:val="18"/>
          <w:color w:val="auto"/>
        </w:rPr>
        <w:t>​ ​ Provided in cash each pay period.</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200" w:right="379" w:hanging="201"/>
        <w:spacing w:after="0" w:line="318" w:lineRule="auto"/>
        <w:rPr>
          <w:sz w:val="20"/>
          <w:szCs w:val="20"/>
          <w:color w:val="auto"/>
        </w:rPr>
      </w:pPr>
      <w:r>
        <w:rPr>
          <w:rFonts w:ascii="Arial" w:cs="Arial" w:eastAsia="Arial" w:hAnsi="Arial"/>
          <w:sz w:val="18"/>
          <w:szCs w:val="18"/>
          <w:color w:val="auto"/>
        </w:rPr>
        <w:t>​ ​ Target award based on a percentage of​ salary.</w:t>
      </w:r>
    </w:p>
    <w:p>
      <w:pPr>
        <w:spacing w:after="0" w:line="356" w:lineRule="exact"/>
        <w:rPr>
          <w:sz w:val="20"/>
          <w:szCs w:val="20"/>
          <w:color w:val="auto"/>
        </w:rPr>
      </w:pPr>
    </w:p>
    <w:p>
      <w:pPr>
        <w:jc w:val="both"/>
        <w:ind w:left="200" w:right="379" w:hanging="201"/>
        <w:spacing w:after="0" w:line="267" w:lineRule="auto"/>
        <w:rPr>
          <w:sz w:val="20"/>
          <w:szCs w:val="20"/>
          <w:color w:val="auto"/>
        </w:rPr>
      </w:pPr>
      <w:r>
        <w:rPr>
          <w:rFonts w:ascii="Arial" w:cs="Arial" w:eastAsia="Arial" w:hAnsi="Arial"/>
          <w:sz w:val="18"/>
          <w:szCs w:val="18"/>
          <w:color w:val="auto"/>
        </w:rPr>
        <w:t>​ ​ Awards may be earned from 0% to 100%​ of target based on achievement of pre-determined corporate short-term objectives that are aligned with our strategic plan as well as individual performance.</w:t>
      </w:r>
    </w:p>
    <w:p>
      <w:pPr>
        <w:spacing w:after="0" w:line="64" w:lineRule="exact"/>
        <w:rPr>
          <w:sz w:val="20"/>
          <w:szCs w:val="20"/>
          <w:color w:val="auto"/>
        </w:rPr>
      </w:pPr>
    </w:p>
    <w:p>
      <w:pPr>
        <w:ind w:left="200" w:right="419"/>
        <w:spacing w:after="0" w:line="276" w:lineRule="auto"/>
        <w:rPr>
          <w:sz w:val="20"/>
          <w:szCs w:val="20"/>
          <w:color w:val="auto"/>
        </w:rPr>
      </w:pPr>
      <w:r>
        <w:rPr>
          <w:rFonts w:ascii="Arial" w:cs="Arial" w:eastAsia="Arial" w:hAnsi="Arial"/>
          <w:sz w:val="17"/>
          <w:szCs w:val="17"/>
          <w:color w:val="auto"/>
        </w:rPr>
        <w:t>Awards are paid in cash upon the completion of the fiscal year; however, for 2022, STIP</w:t>
      </w:r>
    </w:p>
    <w:p>
      <w:pPr>
        <w:spacing w:after="0" w:line="1" w:lineRule="exact"/>
        <w:rPr>
          <w:sz w:val="20"/>
          <w:szCs w:val="20"/>
          <w:color w:val="auto"/>
        </w:rPr>
      </w:pPr>
    </w:p>
    <w:p>
      <w:pPr>
        <w:sectPr>
          <w:pgSz w:w="11900" w:h="16838" w:orient="portrait"/>
          <w:cols w:equalWidth="0" w:num="2">
            <w:col w:w="5440" w:space="240"/>
            <w:col w:w="4199"/>
          </w:cols>
          <w:pgMar w:left="580" w:top="97" w:right="1440" w:bottom="1440" w:gutter="0" w:footer="0" w:header="0"/>
          <w:type w:val="continuous"/>
        </w:sectPr>
      </w:pPr>
    </w:p>
    <w:tbl>
      <w:tblPr>
        <w:tblLayout w:type="fixed"/>
        <w:tblInd w:w="1240" w:type="dxa"/>
        <w:tblCellMar>
          <w:top w:w="0" w:type="dxa"/>
          <w:left w:w="0" w:type="dxa"/>
          <w:bottom w:w="0" w:type="dxa"/>
          <w:right w:w="0" w:type="dxa"/>
        </w:tblCellMar>
      </w:tblPr>
      <w:tr>
        <w:trPr>
          <w:trHeight w:val="198"/>
        </w:trPr>
        <w:tc>
          <w:tcPr>
            <w:tcW w:w="1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980" w:type="dxa"/>
            <w:vAlign w:val="bottom"/>
            <w:gridSpan w:val="2"/>
          </w:tcPr>
          <w:p>
            <w:pPr>
              <w:ind w:left="360"/>
              <w:spacing w:after="0" w:line="199" w:lineRule="exact"/>
              <w:rPr>
                <w:sz w:val="20"/>
                <w:szCs w:val="20"/>
                <w:color w:val="auto"/>
              </w:rPr>
            </w:pPr>
            <w:r>
              <w:rPr>
                <w:rFonts w:ascii="Arial" w:cs="Arial" w:eastAsia="Arial" w:hAnsi="Arial"/>
                <w:sz w:val="18"/>
                <w:szCs w:val="18"/>
                <w:color w:val="auto"/>
              </w:rPr>
              <w:t>awards  were  paid  in  immediately-vested</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RSUs to conserve operating cash.</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1"/>
        </w:trPr>
        <w:tc>
          <w:tcPr>
            <w:tcW w:w="11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440" w:type="dxa"/>
            <w:vAlign w:val="bottom"/>
            <w:gridSpan w:val="2"/>
          </w:tcPr>
          <w:p>
            <w:pPr>
              <w:ind w:left="100"/>
              <w:spacing w:after="0"/>
              <w:rPr>
                <w:sz w:val="20"/>
                <w:szCs w:val="20"/>
                <w:color w:val="auto"/>
              </w:rPr>
            </w:pPr>
            <w:r>
              <w:rPr>
                <w:rFonts w:ascii="Arial" w:cs="Arial" w:eastAsia="Arial" w:hAnsi="Arial"/>
                <w:sz w:val="18"/>
                <w:szCs w:val="18"/>
                <w:b w:val="1"/>
                <w:bCs w:val="1"/>
                <w:color w:val="auto"/>
              </w:rPr>
              <w:t>Equity Compensation</w:t>
            </w: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spacing w:after="0"/>
              <w:rPr>
                <w:sz w:val="20"/>
                <w:szCs w:val="20"/>
                <w:color w:val="auto"/>
              </w:rPr>
            </w:pPr>
            <w:r>
              <w:rPr>
                <w:rFonts w:ascii="Arial" w:cs="Arial" w:eastAsia="Arial" w:hAnsi="Arial"/>
                <w:sz w:val="18"/>
                <w:szCs w:val="18"/>
                <w:color w:val="auto"/>
              </w:rPr>
              <w:t>Long-term incentives ​​Reinforce and</w:t>
            </w:r>
          </w:p>
        </w:tc>
        <w:tc>
          <w:tcPr>
            <w:tcW w:w="1180" w:type="dxa"/>
            <w:vAlign w:val="bottom"/>
          </w:tcPr>
          <w:p>
            <w:pPr>
              <w:ind w:left="220"/>
              <w:spacing w:after="0"/>
              <w:rPr>
                <w:sz w:val="20"/>
                <w:szCs w:val="20"/>
                <w:color w:val="auto"/>
              </w:rPr>
            </w:pPr>
            <w:r>
              <w:rPr>
                <w:rFonts w:ascii="Arial" w:cs="Arial" w:eastAsia="Arial" w:hAnsi="Arial"/>
                <w:sz w:val="18"/>
                <w:szCs w:val="18"/>
                <w:color w:val="auto"/>
              </w:rPr>
              <w:t>​ ​ 3 or</w:t>
            </w:r>
          </w:p>
        </w:tc>
        <w:tc>
          <w:tcPr>
            <w:tcW w:w="3260" w:type="dxa"/>
            <w:vAlign w:val="bottom"/>
          </w:tcPr>
          <w:p>
            <w:pPr>
              <w:ind w:left="160"/>
              <w:spacing w:after="0"/>
              <w:rPr>
                <w:sz w:val="20"/>
                <w:szCs w:val="20"/>
                <w:color w:val="auto"/>
              </w:rPr>
            </w:pPr>
            <w:r>
              <w:rPr>
                <w:rFonts w:ascii="Arial" w:cs="Arial" w:eastAsia="Arial" w:hAnsi="Arial"/>
                <w:sz w:val="18"/>
                <w:szCs w:val="18"/>
                <w:color w:val="auto"/>
              </w:rPr>
              <w:t>​ ​ Grants post-Business Combination</w:t>
            </w:r>
          </w:p>
        </w:tc>
        <w:tc>
          <w:tcPr>
            <w:tcW w:w="720" w:type="dxa"/>
            <w:vAlign w:val="bottom"/>
          </w:tcPr>
          <w:p>
            <w:pPr>
              <w:jc w:val="right"/>
              <w:spacing w:after="0"/>
              <w:rPr>
                <w:sz w:val="20"/>
                <w:szCs w:val="20"/>
                <w:color w:val="auto"/>
              </w:rPr>
            </w:pPr>
            <w:r>
              <w:rPr>
                <w:rFonts w:ascii="Arial" w:cs="Arial" w:eastAsia="Arial" w:hAnsi="Arial"/>
                <w:sz w:val="18"/>
                <w:szCs w:val="18"/>
                <w:color w:val="auto"/>
              </w:rPr>
              <w:t>were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(LTIP)</w:t>
            </w:r>
          </w:p>
        </w:tc>
        <w:tc>
          <w:tcPr>
            <w:tcW w:w="1940" w:type="dxa"/>
            <w:vAlign w:val="bottom"/>
          </w:tcPr>
          <w:p>
            <w:pPr>
              <w:ind w:left="660"/>
              <w:spacing w:after="0"/>
              <w:rPr>
                <w:sz w:val="20"/>
                <w:szCs w:val="20"/>
                <w:color w:val="auto"/>
              </w:rPr>
            </w:pPr>
            <w:r>
              <w:rPr>
                <w:rFonts w:ascii="Arial" w:cs="Arial" w:eastAsia="Arial" w:hAnsi="Arial"/>
                <w:sz w:val="18"/>
                <w:szCs w:val="18"/>
                <w:color w:val="auto"/>
              </w:rPr>
              <w:t>drive long-term</w:t>
            </w:r>
          </w:p>
        </w:tc>
        <w:tc>
          <w:tcPr>
            <w:tcW w:w="1180" w:type="dxa"/>
            <w:vAlign w:val="bottom"/>
          </w:tcPr>
          <w:p>
            <w:pPr>
              <w:ind w:left="420"/>
              <w:spacing w:after="0"/>
              <w:rPr>
                <w:sz w:val="20"/>
                <w:szCs w:val="20"/>
                <w:color w:val="auto"/>
              </w:rPr>
            </w:pPr>
            <w:r>
              <w:rPr>
                <w:rFonts w:ascii="Arial" w:cs="Arial" w:eastAsia="Arial" w:hAnsi="Arial"/>
                <w:sz w:val="18"/>
                <w:szCs w:val="18"/>
                <w:color w:val="auto"/>
              </w:rPr>
              <w:t>4 years</w:t>
            </w: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rPr>
              <w:t>the form of RSUs that generally vest one-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120" w:type="dxa"/>
            <w:vAlign w:val="bottom"/>
            <w:gridSpan w:val="2"/>
          </w:tcPr>
          <w:p>
            <w:pPr>
              <w:ind w:left="660"/>
              <w:spacing w:after="0"/>
              <w:rPr>
                <w:sz w:val="20"/>
                <w:szCs w:val="20"/>
                <w:color w:val="auto"/>
              </w:rPr>
            </w:pPr>
            <w:r>
              <w:rPr>
                <w:rFonts w:ascii="Arial" w:cs="Arial" w:eastAsia="Arial" w:hAnsi="Arial"/>
                <w:sz w:val="18"/>
                <w:szCs w:val="18"/>
                <w:color w:val="auto"/>
              </w:rPr>
              <w:t>shareholder value</w:t>
            </w: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rPr>
              <w:t>third per year over three years or in fourths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060" w:type="dxa"/>
        <w:tblCellMar>
          <w:top w:w="0" w:type="dxa"/>
          <w:left w:w="0" w:type="dxa"/>
          <w:bottom w:w="0" w:type="dxa"/>
          <w:right w:w="0" w:type="dxa"/>
        </w:tblCellMar>
      </w:tblPr>
      <w:tr>
        <w:trPr>
          <w:trHeight w:val="239"/>
        </w:trPr>
        <w:tc>
          <w:tcPr>
            <w:tcW w:w="2120" w:type="dxa"/>
            <w:vAlign w:val="bottom"/>
            <w:vMerge w:val="restart"/>
          </w:tcPr>
          <w:p>
            <w:pPr>
              <w:spacing w:after="0"/>
              <w:rPr>
                <w:sz w:val="20"/>
                <w:szCs w:val="20"/>
                <w:color w:val="auto"/>
              </w:rPr>
            </w:pPr>
            <w:r>
              <w:rPr>
                <w:rFonts w:ascii="Arial" w:cs="Arial" w:eastAsia="Arial" w:hAnsi="Arial"/>
                <w:sz w:val="18"/>
                <w:szCs w:val="18"/>
                <w:color w:val="auto"/>
              </w:rPr>
              <w:t>Retain executives</w:t>
            </w:r>
          </w:p>
        </w:tc>
        <w:tc>
          <w:tcPr>
            <w:tcW w:w="1940" w:type="dxa"/>
            <w:vAlign w:val="bottom"/>
          </w:tcPr>
          <w:p>
            <w:pPr>
              <w:ind w:left="700"/>
              <w:spacing w:after="0"/>
              <w:rPr>
                <w:sz w:val="20"/>
                <w:szCs w:val="20"/>
                <w:color w:val="auto"/>
              </w:rPr>
            </w:pPr>
            <w:r>
              <w:rPr>
                <w:rFonts w:ascii="Arial" w:cs="Arial" w:eastAsia="Arial" w:hAnsi="Arial"/>
                <w:sz w:val="18"/>
                <w:szCs w:val="18"/>
                <w:color w:val="auto"/>
                <w:w w:val="97"/>
              </w:rPr>
              <w:t>over four years.</w:t>
            </w:r>
          </w:p>
        </w:tc>
        <w:tc>
          <w:tcPr>
            <w:tcW w:w="0" w:type="dxa"/>
            <w:vAlign w:val="bottom"/>
          </w:tcPr>
          <w:p>
            <w:pPr>
              <w:spacing w:after="0"/>
              <w:rPr>
                <w:sz w:val="1"/>
                <w:szCs w:val="1"/>
                <w:color w:val="auto"/>
              </w:rPr>
            </w:pPr>
          </w:p>
        </w:tc>
      </w:tr>
      <w:tr>
        <w:trPr>
          <w:trHeight w:val="67"/>
        </w:trPr>
        <w:tc>
          <w:tcPr>
            <w:tcW w:w="2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over a multi-year</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20" w:type="dxa"/>
            <w:vAlign w:val="bottom"/>
          </w:tcPr>
          <w:p>
            <w:pPr>
              <w:spacing w:after="0"/>
              <w:rPr>
                <w:sz w:val="20"/>
                <w:szCs w:val="20"/>
                <w:color w:val="auto"/>
              </w:rPr>
            </w:pPr>
            <w:r>
              <w:rPr>
                <w:rFonts w:ascii="Arial" w:cs="Arial" w:eastAsia="Arial" w:hAnsi="Arial"/>
                <w:sz w:val="18"/>
                <w:szCs w:val="18"/>
                <w:color w:val="auto"/>
              </w:rPr>
              <w:t>period</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120" w:type="dxa"/>
            <w:vAlign w:val="bottom"/>
          </w:tcPr>
          <w:p>
            <w:pPr>
              <w:spacing w:after="0"/>
              <w:rPr>
                <w:sz w:val="20"/>
                <w:szCs w:val="20"/>
                <w:color w:val="auto"/>
              </w:rPr>
            </w:pPr>
            <w:r>
              <w:rPr>
                <w:rFonts w:ascii="Arial" w:cs="Arial" w:eastAsia="Arial" w:hAnsi="Arial"/>
                <w:sz w:val="18"/>
                <w:szCs w:val="18"/>
                <w:color w:val="auto"/>
              </w:rPr>
              <w:t>Incentivize the</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achievement by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management of</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Arial" w:cs="Arial" w:eastAsia="Arial" w:hAnsi="Arial"/>
                <w:sz w:val="18"/>
                <w:szCs w:val="18"/>
                <w:color w:val="auto"/>
              </w:rPr>
              <w:t>multi-year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060"/>
        <w:spacing w:after="0"/>
        <w:rPr>
          <w:sz w:val="20"/>
          <w:szCs w:val="20"/>
          <w:color w:val="auto"/>
        </w:rPr>
      </w:pPr>
      <w:r>
        <w:rPr>
          <w:rFonts w:ascii="Arial" w:cs="Arial" w:eastAsia="Arial" w:hAnsi="Arial"/>
          <w:sz w:val="18"/>
          <w:szCs w:val="18"/>
          <w:color w:val="auto"/>
        </w:rPr>
        <w:t>performance goals</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Equity Compensation</w:t>
      </w:r>
    </w:p>
    <w:p>
      <w:pPr>
        <w:spacing w:after="0" w:line="144"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89"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determines the size of equity award grants after considering the following factors:</w:t>
      </w:r>
    </w:p>
    <w:p>
      <w:pPr>
        <w:spacing w:after="0" w:line="19" w:lineRule="exact"/>
        <w:rPr>
          <w:sz w:val="20"/>
          <w:szCs w:val="20"/>
          <w:color w:val="auto"/>
        </w:rPr>
      </w:pPr>
    </w:p>
    <w:p>
      <w:pPr>
        <w:ind w:left="1780" w:right="419" w:hanging="172"/>
        <w:spacing w:after="0" w:line="287" w:lineRule="auto"/>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competitive equity compensation practices for comparable positions identified in the applicable market analysis;</w:t>
      </w:r>
    </w:p>
    <w:p>
      <w:pPr>
        <w:sectPr>
          <w:pgSz w:w="11900" w:h="16838" w:orient="portrait"/>
          <w:cols w:equalWidth="0" w:num="1">
            <w:col w:w="9879"/>
          </w:cols>
          <w:pgMar w:left="580" w:top="97" w:right="1440" w:bottom="1440" w:gutter="0" w:footer="0" w:header="0"/>
          <w:type w:val="continuous"/>
        </w:sect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executive’s level of responsibility and duties;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comparison to grant levels of other executive officers;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individual named executive officers’ performance;</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corporate performance;</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total equity compensation costs relative to total expenses;</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does not take into consideration an executive’s aggregate equity holdings or equity carrying value in determining annual long-term equity incentive awards.</w:t>
      </w:r>
    </w:p>
    <w:p>
      <w:pPr>
        <w:spacing w:after="0" w:line="86"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In 2022, our compensation committee approved the grant of equity awards to our NEOs. They considered, to the extent applicable, our corporate performance and individual contributions in 2022 as well as in prior years. The compensation committee determined the value of each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an independent compensation consulting firm engaged by our compensation committee to provide competitive market data as well as advice on pay levels and compensation program structure.</w:t>
      </w:r>
    </w:p>
    <w:p>
      <w:pPr>
        <w:spacing w:after="0" w:line="112"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The stock awards disclosed in the summary compensation table below represent the RSUs approved by our compensation committee, which were issued and valued on November 22, 2021, using a share price of $3.20. Option awards disclosed in the summary compensation table below were granted by the DeepGreen board on March 4, 2021 and were valued on that date using a Black-Scholes valuation model, which ascribed a fair value between $5.42 and $5.59 per option. No stock awards were issued to our NEOs in 2022.</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Compensation Table</w:t>
      </w:r>
    </w:p>
    <w:p>
      <w:pPr>
        <w:spacing w:after="0" w:line="144"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 xml:space="preserve">The following table shows information concerning the annual compensation for services provided to us by our NEOs for the fiscal year ended December 31, 2022 and 2021.           </w:t>
      </w:r>
    </w:p>
    <w:p>
      <w:pPr>
        <w:spacing w:after="0" w:line="109"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4"/>
                <w:szCs w:val="14"/>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Bonus</w:t>
            </w:r>
          </w:p>
        </w:tc>
        <w:tc>
          <w:tcPr>
            <w:tcW w:w="74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8"/>
              </w:rPr>
              <w:t>Awards</w:t>
            </w:r>
          </w:p>
        </w:tc>
        <w:tc>
          <w:tcPr>
            <w:tcW w:w="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6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1500" w:type="dxa"/>
            <w:vAlign w:val="bottom"/>
            <w:gridSpan w:val="5"/>
          </w:tcPr>
          <w:p>
            <w:pPr>
              <w:ind w:left="300"/>
              <w:spacing w:after="0" w:line="176" w:lineRule="exact"/>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2"/>
                <w:szCs w:val="12"/>
                <w:b w:val="1"/>
                <w:bCs w:val="1"/>
                <w:color w:val="auto"/>
              </w:rPr>
              <w:t xml:space="preserve"> Year </w:t>
            </w:r>
            <w:r>
              <w:rPr>
                <w:rFonts w:ascii="Arial" w:cs="Arial" w:eastAsia="Arial" w:hAnsi="Arial"/>
                <w:sz w:val="20"/>
                <w:szCs w:val="20"/>
                <w:b w:val="1"/>
                <w:bCs w:val="1"/>
                <w:color w:val="auto"/>
                <w:vertAlign w:val="subscript"/>
              </w:rPr>
              <w:t>​ ​</w:t>
            </w:r>
            <w:r>
              <w:rPr>
                <w:rFonts w:ascii="Arial" w:cs="Arial" w:eastAsia="Arial" w:hAnsi="Arial"/>
                <w:sz w:val="12"/>
                <w:szCs w:val="12"/>
                <w:b w:val="1"/>
                <w:bCs w:val="1"/>
                <w:color w:val="auto"/>
              </w:rPr>
              <w:t xml:space="preserve">   ($)</w:t>
            </w:r>
          </w:p>
        </w:tc>
        <w:tc>
          <w:tcPr>
            <w:tcW w:w="980" w:type="dxa"/>
            <w:vAlign w:val="bottom"/>
            <w:gridSpan w:val="4"/>
          </w:tcPr>
          <w:p>
            <w:pPr>
              <w:jc w:val="right"/>
              <w:spacing w:after="0" w:line="176" w:lineRule="exact"/>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2"/>
                <w:szCs w:val="12"/>
                <w:b w:val="1"/>
                <w:bCs w:val="1"/>
                <w:color w:val="auto"/>
              </w:rPr>
              <w:t xml:space="preserve">  ($)</w:t>
            </w:r>
            <w:r>
              <w:rPr>
                <w:rFonts w:ascii="Arial" w:cs="Arial" w:eastAsia="Arial" w:hAnsi="Arial"/>
                <w:sz w:val="13"/>
                <w:szCs w:val="13"/>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20"/>
                <w:szCs w:val="20"/>
                <w:b w:val="1"/>
                <w:bCs w:val="1"/>
                <w:color w:val="auto"/>
                <w:vertAlign w:val="subscript"/>
              </w:rPr>
              <w:t>​ ​</w:t>
            </w:r>
          </w:p>
        </w:tc>
        <w:tc>
          <w:tcPr>
            <w:tcW w:w="460" w:type="dxa"/>
            <w:vAlign w:val="bottom"/>
          </w:tcPr>
          <w:p>
            <w:pPr>
              <w:jc w:val="right"/>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8"/>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1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360" w:type="dxa"/>
            <w:vAlign w:val="bottom"/>
          </w:tcPr>
          <w:p>
            <w:pPr>
              <w:spacing w:after="0"/>
              <w:rPr>
                <w:sz w:val="15"/>
                <w:szCs w:val="15"/>
                <w:color w:val="auto"/>
              </w:rPr>
            </w:pPr>
          </w:p>
        </w:tc>
        <w:tc>
          <w:tcPr>
            <w:tcW w:w="660" w:type="dxa"/>
            <w:vAlign w:val="bottom"/>
          </w:tcPr>
          <w:p>
            <w:pPr>
              <w:jc w:val="right"/>
              <w:ind w:right="288"/>
              <w:spacing w:after="0" w:line="176"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(4)</w:t>
            </w: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3"/>
        </w:trPr>
        <w:tc>
          <w:tcPr>
            <w:tcW w:w="1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19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Gerard Barron,</w:t>
            </w:r>
          </w:p>
        </w:tc>
        <w:tc>
          <w:tcPr>
            <w:tcW w:w="340" w:type="dxa"/>
            <w:vAlign w:val="bottom"/>
          </w:tcPr>
          <w:p>
            <w:pPr>
              <w:ind w:left="300"/>
              <w:spacing w:after="0" w:line="15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ind w:left="60"/>
              <w:spacing w:after="0" w:line="150"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CCEEFF"/>
            </w:tcBorders>
            <w:shd w:val="clear" w:color="auto" w:fill="CCEEFF"/>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​2022</w:t>
            </w:r>
          </w:p>
        </w:tc>
        <w:tc>
          <w:tcPr>
            <w:tcW w:w="18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 ​</w:t>
            </w:r>
          </w:p>
        </w:tc>
        <w:tc>
          <w:tcPr>
            <w:tcW w:w="540" w:type="dxa"/>
            <w:vAlign w:val="bottom"/>
            <w:tcBorders>
              <w:top w:val="single" w:sz="8" w:color="auto"/>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​565,000</w:t>
            </w:r>
          </w:p>
        </w:tc>
        <w:tc>
          <w:tcPr>
            <w:tcW w:w="200" w:type="dxa"/>
            <w:vAlign w:val="bottom"/>
            <w:tcBorders>
              <w:top w:val="single" w:sz="8" w:color="CCEEFF"/>
              <w:bottom w:val="single" w:sz="8" w:color="CCEEFF"/>
            </w:tcBorders>
            <w:shd w:val="clear" w:color="auto" w:fill="CCEEFF"/>
          </w:tcPr>
          <w:p>
            <w:pPr>
              <w:spacing w:after="0" w:line="150" w:lineRule="exact"/>
              <w:rPr>
                <w:sz w:val="20"/>
                <w:szCs w:val="20"/>
                <w:color w:val="auto"/>
              </w:rPr>
            </w:pPr>
            <w:r>
              <w:rPr>
                <w:rFonts w:ascii="Arial" w:cs="Arial" w:eastAsia="Arial" w:hAnsi="Arial"/>
                <w:sz w:val="14"/>
                <w:szCs w:val="14"/>
                <w:color w:val="auto"/>
              </w:rPr>
              <w:t>​​ ​</w:t>
            </w:r>
          </w:p>
        </w:tc>
        <w:tc>
          <w:tcPr>
            <w:tcW w:w="540" w:type="dxa"/>
            <w:vAlign w:val="bottom"/>
            <w:tcBorders>
              <w:top w:val="single" w:sz="8" w:color="auto"/>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​317,813</w:t>
            </w:r>
          </w:p>
        </w:tc>
        <w:tc>
          <w:tcPr>
            <w:tcW w:w="180" w:type="dxa"/>
            <w:vAlign w:val="bottom"/>
            <w:tcBorders>
              <w:top w:val="single" w:sz="8" w:color="CCEEFF"/>
              <w:bottom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 ​</w:t>
            </w:r>
          </w:p>
        </w:tc>
        <w:tc>
          <w:tcPr>
            <w:tcW w:w="60" w:type="dxa"/>
            <w:vAlign w:val="bottom"/>
            <w:tcBorders>
              <w:top w:val="single" w:sz="8" w:color="auto"/>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46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bottom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CCEEFF"/>
            </w:tcBorders>
            <w:shd w:val="clear" w:color="auto" w:fill="CCEEFF"/>
          </w:tcPr>
          <w:p>
            <w:pPr>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52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bottom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CCEEFF"/>
            </w:tcBorders>
            <w:shd w:val="clear" w:color="auto" w:fill="CCEEFF"/>
          </w:tcPr>
          <w:p>
            <w:pPr>
              <w:ind w:left="2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60" w:type="dxa"/>
            <w:vAlign w:val="bottom"/>
            <w:tcBorders>
              <w:top w:val="single" w:sz="8" w:color="auto"/>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 ​</w:t>
            </w:r>
          </w:p>
        </w:tc>
        <w:tc>
          <w:tcPr>
            <w:tcW w:w="100" w:type="dxa"/>
            <w:vAlign w:val="bottom"/>
            <w:tcBorders>
              <w:top w:val="single" w:sz="8" w:color="CCEEFF"/>
              <w:bottom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CCEEFF"/>
            </w:tcBorders>
            <w:shd w:val="clear" w:color="auto" w:fill="CCEEFF"/>
          </w:tcPr>
          <w:p>
            <w:pPr>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882,813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160"/>
              <w:spacing w:after="0" w:line="154" w:lineRule="exact"/>
              <w:rPr>
                <w:sz w:val="20"/>
                <w:szCs w:val="20"/>
                <w:color w:val="auto"/>
              </w:rPr>
            </w:pPr>
            <w:r>
              <w:rPr>
                <w:rFonts w:ascii="Arial" w:cs="Arial" w:eastAsia="Arial" w:hAnsi="Arial"/>
                <w:sz w:val="14"/>
                <w:szCs w:val="14"/>
                <w:i w:val="1"/>
                <w:iCs w:val="1"/>
                <w:color w:val="auto"/>
              </w:rPr>
              <w:t>Chief Executive Officer</w:t>
            </w:r>
          </w:p>
        </w:tc>
        <w:tc>
          <w:tcPr>
            <w:tcW w:w="340" w:type="dxa"/>
            <w:vAlign w:val="bottom"/>
          </w:tcPr>
          <w:p>
            <w:pPr>
              <w:spacing w:after="0"/>
              <w:rPr>
                <w:sz w:val="15"/>
                <w:szCs w:val="15"/>
                <w:color w:val="auto"/>
              </w:rPr>
            </w:pPr>
          </w:p>
        </w:tc>
        <w:tc>
          <w:tcPr>
            <w:tcW w:w="2880" w:type="dxa"/>
            <w:vAlign w:val="bottom"/>
            <w:gridSpan w:val="11"/>
          </w:tcPr>
          <w:p>
            <w:pPr>
              <w:jc w:val="right"/>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​2021</w:t>
            </w:r>
            <w:r>
              <w:rPr>
                <w:rFonts w:ascii="Arial" w:cs="Arial" w:eastAsia="Arial" w:hAnsi="Arial"/>
                <w:sz w:val="20"/>
                <w:szCs w:val="20"/>
                <w:color w:val="auto"/>
                <w:vertAlign w:val="superscript"/>
              </w:rPr>
              <w:t>​​ ​​</w:t>
            </w:r>
            <w:r>
              <w:rPr>
                <w:rFonts w:ascii="Arial" w:cs="Arial" w:eastAsia="Arial" w:hAnsi="Arial"/>
                <w:sz w:val="12"/>
                <w:szCs w:val="12"/>
                <w:color w:val="auto"/>
              </w:rPr>
              <w:t>​565,000</w:t>
            </w:r>
            <w:r>
              <w:rPr>
                <w:rFonts w:ascii="Arial" w:cs="Arial" w:eastAsia="Arial" w:hAnsi="Arial"/>
                <w:sz w:val="20"/>
                <w:szCs w:val="20"/>
                <w:color w:val="auto"/>
                <w:vertAlign w:val="superscript"/>
              </w:rPr>
              <w:t>​​ ​​</w:t>
            </w:r>
            <w:r>
              <w:rPr>
                <w:rFonts w:ascii="Arial" w:cs="Arial" w:eastAsia="Arial" w:hAnsi="Arial"/>
                <w:sz w:val="12"/>
                <w:szCs w:val="12"/>
                <w:color w:val="auto"/>
              </w:rPr>
              <w:t>​296,625</w:t>
            </w:r>
            <w:r>
              <w:rPr>
                <w:rFonts w:ascii="Arial" w:cs="Arial" w:eastAsia="Arial" w:hAnsi="Arial"/>
                <w:sz w:val="20"/>
                <w:szCs w:val="20"/>
                <w:color w:val="auto"/>
                <w:vertAlign w:val="superscript"/>
              </w:rPr>
              <w:t>​​ ​​</w:t>
            </w:r>
            <w:r>
              <w:rPr>
                <w:rFonts w:ascii="Arial" w:cs="Arial" w:eastAsia="Arial" w:hAnsi="Arial"/>
                <w:sz w:val="12"/>
                <w:szCs w:val="12"/>
                <w:color w:val="auto"/>
              </w:rPr>
              <w:t>​2,500,000</w:t>
            </w:r>
            <w:r>
              <w:rPr>
                <w:rFonts w:ascii="Arial" w:cs="Arial" w:eastAsia="Arial" w:hAnsi="Arial"/>
                <w:sz w:val="20"/>
                <w:szCs w:val="20"/>
                <w:color w:val="auto"/>
                <w:vertAlign w:val="superscript"/>
              </w:rPr>
              <w:t>​​</w:t>
            </w:r>
          </w:p>
        </w:tc>
        <w:tc>
          <w:tcPr>
            <w:tcW w:w="960" w:type="dxa"/>
            <w:vAlign w:val="bottom"/>
            <w:gridSpan w:val="5"/>
          </w:tcPr>
          <w:p>
            <w:pPr>
              <w:ind w:left="20"/>
              <w:spacing w:after="0" w:line="180"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​10,833,401</w:t>
            </w:r>
            <w:r>
              <w:rPr>
                <w:rFonts w:ascii="Arial" w:cs="Arial" w:eastAsia="Arial" w:hAnsi="Arial"/>
                <w:sz w:val="20"/>
                <w:szCs w:val="20"/>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2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40" w:type="dxa"/>
            <w:vAlign w:val="bottom"/>
            <w:gridSpan w:val="3"/>
          </w:tcPr>
          <w:p>
            <w:pPr>
              <w:ind w:left="40"/>
              <w:spacing w:after="0" w:line="180"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​14,195,026</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4"/>
                <w:szCs w:val="14"/>
                <w:color w:val="auto"/>
              </w:rPr>
              <w:t>Anthony O’Sullivan,</w:t>
            </w:r>
          </w:p>
        </w:tc>
        <w:tc>
          <w:tcPr>
            <w:tcW w:w="2480" w:type="dxa"/>
            <w:vAlign w:val="bottom"/>
            <w:gridSpan w:val="9"/>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​2022</w:t>
            </w:r>
            <w:r>
              <w:rPr>
                <w:rFonts w:ascii="Arial" w:cs="Arial" w:eastAsia="Arial" w:hAnsi="Arial"/>
                <w:sz w:val="26"/>
                <w:szCs w:val="26"/>
                <w:color w:val="auto"/>
                <w:vertAlign w:val="superscript"/>
              </w:rPr>
              <w:t>​​ ​​</w:t>
            </w:r>
            <w:r>
              <w:rPr>
                <w:rFonts w:ascii="Arial" w:cs="Arial" w:eastAsia="Arial" w:hAnsi="Arial"/>
                <w:sz w:val="14"/>
                <w:szCs w:val="14"/>
                <w:color w:val="auto"/>
              </w:rPr>
              <w:t>​475,000</w:t>
            </w:r>
            <w:r>
              <w:rPr>
                <w:rFonts w:ascii="Arial" w:cs="Arial" w:eastAsia="Arial" w:hAnsi="Arial"/>
                <w:sz w:val="26"/>
                <w:szCs w:val="26"/>
                <w:color w:val="auto"/>
                <w:vertAlign w:val="superscript"/>
              </w:rPr>
              <w:t>​​ ​​</w:t>
            </w:r>
            <w:r>
              <w:rPr>
                <w:rFonts w:ascii="Arial" w:cs="Arial" w:eastAsia="Arial" w:hAnsi="Arial"/>
                <w:sz w:val="14"/>
                <w:szCs w:val="14"/>
                <w:color w:val="auto"/>
              </w:rPr>
              <w:t>​178,125</w:t>
            </w:r>
            <w:r>
              <w:rPr>
                <w:rFonts w:ascii="Arial" w:cs="Arial" w:eastAsia="Arial" w:hAnsi="Arial"/>
                <w:sz w:val="26"/>
                <w:szCs w:val="26"/>
                <w:color w:val="auto"/>
                <w:vertAlign w:val="superscript"/>
              </w:rPr>
              <w:t>​​ ​​</w:t>
            </w: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28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w:t>
            </w:r>
          </w:p>
        </w:tc>
        <w:tc>
          <w:tcPr>
            <w:tcW w:w="160" w:type="dxa"/>
            <w:vAlign w:val="bottom"/>
            <w:gridSpan w:val="2"/>
          </w:tcPr>
          <w:p>
            <w:pPr>
              <w:ind w:left="20"/>
              <w:spacing w:after="0" w:line="230"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520" w:type="dxa"/>
            <w:vAlign w:val="bottom"/>
          </w:tcPr>
          <w:p>
            <w:pPr>
              <w:spacing w:after="0"/>
              <w:rPr>
                <w:sz w:val="19"/>
                <w:szCs w:val="19"/>
                <w:color w:val="auto"/>
              </w:rPr>
            </w:pPr>
          </w:p>
        </w:tc>
        <w:tc>
          <w:tcPr>
            <w:tcW w:w="28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8"/>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8,251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20" w:type="dxa"/>
            <w:vAlign w:val="bottom"/>
            <w:gridSpan w:val="2"/>
          </w:tcPr>
          <w:p>
            <w:pPr>
              <w:ind w:left="40"/>
              <w:spacing w:after="0" w:line="230"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661,376</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960" w:type="dxa"/>
            <w:vAlign w:val="bottom"/>
          </w:tcPr>
          <w:p>
            <w:pPr>
              <w:ind w:left="160"/>
              <w:spacing w:after="0"/>
              <w:rPr>
                <w:sz w:val="20"/>
                <w:szCs w:val="20"/>
                <w:color w:val="auto"/>
              </w:rPr>
            </w:pPr>
            <w:r>
              <w:rPr>
                <w:rFonts w:ascii="Arial" w:cs="Arial" w:eastAsia="Arial" w:hAnsi="Arial"/>
                <w:sz w:val="14"/>
                <w:szCs w:val="14"/>
                <w:i w:val="1"/>
                <w:iCs w:val="1"/>
                <w:color w:val="auto"/>
              </w:rPr>
              <w:t>Chief Development Officer</w:t>
            </w:r>
          </w:p>
        </w:tc>
        <w:tc>
          <w:tcPr>
            <w:tcW w:w="340" w:type="dxa"/>
            <w:vAlign w:val="bottom"/>
          </w:tcPr>
          <w:p>
            <w:pPr>
              <w:spacing w:after="0"/>
              <w:rPr>
                <w:sz w:val="17"/>
                <w:szCs w:val="17"/>
                <w:color w:val="auto"/>
              </w:rPr>
            </w:pPr>
          </w:p>
        </w:tc>
        <w:tc>
          <w:tcPr>
            <w:tcW w:w="2880" w:type="dxa"/>
            <w:vAlign w:val="bottom"/>
            <w:gridSpan w:val="11"/>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​2021</w:t>
            </w:r>
            <w:r>
              <w:rPr>
                <w:rFonts w:ascii="Arial" w:cs="Arial" w:eastAsia="Arial" w:hAnsi="Arial"/>
                <w:sz w:val="23"/>
                <w:szCs w:val="23"/>
                <w:color w:val="auto"/>
                <w:vertAlign w:val="superscript"/>
              </w:rPr>
              <w:t>​​ ​​</w:t>
            </w:r>
            <w:r>
              <w:rPr>
                <w:rFonts w:ascii="Arial" w:cs="Arial" w:eastAsia="Arial" w:hAnsi="Arial"/>
                <w:sz w:val="13"/>
                <w:szCs w:val="13"/>
                <w:color w:val="auto"/>
              </w:rPr>
              <w:t>​475,000</w:t>
            </w:r>
            <w:r>
              <w:rPr>
                <w:rFonts w:ascii="Arial" w:cs="Arial" w:eastAsia="Arial" w:hAnsi="Arial"/>
                <w:sz w:val="23"/>
                <w:szCs w:val="23"/>
                <w:color w:val="auto"/>
                <w:vertAlign w:val="superscript"/>
              </w:rPr>
              <w:t>​​ ​​</w:t>
            </w:r>
            <w:r>
              <w:rPr>
                <w:rFonts w:ascii="Arial" w:cs="Arial" w:eastAsia="Arial" w:hAnsi="Arial"/>
                <w:sz w:val="13"/>
                <w:szCs w:val="13"/>
                <w:color w:val="auto"/>
              </w:rPr>
              <w:t>​166,250</w:t>
            </w:r>
            <w:r>
              <w:rPr>
                <w:rFonts w:ascii="Arial" w:cs="Arial" w:eastAsia="Arial" w:hAnsi="Arial"/>
                <w:sz w:val="23"/>
                <w:szCs w:val="23"/>
                <w:color w:val="auto"/>
                <w:vertAlign w:val="superscript"/>
              </w:rPr>
              <w:t>​​ ​​</w:t>
            </w:r>
            <w:r>
              <w:rPr>
                <w:rFonts w:ascii="Arial" w:cs="Arial" w:eastAsia="Arial" w:hAnsi="Arial"/>
                <w:sz w:val="13"/>
                <w:szCs w:val="13"/>
                <w:color w:val="auto"/>
              </w:rPr>
              <w:t>​1,000,000</w:t>
            </w:r>
            <w:r>
              <w:rPr>
                <w:rFonts w:ascii="Arial" w:cs="Arial" w:eastAsia="Arial" w:hAnsi="Arial"/>
                <w:sz w:val="23"/>
                <w:szCs w:val="23"/>
                <w:color w:val="auto"/>
                <w:vertAlign w:val="superscript"/>
              </w:rPr>
              <w:t>​​</w:t>
            </w:r>
          </w:p>
        </w:tc>
        <w:tc>
          <w:tcPr>
            <w:tcW w:w="960" w:type="dxa"/>
            <w:vAlign w:val="bottom"/>
            <w:gridSpan w:val="5"/>
          </w:tcPr>
          <w:p>
            <w:pPr>
              <w:ind w:left="20"/>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4,539,262</w:t>
            </w:r>
            <w:r>
              <w:rPr>
                <w:rFonts w:ascii="Arial" w:cs="Arial" w:eastAsia="Arial" w:hAnsi="Arial"/>
                <w:sz w:val="23"/>
                <w:szCs w:val="23"/>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​12,838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8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6,193,350</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3"/>
        </w:trPr>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210"/>
        </w:trPr>
        <w:tc>
          <w:tcPr>
            <w:tcW w:w="1960" w:type="dxa"/>
            <w:vAlign w:val="bottom"/>
          </w:tcPr>
          <w:p>
            <w:pPr>
              <w:spacing w:after="0"/>
              <w:rPr>
                <w:sz w:val="20"/>
                <w:szCs w:val="20"/>
                <w:color w:val="auto"/>
              </w:rPr>
            </w:pPr>
            <w:r>
              <w:rPr>
                <w:rFonts w:ascii="Arial" w:cs="Arial" w:eastAsia="Arial" w:hAnsi="Arial"/>
                <w:sz w:val="14"/>
                <w:szCs w:val="14"/>
                <w:color w:val="auto"/>
              </w:rPr>
              <w:t>Craig Shesky</w:t>
            </w:r>
          </w:p>
        </w:tc>
        <w:tc>
          <w:tcPr>
            <w:tcW w:w="340" w:type="dxa"/>
            <w:vAlign w:val="bottom"/>
          </w:tcPr>
          <w:p>
            <w:pPr>
              <w:ind w:left="300"/>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CCEEFF"/>
            </w:tcBorders>
            <w:gridSpan w:val="8"/>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​2022</w:t>
            </w:r>
            <w:r>
              <w:rPr>
                <w:rFonts w:ascii="Arial" w:cs="Arial" w:eastAsia="Arial" w:hAnsi="Arial"/>
                <w:sz w:val="23"/>
                <w:szCs w:val="23"/>
                <w:color w:val="auto"/>
                <w:vertAlign w:val="superscript"/>
              </w:rPr>
              <w:t>​​ ​​</w:t>
            </w:r>
            <w:r>
              <w:rPr>
                <w:rFonts w:ascii="Arial" w:cs="Arial" w:eastAsia="Arial" w:hAnsi="Arial"/>
                <w:sz w:val="13"/>
                <w:szCs w:val="13"/>
                <w:color w:val="auto"/>
              </w:rPr>
              <w:t>​350,000</w:t>
            </w:r>
            <w:r>
              <w:rPr>
                <w:rFonts w:ascii="Arial" w:cs="Arial" w:eastAsia="Arial" w:hAnsi="Arial"/>
                <w:sz w:val="23"/>
                <w:szCs w:val="23"/>
                <w:color w:val="auto"/>
                <w:vertAlign w:val="superscript"/>
              </w:rPr>
              <w:t>​​ ​​</w:t>
            </w:r>
            <w:r>
              <w:rPr>
                <w:rFonts w:ascii="Arial" w:cs="Arial" w:eastAsia="Arial" w:hAnsi="Arial"/>
                <w:sz w:val="13"/>
                <w:szCs w:val="13"/>
                <w:color w:val="auto"/>
              </w:rPr>
              <w:t>​186,250</w:t>
            </w:r>
            <w:r>
              <w:rPr>
                <w:rFonts w:ascii="Arial" w:cs="Arial" w:eastAsia="Arial" w:hAnsi="Arial"/>
                <w:sz w:val="23"/>
                <w:szCs w:val="23"/>
                <w:color w:val="auto"/>
                <w:vertAlign w:val="superscript"/>
              </w:rPr>
              <w:t>​​ ​​</w:t>
            </w: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w:t>
            </w:r>
          </w:p>
        </w:tc>
        <w:tc>
          <w:tcPr>
            <w:tcW w:w="160" w:type="dxa"/>
            <w:vAlign w:val="bottom"/>
            <w:tcBorders>
              <w:bottom w:val="single" w:sz="8" w:color="CCEEFF"/>
            </w:tcBorders>
            <w:gridSpan w:val="2"/>
            <w:shd w:val="clear" w:color="auto" w:fill="CCEEFF"/>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08"/>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​32,339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gridSpan w:val="2"/>
            <w:shd w:val="clear" w:color="auto" w:fill="CCEEFF"/>
          </w:tcPr>
          <w:p>
            <w:pPr>
              <w:ind w:left="4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605,256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960" w:type="dxa"/>
            <w:vAlign w:val="bottom"/>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340" w:type="dxa"/>
            <w:vAlign w:val="bottom"/>
          </w:tcPr>
          <w:p>
            <w:pPr>
              <w:spacing w:after="0"/>
              <w:rPr>
                <w:sz w:val="24"/>
                <w:szCs w:val="24"/>
                <w:color w:val="auto"/>
              </w:rPr>
            </w:pPr>
          </w:p>
        </w:tc>
        <w:tc>
          <w:tcPr>
            <w:tcW w:w="2140" w:type="dxa"/>
            <w:vAlign w:val="bottom"/>
            <w:gridSpan w:val="8"/>
          </w:tcPr>
          <w:p>
            <w:pPr>
              <w:jc w:val="right"/>
              <w:spacing w:after="0" w:line="29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​2021</w:t>
            </w:r>
            <w:r>
              <w:rPr>
                <w:rFonts w:ascii="Arial" w:cs="Arial" w:eastAsia="Arial" w:hAnsi="Arial"/>
                <w:sz w:val="28"/>
                <w:szCs w:val="28"/>
                <w:color w:val="auto"/>
                <w:vertAlign w:val="superscript"/>
              </w:rPr>
              <w:t>​​ ​​</w:t>
            </w:r>
            <w:r>
              <w:rPr>
                <w:rFonts w:ascii="Arial" w:cs="Arial" w:eastAsia="Arial" w:hAnsi="Arial"/>
                <w:sz w:val="14"/>
                <w:szCs w:val="14"/>
                <w:color w:val="auto"/>
              </w:rPr>
              <w:t>​234,896</w:t>
            </w:r>
            <w:r>
              <w:rPr>
                <w:rFonts w:ascii="Arial" w:cs="Arial" w:eastAsia="Arial" w:hAnsi="Arial"/>
                <w:sz w:val="28"/>
                <w:szCs w:val="28"/>
                <w:color w:val="auto"/>
                <w:vertAlign w:val="superscript"/>
              </w:rPr>
              <w:t>​​ ​​</w:t>
            </w:r>
            <w:r>
              <w:rPr>
                <w:rFonts w:ascii="Arial" w:cs="Arial" w:eastAsia="Arial" w:hAnsi="Arial"/>
                <w:sz w:val="14"/>
                <w:szCs w:val="14"/>
                <w:color w:val="auto"/>
              </w:rPr>
              <w:t>​ 82,214</w:t>
            </w:r>
            <w:r>
              <w:rPr>
                <w:rFonts w:ascii="Arial" w:cs="Arial" w:eastAsia="Arial" w:hAnsi="Arial"/>
                <w:sz w:val="28"/>
                <w:szCs w:val="28"/>
                <w:color w:val="auto"/>
                <w:vertAlign w:val="superscript"/>
              </w:rPr>
              <w:t>​​ ​​</w:t>
            </w:r>
            <w:r>
              <w:rPr>
                <w:rFonts w:ascii="Arial" w:cs="Arial" w:eastAsia="Arial" w:hAnsi="Arial"/>
                <w:sz w:val="14"/>
                <w:szCs w:val="14"/>
                <w:color w:val="auto"/>
              </w:rPr>
              <w:t>​</w:t>
            </w:r>
          </w:p>
        </w:tc>
        <w:tc>
          <w:tcPr>
            <w:tcW w:w="740" w:type="dxa"/>
            <w:vAlign w:val="bottom"/>
            <w:gridSpan w:val="3"/>
          </w:tcPr>
          <w:p>
            <w:pPr>
              <w:jc w:val="right"/>
              <w:spacing w:after="0" w:line="297" w:lineRule="exact"/>
              <w:rPr>
                <w:sz w:val="20"/>
                <w:szCs w:val="20"/>
                <w:color w:val="auto"/>
              </w:rPr>
            </w:pPr>
            <w:r>
              <w:rPr>
                <w:rFonts w:ascii="Arial" w:cs="Arial" w:eastAsia="Arial" w:hAnsi="Arial"/>
                <w:sz w:val="14"/>
                <w:szCs w:val="14"/>
                <w:color w:val="auto"/>
              </w:rPr>
              <w:t>750,000</w:t>
            </w:r>
            <w:r>
              <w:rPr>
                <w:rFonts w:ascii="Arial" w:cs="Arial" w:eastAsia="Arial" w:hAnsi="Arial"/>
                <w:sz w:val="28"/>
                <w:szCs w:val="28"/>
                <w:color w:val="auto"/>
                <w:vertAlign w:val="superscript"/>
              </w:rPr>
              <w:t>​​</w:t>
            </w:r>
          </w:p>
        </w:tc>
        <w:tc>
          <w:tcPr>
            <w:tcW w:w="960" w:type="dxa"/>
            <w:vAlign w:val="bottom"/>
            <w:gridSpan w:val="5"/>
          </w:tcPr>
          <w:p>
            <w:pPr>
              <w:ind w:left="20"/>
              <w:spacing w:after="0" w:line="29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2,328,589</w:t>
            </w:r>
            <w:r>
              <w:rPr>
                <w:rFonts w:ascii="Arial" w:cs="Arial" w:eastAsia="Arial" w:hAnsi="Arial"/>
                <w:sz w:val="28"/>
                <w:szCs w:val="28"/>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​23,490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40" w:type="dxa"/>
            <w:vAlign w:val="bottom"/>
            <w:gridSpan w:val="3"/>
          </w:tcPr>
          <w:p>
            <w:pPr>
              <w:ind w:left="40"/>
              <w:spacing w:after="0" w:line="29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3,419,188</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-899795</wp:posOffset>
            </wp:positionV>
            <wp:extent cx="5212080"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29146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-334010</wp:posOffset>
            </wp:positionV>
            <wp:extent cx="5212080" cy="334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33464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128905</wp:posOffset>
            </wp:positionV>
            <wp:extent cx="6858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35" w:lineRule="exact"/>
        <w:rPr>
          <w:sz w:val="20"/>
          <w:szCs w:val="20"/>
          <w:color w:val="auto"/>
        </w:rPr>
      </w:pPr>
    </w:p>
    <w:p>
      <w:pPr>
        <w:jc w:val="both"/>
        <w:ind w:left="1600" w:right="419" w:hanging="352"/>
        <w:spacing w:after="0" w:line="272"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 the year ended December 31, 2022, the Company awarded an annual STIP bonus at 75% of target. The executives received their entire 2022 STIP bonus in the form of immediately vested RSUs. The number of RSUs granted was 369,549 units for Gerard Barron, 234,738 units for Anthony O’Sullivan, and 228,924 units for Craig Shesky. The RSUs were granted on March 29, 2023, effective as of March 20, 2023, and the number of RSUs issued to each executive was based on the closing price of our common shares on the approval date of $0.86. For the year ended December 31, 2021, the Company awarded an annual STIP bonus at 70% of target. The executives received their entire 2021 STIP bonus in the form of immediately vested RSUs. The number of RSUs granted was 180,869 units for Gerard Barron, 101,372 units for Anthony O’Sullivan, and 50,130 units for Craig Shesky. The RSUs were granted on February 2, 2022 and the number of RSUs received by each executive was based on the closing price of our common shares on the grant date of $1.64.</w:t>
      </w:r>
    </w:p>
    <w:p>
      <w:pPr>
        <w:spacing w:after="0" w:line="45" w:lineRule="exact"/>
        <w:rPr>
          <w:rFonts w:ascii="Arial" w:cs="Arial" w:eastAsia="Arial" w:hAnsi="Arial"/>
          <w:sz w:val="14"/>
          <w:szCs w:val="14"/>
          <w:color w:val="auto"/>
        </w:rPr>
      </w:pPr>
    </w:p>
    <w:p>
      <w:pPr>
        <w:jc w:val="both"/>
        <w:ind w:left="1600" w:right="419" w:hanging="352"/>
        <w:spacing w:after="0" w:line="293"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Stock awards consists of RSUs granted during the year ended December 31, 2021. The grant date fair value is computed based on the closing market price on the date of grant in accordance with FASB ASC Topic 718, </w:t>
      </w:r>
      <w:r>
        <w:rPr>
          <w:rFonts w:ascii="Arial" w:cs="Arial" w:eastAsia="Arial" w:hAnsi="Arial"/>
          <w:sz w:val="14"/>
          <w:szCs w:val="14"/>
          <w:i w:val="1"/>
          <w:iCs w:val="1"/>
          <w:color w:val="auto"/>
        </w:rPr>
        <w:t>Compensation — Stock</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w:t>
      </w:r>
      <w:r>
        <w:rPr>
          <w:rFonts w:ascii="Arial" w:cs="Arial" w:eastAsia="Arial" w:hAnsi="Arial"/>
          <w:sz w:val="14"/>
          <w:szCs w:val="14"/>
          <w:color w:val="auto"/>
        </w:rPr>
        <w:t>(“ASC 718”</w:t>
      </w:r>
      <w:r>
        <w:rPr>
          <w:rFonts w:ascii="Arial" w:cs="Arial" w:eastAsia="Arial" w:hAnsi="Arial"/>
          <w:sz w:val="14"/>
          <w:szCs w:val="14"/>
          <w:i w:val="1"/>
          <w:iCs w:val="1"/>
          <w:color w:val="auto"/>
        </w:rPr>
        <w:t>)</w:t>
      </w:r>
      <w:r>
        <w:rPr>
          <w:rFonts w:ascii="Arial" w:cs="Arial" w:eastAsia="Arial" w:hAnsi="Arial"/>
          <w:sz w:val="14"/>
          <w:szCs w:val="14"/>
          <w:color w:val="auto"/>
        </w:rPr>
        <w:t>. There were no stock awards granted in 2022.</w:t>
      </w:r>
    </w:p>
    <w:p>
      <w:pPr>
        <w:spacing w:after="0" w:line="17" w:lineRule="exact"/>
        <w:rPr>
          <w:rFonts w:ascii="Arial" w:cs="Arial" w:eastAsia="Arial" w:hAnsi="Arial"/>
          <w:sz w:val="14"/>
          <w:szCs w:val="14"/>
          <w:color w:val="auto"/>
        </w:rPr>
      </w:pPr>
    </w:p>
    <w:p>
      <w:pPr>
        <w:jc w:val="both"/>
        <w:ind w:left="1600" w:right="419" w:hanging="352"/>
        <w:spacing w:after="0" w:line="276"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amounts shown in this column represent the aggregate grant date fair value of the time-based stock option awards and performance-based stock option awards granted by DeepGreen prior to the Business Combination, computed in accordance with FASB ASC Topic 718. Under SEC rules, these performance-based option awards are valued based on the probable outcome of the performance conditions associated with these awards, which a portion was determined to be not probable at grant. As a result, the amount determined to be not probable at grant in respect to the performance-based stock options granted in 2021 has been excluded in the table above. The grant date fair value of these performance-based stock option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600" w:right="419"/>
        <w:spacing w:after="0" w:line="282" w:lineRule="auto"/>
        <w:rPr>
          <w:sz w:val="20"/>
          <w:szCs w:val="20"/>
          <w:color w:val="auto"/>
        </w:rPr>
      </w:pPr>
      <w:r>
        <w:rPr>
          <w:rFonts w:ascii="Arial" w:cs="Arial" w:eastAsia="Arial" w:hAnsi="Arial"/>
          <w:sz w:val="14"/>
          <w:szCs w:val="14"/>
          <w:color w:val="auto"/>
        </w:rPr>
        <w:t>awards, assuming the performance conditions are achieved in full, is $12,618,997 for Gerard Barron, $5,608,440 for Anthony O’Sullivan, and $1,402,106 for Craig Shesky. Additional information can be found in note 15 to the audited consolidated financial statements included in our Annual Report on Form 10-K for the year ended December 31, 2022. There were no stock option awards granted in 2022.</w:t>
      </w:r>
    </w:p>
    <w:p>
      <w:pPr>
        <w:spacing w:after="0" w:line="40" w:lineRule="exact"/>
        <w:rPr>
          <w:sz w:val="20"/>
          <w:szCs w:val="20"/>
          <w:color w:val="auto"/>
        </w:rPr>
      </w:pPr>
    </w:p>
    <w:p>
      <w:pPr>
        <w:ind w:left="1600" w:right="439" w:hanging="352"/>
        <w:spacing w:after="0" w:line="305" w:lineRule="auto"/>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Australian superannuation contributions made by TMC/DeepGreen during the years 2022 and 2021 for Anthony O’Sullivan and U.S. 401(k) benefits made by TMC/DeepGreen during the years 2022 and 2021for Craig Shesky.</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Outstanding Equity Awards at 2022 Fiscal Year-End</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following table sets forth certain information regarding outstanding equity awards held by the NEOs as of December 31, 2022.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48"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jc w:val="right"/>
              <w:ind w:right="627"/>
              <w:spacing w:after="0"/>
              <w:rPr>
                <w:sz w:val="20"/>
                <w:szCs w:val="20"/>
                <w:color w:val="auto"/>
              </w:rPr>
            </w:pPr>
            <w:r>
              <w:rPr>
                <w:rFonts w:ascii="Arial" w:cs="Arial" w:eastAsia="Arial" w:hAnsi="Arial"/>
                <w:sz w:val="14"/>
                <w:szCs w:val="14"/>
                <w:b w:val="1"/>
                <w:bCs w:val="1"/>
                <w:color w:val="auto"/>
              </w:rPr>
              <w:t>​ ​​</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Option Awards</w:t>
            </w: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units of</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units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 that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 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08"/>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ind w:right="8"/>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have not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have not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Unexercisable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Price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5"/>
          </w:tcPr>
          <w:p>
            <w:pPr>
              <w:ind w:left="100"/>
              <w:spacing w:after="0"/>
              <w:rPr>
                <w:sz w:val="20"/>
                <w:szCs w:val="20"/>
                <w:color w:val="auto"/>
              </w:rPr>
            </w:pPr>
            <w:r>
              <w:rPr>
                <w:rFonts w:ascii="Arial" w:cs="Arial" w:eastAsia="Arial" w:hAnsi="Arial"/>
                <w:sz w:val="14"/>
                <w:szCs w:val="14"/>
                <w:b w:val="1"/>
                <w:bCs w:val="1"/>
                <w:color w:val="auto"/>
              </w:rPr>
              <w:t>​ ​Grant Date ​ ​</w:t>
            </w:r>
          </w:p>
        </w:tc>
        <w:tc>
          <w:tcPr>
            <w:tcW w:w="160" w:type="dxa"/>
            <w:vAlign w:val="bottom"/>
          </w:tcPr>
          <w:p>
            <w:pPr>
              <w:spacing w:after="0"/>
              <w:rPr>
                <w:sz w:val="15"/>
                <w:szCs w:val="15"/>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5"/>
                <w:szCs w:val="15"/>
                <w:color w:val="auto"/>
              </w:rPr>
            </w:pPr>
          </w:p>
        </w:tc>
        <w:tc>
          <w:tcPr>
            <w:tcW w:w="620" w:type="dxa"/>
            <w:vAlign w:val="bottom"/>
          </w:tcPr>
          <w:p>
            <w:pPr>
              <w:jc w:val="right"/>
              <w:ind w:right="108"/>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80" w:type="dxa"/>
            <w:vAlign w:val="bottom"/>
          </w:tcPr>
          <w:p>
            <w:pPr>
              <w:spacing w:after="0"/>
              <w:rPr>
                <w:sz w:val="15"/>
                <w:szCs w:val="15"/>
                <w:color w:val="auto"/>
              </w:rPr>
            </w:pPr>
          </w:p>
        </w:tc>
        <w:tc>
          <w:tcPr>
            <w:tcW w:w="4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8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5"/>
                <w:szCs w:val="15"/>
                <w:color w:val="auto"/>
              </w:rPr>
            </w:pPr>
          </w:p>
        </w:tc>
        <w:tc>
          <w:tcPr>
            <w:tcW w:w="540" w:type="dxa"/>
            <w:vAlign w:val="bottom"/>
          </w:tcPr>
          <w:p>
            <w:pPr>
              <w:ind w:left="60"/>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80" w:type="dxa"/>
            <w:vAlign w:val="bottom"/>
          </w:tcPr>
          <w:p>
            <w:pPr>
              <w:spacing w:after="0"/>
              <w:rPr>
                <w:sz w:val="15"/>
                <w:szCs w:val="15"/>
                <w:color w:val="auto"/>
              </w:rPr>
            </w:pPr>
          </w:p>
        </w:tc>
        <w:tc>
          <w:tcPr>
            <w:tcW w:w="560" w:type="dxa"/>
            <w:vAlign w:val="bottom"/>
          </w:tcPr>
          <w:p>
            <w:pPr>
              <w:jc w:val="right"/>
              <w:ind w:right="148"/>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1320" w:type="dxa"/>
            <w:vAlign w:val="bottom"/>
            <w:gridSpan w:val="3"/>
            <w:vMerge w:val="restart"/>
          </w:tcPr>
          <w:p>
            <w:pPr>
              <w:spacing w:after="0"/>
              <w:rPr>
                <w:sz w:val="20"/>
                <w:szCs w:val="20"/>
                <w:color w:val="auto"/>
              </w:rPr>
            </w:pPr>
            <w:r>
              <w:rPr>
                <w:rFonts w:ascii="Arial" w:cs="Arial" w:eastAsia="Arial" w:hAnsi="Arial"/>
                <w:sz w:val="14"/>
                <w:szCs w:val="14"/>
                <w:color w:val="auto"/>
              </w:rPr>
              <w:t>Gerard Barron</w:t>
            </w:r>
          </w:p>
        </w:tc>
        <w:tc>
          <w:tcPr>
            <w:tcW w:w="140" w:type="dxa"/>
            <w:vAlign w:val="bottom"/>
          </w:tcPr>
          <w:p>
            <w:pPr>
              <w:ind w:left="100"/>
              <w:spacing w:after="0" w:line="11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ind w:left="40"/>
              <w:spacing w:after="0" w:line="11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627"/>
              <w:spacing w:after="0" w:line="11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ind w:left="100"/>
              <w:spacing w:after="0" w:line="11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 ​</w:t>
            </w:r>
          </w:p>
        </w:tc>
        <w:tc>
          <w:tcPr>
            <w:tcW w:w="200" w:type="dxa"/>
            <w:vAlign w:val="bottom"/>
            <w:shd w:val="clear" w:color="auto" w:fill="CCEEFF"/>
          </w:tcPr>
          <w:p>
            <w:pPr>
              <w:ind w:left="160"/>
              <w:spacing w:after="0" w:line="115" w:lineRule="exact"/>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 ​ ​</w:t>
            </w:r>
          </w:p>
        </w:tc>
        <w:tc>
          <w:tcPr>
            <w:tcW w:w="18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 ​</w:t>
            </w:r>
          </w:p>
        </w:tc>
        <w:tc>
          <w:tcPr>
            <w:tcW w:w="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20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 ​</w:t>
            </w:r>
          </w:p>
        </w:tc>
        <w:tc>
          <w:tcPr>
            <w:tcW w:w="180" w:type="dxa"/>
            <w:vAlign w:val="bottom"/>
            <w:shd w:val="clear" w:color="auto" w:fill="CCEEFF"/>
          </w:tcPr>
          <w:p>
            <w:pPr>
              <w:ind w:left="80"/>
              <w:spacing w:after="0" w:line="115"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​05/16/2019</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2"/>
                <w:szCs w:val="12"/>
                <w:color w:val="auto"/>
              </w:rPr>
              <w:t>​3,473,586</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ind w:left="160"/>
              <w:spacing w:after="0" w:line="108" w:lineRule="exact"/>
              <w:rPr>
                <w:sz w:val="20"/>
                <w:szCs w:val="20"/>
                <w:color w:val="auto"/>
              </w:rPr>
            </w:pPr>
            <w:r>
              <w:rPr>
                <w:rFonts w:ascii="Arial" w:cs="Arial" w:eastAsia="Arial" w:hAnsi="Arial"/>
                <w:sz w:val="12"/>
                <w:szCs w:val="12"/>
                <w:color w:val="auto"/>
              </w:rPr>
              <w:t>​</w:t>
            </w:r>
          </w:p>
        </w:tc>
        <w:tc>
          <w:tcPr>
            <w:tcW w:w="6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2"/>
                <w:szCs w:val="12"/>
                <w:color w:val="auto"/>
              </w:rPr>
              <w:t>$ 0.65</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2"/>
                <w:szCs w:val="12"/>
                <w:color w:val="auto"/>
              </w:rPr>
              <w:t>​06/01/2028</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ind w:left="120"/>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ind w:left="80"/>
              <w:spacing w:after="0" w:line="108" w:lineRule="exact"/>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4"/>
          </w:tcPr>
          <w:p>
            <w:pPr>
              <w:jc w:val="right"/>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​03/04/2021</w:t>
            </w:r>
            <w:r>
              <w:rPr>
                <w:rFonts w:ascii="Arial" w:cs="Arial" w:eastAsia="Arial" w:hAnsi="Arial"/>
                <w:sz w:val="20"/>
                <w:szCs w:val="20"/>
                <w:color w:val="auto"/>
                <w:vertAlign w:val="superscript"/>
              </w:rPr>
              <w:t>​​ ​</w:t>
            </w:r>
          </w:p>
        </w:tc>
        <w:tc>
          <w:tcPr>
            <w:tcW w:w="160" w:type="dxa"/>
            <w:vAlign w:val="bottom"/>
          </w:tcPr>
          <w:p>
            <w:pPr>
              <w:ind w:left="10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604,458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16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​2,275,334</w:t>
            </w:r>
          </w:p>
        </w:tc>
        <w:tc>
          <w:tcPr>
            <w:tcW w:w="1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ind w:left="12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​0.65</w:t>
            </w:r>
          </w:p>
        </w:tc>
        <w:tc>
          <w:tcPr>
            <w:tcW w:w="1140" w:type="dxa"/>
            <w:vAlign w:val="bottom"/>
            <w:gridSpan w:val="5"/>
          </w:tcPr>
          <w:p>
            <w:pPr>
              <w:jc w:val="right"/>
              <w:spacing w:after="0" w:line="180"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​06/01/2028</w:t>
            </w:r>
            <w:r>
              <w:rPr>
                <w:rFonts w:ascii="Arial" w:cs="Arial" w:eastAsia="Arial" w:hAnsi="Arial"/>
                <w:sz w:val="20"/>
                <w:szCs w:val="20"/>
                <w:color w:val="auto"/>
                <w:vertAlign w:val="superscript"/>
              </w:rPr>
              <w:t>​​ ​</w:t>
            </w:r>
          </w:p>
        </w:tc>
        <w:tc>
          <w:tcPr>
            <w:tcW w:w="200" w:type="dxa"/>
            <w:vAlign w:val="bottom"/>
          </w:tcPr>
          <w:p>
            <w:pPr>
              <w:ind w:left="12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​11/22/2021</w:t>
            </w:r>
            <w:r>
              <w:rPr>
                <w:rFonts w:ascii="Arial" w:cs="Arial" w:eastAsia="Arial" w:hAnsi="Arial"/>
                <w:sz w:val="23"/>
                <w:szCs w:val="23"/>
                <w:color w:val="auto"/>
                <w:vertAlign w:val="superscript"/>
              </w:rPr>
              <w:t>​​ ​</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  —</w:t>
            </w:r>
          </w:p>
        </w:tc>
        <w:tc>
          <w:tcPr>
            <w:tcW w:w="300" w:type="dxa"/>
            <w:vAlign w:val="bottom"/>
            <w:gridSpan w:val="3"/>
          </w:tcPr>
          <w:p>
            <w:pPr>
              <w:jc w:val="right"/>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8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w:t>
            </w:r>
          </w:p>
        </w:tc>
        <w:tc>
          <w:tcPr>
            <w:tcW w:w="740" w:type="dxa"/>
            <w:vAlign w:val="bottom"/>
            <w:gridSpan w:val="2"/>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​520,833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​401,042</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1320" w:type="dxa"/>
            <w:vAlign w:val="bottom"/>
            <w:gridSpan w:val="3"/>
            <w:vMerge w:val="restart"/>
          </w:tcPr>
          <w:p>
            <w:pPr>
              <w:spacing w:after="0"/>
              <w:rPr>
                <w:sz w:val="20"/>
                <w:szCs w:val="20"/>
                <w:color w:val="auto"/>
              </w:rPr>
            </w:pPr>
            <w:r>
              <w:rPr>
                <w:rFonts w:ascii="Arial" w:cs="Arial" w:eastAsia="Arial" w:hAnsi="Arial"/>
                <w:sz w:val="14"/>
                <w:szCs w:val="14"/>
                <w:color w:val="auto"/>
              </w:rPr>
              <w:t>Anthony O’Sullivan</w:t>
            </w:r>
          </w:p>
        </w:tc>
        <w:tc>
          <w:tcPr>
            <w:tcW w:w="960" w:type="dxa"/>
            <w:vAlign w:val="bottom"/>
            <w:gridSpan w:val="3"/>
          </w:tcPr>
          <w:p>
            <w:pPr>
              <w:jc w:val="right"/>
              <w:ind w:right="627"/>
              <w:spacing w:after="0" w:line="145" w:lineRule="exact"/>
              <w:rPr>
                <w:sz w:val="20"/>
                <w:szCs w:val="20"/>
                <w:color w:val="auto"/>
              </w:rPr>
            </w:pPr>
            <w:r>
              <w:rPr>
                <w:rFonts w:ascii="Arial" w:cs="Arial" w:eastAsia="Arial" w:hAnsi="Arial"/>
                <w:sz w:val="14"/>
                <w:szCs w:val="14"/>
                <w:color w:val="auto"/>
              </w:rPr>
              <w:t>​ ​​</w:t>
            </w:r>
          </w:p>
        </w:tc>
        <w:tc>
          <w:tcPr>
            <w:tcW w:w="2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45" w:lineRule="exact"/>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466,965</w:t>
            </w:r>
          </w:p>
        </w:tc>
        <w:tc>
          <w:tcPr>
            <w:tcW w:w="2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145"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 ​ ​</w:t>
            </w:r>
          </w:p>
        </w:tc>
        <w:tc>
          <w:tcPr>
            <w:tcW w:w="18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30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2"/>
                <w:szCs w:val="12"/>
                <w:color w:val="auto"/>
              </w:rPr>
            </w:pPr>
          </w:p>
        </w:tc>
        <w:tc>
          <w:tcPr>
            <w:tcW w:w="180" w:type="dxa"/>
            <w:vAlign w:val="bottom"/>
          </w:tcPr>
          <w:p>
            <w:pPr>
              <w:jc w:val="right"/>
              <w:spacing w:after="0" w:line="145" w:lineRule="exact"/>
              <w:rPr>
                <w:sz w:val="20"/>
                <w:szCs w:val="20"/>
                <w:color w:val="auto"/>
              </w:rPr>
            </w:pPr>
            <w:r>
              <w:rPr>
                <w:rFonts w:ascii="Arial" w:cs="Arial" w:eastAsia="Arial" w:hAnsi="Arial"/>
                <w:sz w:val="14"/>
                <w:szCs w:val="14"/>
                <w:color w:val="auto"/>
              </w:rPr>
              <w:t>​​ ​</w:t>
            </w:r>
          </w:p>
        </w:tc>
        <w:tc>
          <w:tcPr>
            <w:tcW w:w="200" w:type="dxa"/>
            <w:vAlign w:val="bottom"/>
          </w:tcPr>
          <w:p>
            <w:pPr>
              <w:ind w:left="120"/>
              <w:spacing w:after="0" w:line="145" w:lineRule="exact"/>
              <w:rPr>
                <w:sz w:val="20"/>
                <w:szCs w:val="20"/>
                <w:color w:val="auto"/>
              </w:rPr>
            </w:pPr>
            <w:r>
              <w:rPr>
                <w:rFonts w:ascii="Arial" w:cs="Arial" w:eastAsia="Arial" w:hAnsi="Arial"/>
                <w:sz w:val="14"/>
                <w:szCs w:val="14"/>
                <w:color w:val="auto"/>
              </w:rPr>
              <w:t>​</w:t>
            </w:r>
          </w:p>
        </w:tc>
        <w:tc>
          <w:tcPr>
            <w:tcW w:w="54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 ​</w:t>
            </w:r>
          </w:p>
        </w:tc>
        <w:tc>
          <w:tcPr>
            <w:tcW w:w="180" w:type="dxa"/>
            <w:vAlign w:val="bottom"/>
          </w:tcPr>
          <w:p>
            <w:pPr>
              <w:ind w:left="80"/>
              <w:spacing w:after="0" w:line="145" w:lineRule="exact"/>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5"/>
        </w:trPr>
        <w:tc>
          <w:tcPr>
            <w:tcW w:w="13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right"/>
              <w:spacing w:after="0" w:line="85" w:lineRule="exact"/>
              <w:rPr>
                <w:sz w:val="20"/>
                <w:szCs w:val="20"/>
                <w:color w:val="auto"/>
              </w:rPr>
            </w:pPr>
            <w:r>
              <w:rPr>
                <w:rFonts w:ascii="Arial" w:cs="Arial" w:eastAsia="Arial" w:hAnsi="Arial"/>
                <w:sz w:val="9"/>
                <w:szCs w:val="9"/>
                <w:color w:val="auto"/>
              </w:rPr>
              <w:t>​05/16/2019</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ind w:left="100"/>
              <w:spacing w:after="0" w:line="85" w:lineRule="exact"/>
              <w:rPr>
                <w:sz w:val="20"/>
                <w:szCs w:val="20"/>
                <w:color w:val="auto"/>
              </w:rPr>
            </w:pPr>
            <w:r>
              <w:rPr>
                <w:rFonts w:ascii="Arial" w:cs="Arial" w:eastAsia="Arial" w:hAnsi="Arial"/>
                <w:sz w:val="9"/>
                <w:szCs w:val="9"/>
                <w:color w:val="auto"/>
              </w:rPr>
              <w:t>​</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ind w:left="160"/>
              <w:spacing w:after="0" w:line="85" w:lineRule="exact"/>
              <w:rPr>
                <w:sz w:val="20"/>
                <w:szCs w:val="20"/>
                <w:color w:val="auto"/>
              </w:rPr>
            </w:pPr>
            <w:r>
              <w:rPr>
                <w:rFonts w:ascii="Arial" w:cs="Arial" w:eastAsia="Arial" w:hAnsi="Arial"/>
                <w:sz w:val="9"/>
                <w:szCs w:val="9"/>
                <w:color w:val="auto"/>
              </w:rPr>
              <w:t>​</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gridSpan w:val="2"/>
          </w:tcPr>
          <w:p>
            <w:pPr>
              <w:ind w:left="120"/>
              <w:spacing w:after="0" w:line="85" w:lineRule="exact"/>
              <w:rPr>
                <w:sz w:val="20"/>
                <w:szCs w:val="20"/>
                <w:color w:val="auto"/>
              </w:rPr>
            </w:pPr>
            <w:r>
              <w:rPr>
                <w:rFonts w:ascii="Arial" w:cs="Arial" w:eastAsia="Arial" w:hAnsi="Arial"/>
                <w:sz w:val="9"/>
                <w:szCs w:val="9"/>
                <w:color w:val="auto"/>
              </w:rPr>
              <w:t>$ 0.65</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tcPr>
          <w:p>
            <w:pPr>
              <w:ind w:left="20"/>
              <w:spacing w:after="0" w:line="85" w:lineRule="exact"/>
              <w:rPr>
                <w:sz w:val="20"/>
                <w:szCs w:val="20"/>
                <w:color w:val="auto"/>
              </w:rPr>
            </w:pPr>
            <w:r>
              <w:rPr>
                <w:rFonts w:ascii="Arial" w:cs="Arial" w:eastAsia="Arial" w:hAnsi="Arial"/>
                <w:sz w:val="9"/>
                <w:szCs w:val="9"/>
                <w:color w:val="auto"/>
              </w:rPr>
              <w:t>​06/01/2028</w:t>
            </w:r>
          </w:p>
        </w:tc>
        <w:tc>
          <w:tcPr>
            <w:tcW w:w="180" w:type="dxa"/>
            <w:vAlign w:val="bottom"/>
          </w:tcPr>
          <w:p>
            <w:pPr>
              <w:spacing w:after="0"/>
              <w:rPr>
                <w:sz w:val="7"/>
                <w:szCs w:val="7"/>
                <w:color w:val="auto"/>
              </w:rPr>
            </w:pPr>
          </w:p>
        </w:tc>
        <w:tc>
          <w:tcPr>
            <w:tcW w:w="200" w:type="dxa"/>
            <w:vAlign w:val="bottom"/>
          </w:tcPr>
          <w:p>
            <w:pPr>
              <w:ind w:left="120"/>
              <w:spacing w:after="0" w:line="85" w:lineRule="exact"/>
              <w:rPr>
                <w:sz w:val="20"/>
                <w:szCs w:val="20"/>
                <w:color w:val="auto"/>
              </w:rPr>
            </w:pPr>
            <w:r>
              <w:rPr>
                <w:rFonts w:ascii="Arial" w:cs="Arial" w:eastAsia="Arial" w:hAnsi="Arial"/>
                <w:sz w:val="9"/>
                <w:szCs w:val="9"/>
                <w:color w:val="auto"/>
              </w:rPr>
              <w:t>​</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ind w:left="80"/>
              <w:spacing w:after="0" w:line="85" w:lineRule="exact"/>
              <w:rPr>
                <w:sz w:val="20"/>
                <w:szCs w:val="20"/>
                <w:color w:val="auto"/>
              </w:rPr>
            </w:pPr>
            <w:r>
              <w:rPr>
                <w:rFonts w:ascii="Arial" w:cs="Arial" w:eastAsia="Arial" w:hAnsi="Arial"/>
                <w:sz w:val="9"/>
                <w:szCs w:val="9"/>
                <w:color w:val="auto"/>
              </w:rPr>
              <w:t>​</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​03/04/2021</w:t>
            </w:r>
            <w:r>
              <w:rPr>
                <w:rFonts w:ascii="Arial" w:cs="Arial" w:eastAsia="Arial" w:hAnsi="Arial"/>
                <w:sz w:val="23"/>
                <w:szCs w:val="23"/>
                <w:color w:val="auto"/>
                <w:vertAlign w:val="superscript"/>
              </w:rPr>
              <w:t>​​ ​</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218,707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1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​1,011,259</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​0.65</w:t>
            </w:r>
          </w:p>
        </w:tc>
        <w:tc>
          <w:tcPr>
            <w:tcW w:w="1140" w:type="dxa"/>
            <w:vAlign w:val="bottom"/>
            <w:gridSpan w:val="5"/>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​06/01/2028</w:t>
            </w:r>
            <w:r>
              <w:rPr>
                <w:rFonts w:ascii="Arial" w:cs="Arial" w:eastAsia="Arial" w:hAnsi="Arial"/>
                <w:sz w:val="23"/>
                <w:szCs w:val="23"/>
                <w:color w:val="auto"/>
                <w:vertAlign w:val="superscript"/>
              </w:rPr>
              <w:t>​​ ​</w:t>
            </w:r>
          </w:p>
        </w:tc>
        <w:tc>
          <w:tcPr>
            <w:tcW w:w="20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​11/22/2021</w:t>
            </w:r>
            <w:r>
              <w:rPr>
                <w:rFonts w:ascii="Arial" w:cs="Arial" w:eastAsia="Arial" w:hAnsi="Arial"/>
                <w:sz w:val="23"/>
                <w:szCs w:val="23"/>
                <w:color w:val="auto"/>
                <w:vertAlign w:val="superscript"/>
              </w:rPr>
              <w:t>​​ ​</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  —</w:t>
            </w:r>
          </w:p>
        </w:tc>
        <w:tc>
          <w:tcPr>
            <w:tcW w:w="300" w:type="dxa"/>
            <w:vAlign w:val="bottom"/>
            <w:gridSpan w:val="3"/>
          </w:tcPr>
          <w:p>
            <w:pPr>
              <w:jc w:val="right"/>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8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w:t>
            </w:r>
          </w:p>
        </w:tc>
        <w:tc>
          <w:tcPr>
            <w:tcW w:w="740" w:type="dxa"/>
            <w:vAlign w:val="bottom"/>
            <w:gridSpan w:val="2"/>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​208,333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​160,417</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ind w:left="100"/>
              <w:spacing w:after="0" w:line="145" w:lineRule="exact"/>
              <w:rPr>
                <w:sz w:val="20"/>
                <w:szCs w:val="20"/>
                <w:color w:val="auto"/>
              </w:rPr>
            </w:pPr>
            <w:r>
              <w:rPr>
                <w:rFonts w:ascii="Arial" w:cs="Arial" w:eastAsia="Arial" w:hAnsi="Arial"/>
                <w:sz w:val="14"/>
                <w:szCs w:val="14"/>
                <w:color w:val="auto"/>
              </w:rPr>
              <w:t>​</w:t>
            </w: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22"/>
        </w:trPr>
        <w:tc>
          <w:tcPr>
            <w:tcW w:w="1320" w:type="dxa"/>
            <w:vAlign w:val="bottom"/>
            <w:gridSpan w:val="3"/>
            <w:vMerge w:val="restart"/>
          </w:tcPr>
          <w:p>
            <w:pPr>
              <w:spacing w:after="0"/>
              <w:rPr>
                <w:sz w:val="20"/>
                <w:szCs w:val="20"/>
                <w:color w:val="auto"/>
              </w:rPr>
            </w:pPr>
            <w:r>
              <w:rPr>
                <w:rFonts w:ascii="Arial" w:cs="Arial" w:eastAsia="Arial" w:hAnsi="Arial"/>
                <w:sz w:val="14"/>
                <w:szCs w:val="14"/>
                <w:color w:val="auto"/>
              </w:rPr>
              <w:t>Craig Shesky</w:t>
            </w:r>
          </w:p>
        </w:tc>
        <w:tc>
          <w:tcPr>
            <w:tcW w:w="140" w:type="dxa"/>
            <w:vAlign w:val="bottom"/>
            <w:vMerge w:val="continue"/>
          </w:tcPr>
          <w:p>
            <w:pPr>
              <w:spacing w:after="0"/>
              <w:rPr>
                <w:sz w:val="10"/>
                <w:szCs w:val="10"/>
                <w:color w:val="auto"/>
              </w:rPr>
            </w:pPr>
          </w:p>
        </w:tc>
        <w:tc>
          <w:tcPr>
            <w:tcW w:w="820" w:type="dxa"/>
            <w:vAlign w:val="bottom"/>
            <w:gridSpan w:val="2"/>
            <w:shd w:val="clear" w:color="auto" w:fill="CCEEFF"/>
          </w:tcPr>
          <w:p>
            <w:pPr>
              <w:jc w:val="right"/>
              <w:ind w:right="627"/>
              <w:spacing w:after="0" w:line="12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22" w:lineRule="exact"/>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135,084</w:t>
            </w:r>
          </w:p>
        </w:tc>
        <w:tc>
          <w:tcPr>
            <w:tcW w:w="2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ind w:left="160"/>
              <w:spacing w:after="0" w:line="122" w:lineRule="exact"/>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 ​ ​</w:t>
            </w:r>
          </w:p>
        </w:tc>
        <w:tc>
          <w:tcPr>
            <w:tcW w:w="180" w:type="dxa"/>
            <w:vAlign w:val="bottom"/>
            <w:shd w:val="clear" w:color="auto" w:fill="CCEEFF"/>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0"/>
                <w:szCs w:val="10"/>
                <w:color w:val="auto"/>
              </w:rPr>
            </w:pPr>
          </w:p>
        </w:tc>
        <w:tc>
          <w:tcPr>
            <w:tcW w:w="30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ind w:left="120"/>
              <w:spacing w:after="0" w:line="122" w:lineRule="exact"/>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ind w:left="80"/>
              <w:spacing w:after="0" w:line="122"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​03/04/2021</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ind w:left="100"/>
              <w:spacing w:after="0" w:line="108" w:lineRule="exact"/>
              <w:rPr>
                <w:sz w:val="20"/>
                <w:szCs w:val="20"/>
                <w:color w:val="auto"/>
              </w:rPr>
            </w:pPr>
            <w:r>
              <w:rPr>
                <w:rFonts w:ascii="Arial" w:cs="Arial" w:eastAsia="Arial" w:hAnsi="Arial"/>
                <w:sz w:val="12"/>
                <w:szCs w:val="12"/>
                <w:color w:val="auto"/>
              </w:rPr>
              <w:t>​</w:t>
            </w:r>
          </w:p>
        </w:tc>
        <w:tc>
          <w:tcPr>
            <w:tcW w:w="72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ind w:left="160"/>
              <w:spacing w:after="0" w:line="108" w:lineRule="exact"/>
              <w:rPr>
                <w:sz w:val="20"/>
                <w:szCs w:val="20"/>
                <w:color w:val="auto"/>
              </w:rPr>
            </w:pPr>
            <w:r>
              <w:rPr>
                <w:rFonts w:ascii="Arial" w:cs="Arial" w:eastAsia="Arial" w:hAnsi="Arial"/>
                <w:sz w:val="12"/>
                <w:szCs w:val="12"/>
                <w:color w:val="auto"/>
              </w:rPr>
              <w:t>​</w:t>
            </w:r>
          </w:p>
        </w:tc>
        <w:tc>
          <w:tcPr>
            <w:tcW w:w="6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2"/>
                <w:szCs w:val="12"/>
                <w:color w:val="auto"/>
              </w:rPr>
              <w:t>$ 8.64</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2"/>
                <w:szCs w:val="12"/>
                <w:color w:val="auto"/>
              </w:rPr>
              <w:t>​06/01/2028</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ind w:left="120"/>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ind w:left="80"/>
              <w:spacing w:after="0" w:line="108" w:lineRule="exact"/>
              <w:rPr>
                <w:sz w:val="20"/>
                <w:szCs w:val="20"/>
                <w:color w:val="auto"/>
              </w:rPr>
            </w:pPr>
            <w:r>
              <w:rPr>
                <w:rFonts w:ascii="Arial" w:cs="Arial" w:eastAsia="Arial" w:hAnsi="Arial"/>
                <w:sz w:val="12"/>
                <w:szCs w:val="12"/>
                <w:color w:val="auto"/>
              </w:rPr>
              <w:t>​</w:t>
            </w:r>
          </w:p>
        </w:tc>
        <w:tc>
          <w:tcPr>
            <w:tcW w:w="560" w:type="dxa"/>
            <w:vAlign w:val="bottom"/>
            <w:tcBorders>
              <w:right w:val="single" w:sz="8" w:color="CCEEFF"/>
            </w:tcBorders>
            <w:vMerge w:val="continue"/>
            <w:shd w:val="clear" w:color="auto" w:fill="CCEEFF"/>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1"/>
        </w:trPr>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627"/>
              <w:spacing w:after="0" w:line="12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270,167</w:t>
            </w:r>
          </w:p>
        </w:tc>
        <w:tc>
          <w:tcPr>
            <w:tcW w:w="160" w:type="dxa"/>
            <w:vAlign w:val="bottom"/>
          </w:tcPr>
          <w:p>
            <w:pPr>
              <w:jc w:val="right"/>
              <w:ind w:right="15"/>
              <w:spacing w:after="0"/>
              <w:rPr>
                <w:sz w:val="20"/>
                <w:szCs w:val="20"/>
                <w:color w:val="auto"/>
              </w:rPr>
            </w:pPr>
            <w:r>
              <w:rPr>
                <w:rFonts w:ascii="Arial" w:cs="Arial" w:eastAsia="Arial" w:hAnsi="Arial"/>
                <w:sz w:val="9"/>
                <w:szCs w:val="9"/>
                <w:color w:val="auto"/>
                <w:w w:val="72"/>
              </w:rPr>
              <w:t>(4)</w:t>
            </w: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 ​</w:t>
            </w:r>
          </w:p>
        </w:tc>
        <w:tc>
          <w:tcPr>
            <w:tcW w:w="18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28"/>
              <w:spacing w:after="0"/>
              <w:rPr>
                <w:sz w:val="20"/>
                <w:szCs w:val="20"/>
                <w:color w:val="auto"/>
              </w:rPr>
            </w:pPr>
            <w:r>
              <w:rPr>
                <w:rFonts w:ascii="Arial" w:cs="Arial" w:eastAsia="Arial" w:hAnsi="Arial"/>
                <w:sz w:val="14"/>
                <w:szCs w:val="14"/>
                <w:color w:val="auto"/>
              </w:rPr>
              <w:t>​8.64</w:t>
            </w:r>
          </w:p>
        </w:tc>
        <w:tc>
          <w:tcPr>
            <w:tcW w:w="300" w:type="dxa"/>
            <w:vAlign w:val="bottom"/>
            <w:gridSpan w:val="3"/>
          </w:tcPr>
          <w:p>
            <w:pPr>
              <w:jc w:val="right"/>
              <w:spacing w:after="0" w:line="122" w:lineRule="exact"/>
              <w:rPr>
                <w:sz w:val="20"/>
                <w:szCs w:val="20"/>
                <w:color w:val="auto"/>
              </w:rPr>
            </w:pPr>
            <w:r>
              <w:rPr>
                <w:rFonts w:ascii="Arial" w:cs="Arial" w:eastAsia="Arial" w:hAnsi="Arial"/>
                <w:sz w:val="14"/>
                <w:szCs w:val="14"/>
                <w:color w:val="auto"/>
              </w:rPr>
              <w:t>​​ ​​</w:t>
            </w:r>
          </w:p>
        </w:tc>
        <w:tc>
          <w:tcPr>
            <w:tcW w:w="66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20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54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jc w:val="right"/>
              <w:spacing w:after="0" w:line="59" w:lineRule="exact"/>
              <w:rPr>
                <w:sz w:val="20"/>
                <w:szCs w:val="20"/>
                <w:color w:val="auto"/>
              </w:rPr>
            </w:pPr>
            <w:r>
              <w:rPr>
                <w:rFonts w:ascii="Arial" w:cs="Arial" w:eastAsia="Arial" w:hAnsi="Arial"/>
                <w:sz w:val="6"/>
                <w:szCs w:val="6"/>
                <w:color w:val="auto"/>
              </w:rPr>
              <w:t>​03/04/2021</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ind w:left="100"/>
              <w:spacing w:after="0" w:line="59" w:lineRule="exact"/>
              <w:rPr>
                <w:sz w:val="20"/>
                <w:szCs w:val="20"/>
                <w:color w:val="auto"/>
              </w:rPr>
            </w:pPr>
            <w:r>
              <w:rPr>
                <w:rFonts w:ascii="Arial" w:cs="Arial" w:eastAsia="Arial" w:hAnsi="Arial"/>
                <w:sz w:val="6"/>
                <w:szCs w:val="6"/>
                <w:color w:val="auto"/>
              </w:rPr>
              <w:t>​</w:t>
            </w: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ind w:left="160"/>
              <w:spacing w:after="0" w:line="59" w:lineRule="exact"/>
              <w:rPr>
                <w:sz w:val="20"/>
                <w:szCs w:val="20"/>
                <w:color w:val="auto"/>
              </w:rPr>
            </w:pPr>
            <w:r>
              <w:rPr>
                <w:rFonts w:ascii="Arial" w:cs="Arial" w:eastAsia="Arial" w:hAnsi="Arial"/>
                <w:sz w:val="6"/>
                <w:szCs w:val="6"/>
                <w:color w:val="auto"/>
              </w:rPr>
              <w:t>​</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tcPr>
          <w:p>
            <w:pPr>
              <w:ind w:left="20"/>
              <w:spacing w:after="0" w:line="59" w:lineRule="exact"/>
              <w:rPr>
                <w:sz w:val="20"/>
                <w:szCs w:val="20"/>
                <w:color w:val="auto"/>
              </w:rPr>
            </w:pPr>
            <w:r>
              <w:rPr>
                <w:rFonts w:ascii="Arial" w:cs="Arial" w:eastAsia="Arial" w:hAnsi="Arial"/>
                <w:sz w:val="6"/>
                <w:szCs w:val="6"/>
                <w:color w:val="auto"/>
              </w:rPr>
              <w:t>​06/01/2028</w:t>
            </w:r>
          </w:p>
        </w:tc>
        <w:tc>
          <w:tcPr>
            <w:tcW w:w="180" w:type="dxa"/>
            <w:vAlign w:val="bottom"/>
          </w:tcPr>
          <w:p>
            <w:pPr>
              <w:spacing w:after="0"/>
              <w:rPr>
                <w:sz w:val="5"/>
                <w:szCs w:val="5"/>
                <w:color w:val="auto"/>
              </w:rPr>
            </w:pPr>
          </w:p>
        </w:tc>
        <w:tc>
          <w:tcPr>
            <w:tcW w:w="200" w:type="dxa"/>
            <w:vAlign w:val="bottom"/>
          </w:tcPr>
          <w:p>
            <w:pPr>
              <w:ind w:left="120"/>
              <w:spacing w:after="0" w:line="59" w:lineRule="exact"/>
              <w:rPr>
                <w:sz w:val="20"/>
                <w:szCs w:val="20"/>
                <w:color w:val="auto"/>
              </w:rPr>
            </w:pPr>
            <w:r>
              <w:rPr>
                <w:rFonts w:ascii="Arial" w:cs="Arial" w:eastAsia="Arial" w:hAnsi="Arial"/>
                <w:sz w:val="6"/>
                <w:szCs w:val="6"/>
                <w:color w:val="auto"/>
              </w:rPr>
              <w:t>​</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​03/04/2021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252,814</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​0.65</w:t>
            </w:r>
          </w:p>
        </w:tc>
        <w:tc>
          <w:tcPr>
            <w:tcW w:w="1140" w:type="dxa"/>
            <w:vAlign w:val="bottom"/>
            <w:gridSpan w:val="5"/>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​06/01/2028</w:t>
            </w:r>
            <w:r>
              <w:rPr>
                <w:rFonts w:ascii="Arial" w:cs="Arial" w:eastAsia="Arial" w:hAnsi="Arial"/>
                <w:sz w:val="23"/>
                <w:szCs w:val="23"/>
                <w:color w:val="auto"/>
                <w:vertAlign w:val="superscript"/>
              </w:rPr>
              <w:t>​​ ​</w:t>
            </w:r>
          </w:p>
        </w:tc>
        <w:tc>
          <w:tcPr>
            <w:tcW w:w="200" w:type="dxa"/>
            <w:vAlign w:val="bottom"/>
          </w:tcPr>
          <w:p>
            <w:pPr>
              <w:ind w:left="12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vMerge w:val="restart"/>
          </w:tcPr>
          <w:p>
            <w:pPr>
              <w:jc w:val="right"/>
              <w:spacing w:after="0" w:line="32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​11/22/2021</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297"/>
        </w:trPr>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29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ind w:left="160"/>
              <w:spacing w:after="0" w:line="29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ind w:left="120"/>
              <w:spacing w:after="0" w:line="29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  —</w:t>
            </w:r>
          </w:p>
        </w:tc>
        <w:tc>
          <w:tcPr>
            <w:tcW w:w="300" w:type="dxa"/>
            <w:vAlign w:val="bottom"/>
            <w:gridSpan w:val="3"/>
            <w:shd w:val="clear" w:color="auto" w:fill="CCEEFF"/>
          </w:tcPr>
          <w:p>
            <w:pPr>
              <w:jc w:val="right"/>
              <w:spacing w:after="0" w:line="297"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840" w:type="dxa"/>
            <w:vAlign w:val="bottom"/>
            <w:gridSpan w:val="2"/>
            <w:shd w:val="clear" w:color="auto" w:fill="CCEEFF"/>
          </w:tcPr>
          <w:p>
            <w:pPr>
              <w:jc w:val="right"/>
              <w:spacing w:after="0" w:line="29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740" w:type="dxa"/>
            <w:vAlign w:val="bottom"/>
            <w:gridSpan w:val="2"/>
            <w:shd w:val="clear" w:color="auto" w:fill="CCEEFF"/>
          </w:tcPr>
          <w:p>
            <w:pPr>
              <w:ind w:left="120"/>
              <w:spacing w:after="0" w:line="29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​156,250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​120,313</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-1542415</wp:posOffset>
            </wp:positionV>
            <wp:extent cx="521208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41148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-728345</wp:posOffset>
            </wp:positionV>
            <wp:extent cx="5212080" cy="591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591185"/>
                    </a:xfrm>
                    <a:prstGeom prst="rect">
                      <a:avLst/>
                    </a:prstGeom>
                    <a:noFill/>
                  </pic:spPr>
                </pic:pic>
              </a:graphicData>
            </a:graphic>
          </wp:anchor>
        </w:drawing>
      </w:r>
    </w:p>
    <w:p>
      <w:pPr>
        <w:spacing w:after="0" w:line="119" w:lineRule="exact"/>
        <w:rPr>
          <w:sz w:val="20"/>
          <w:szCs w:val="20"/>
          <w:color w:val="auto"/>
        </w:rPr>
      </w:pPr>
    </w:p>
    <w:p>
      <w:pPr>
        <w:jc w:val="both"/>
        <w:ind w:left="1600" w:right="419" w:hanging="352"/>
        <w:spacing w:after="0" w:line="282" w:lineRule="auto"/>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39"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Stock awards consists of RSUs that were granted on November 22, 2021 and vest one third on each anniversary of the grant date.</w:t>
      </w:r>
    </w:p>
    <w:p>
      <w:pPr>
        <w:spacing w:after="0" w:line="22" w:lineRule="exact"/>
        <w:rPr>
          <w:rFonts w:ascii="Arial" w:cs="Arial" w:eastAsia="Arial" w:hAnsi="Arial"/>
          <w:sz w:val="14"/>
          <w:szCs w:val="14"/>
          <w:color w:val="auto"/>
        </w:rPr>
      </w:pPr>
    </w:p>
    <w:p>
      <w:pPr>
        <w:ind w:left="1600" w:hanging="352"/>
        <w:spacing w:after="0"/>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Market value of shares based on TMC’s closing market share price at December 31, 2022.</w:t>
      </w:r>
    </w:p>
    <w:p>
      <w:pPr>
        <w:spacing w:after="0" w:line="95" w:lineRule="exact"/>
        <w:rPr>
          <w:rFonts w:ascii="Arial" w:cs="Arial" w:eastAsia="Arial" w:hAnsi="Arial"/>
          <w:sz w:val="14"/>
          <w:szCs w:val="14"/>
          <w:color w:val="auto"/>
        </w:rPr>
      </w:pPr>
    </w:p>
    <w:p>
      <w:pPr>
        <w:ind w:left="1600" w:hanging="352"/>
        <w:spacing w:after="0"/>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stock options vest as follows: 135,084 units on February 20, 2023 and 135,084 units on February 20, 2024.</w:t>
      </w:r>
    </w:p>
    <w:p>
      <w:pPr>
        <w:spacing w:after="0" w:line="22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Other Compensation and Benefits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benefits and a 401(k) plan (or equivalent as determined by employee’s jurisdiction of employment).</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Employment Arrangements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have employment agreements with our NEOs, the material terms of which are described below. In addition, each NEO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Mr. Barron began his current position as our Chief Executive Officer in January 2018 with DeepGreen. Mr. O’Sullivan began his current position as our Chief Development Officer in July 2017 with DeepGreen. Mr. Shesky began his current position as our Chief Financial Officer in May 2021 with DeepGreen.</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Gerard Barron</w:t>
      </w:r>
    </w:p>
    <w:p>
      <w:pPr>
        <w:spacing w:after="0" w:line="156"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DeepGreen entered into an employment agreement with Mr. Barron, who accepted and commenced his role as DeepGreen’s Chief Executive Officer on the agreement effective date, January 1, 2018 (the “Barron Employment Agreement”). Under the Barron Employment Agreement, Mr. Barron’s initial annual base salary was $450,000, which DeepGreen agreed to review on a year-to-year basis, in accordance with DeepGreen’s payroll practices. Mr. Barron’s current annual base salary is $565,000. In addition, DeepGreen issued Mr. Barron up to 187,500 common shares, upon the execution of the Barron Employment Agreement, to be paid in lieu of cash for services provided by Mr. Barron from July 2017 through November 2017. Mr. Barron is eligible to participate in our benefit plans and to be considered for an annual performance incentive bonus, to be granted at the discretion of the board of directors on a year-to-year basis (the “Employment Bonus”). Under the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04"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Pursuant to the Barron Employment Agreement, Mr. Barron also received an option grant for 3,473,586 shares of common shares, at an exercise price of $0.65 per share, subject to the terms and conditions set forth in a stock option agreement between the parties, dated July 23, 2018 (the “Barron Stock Option Agreement”). Under the Barron Stock Option Agreement, the parties agreed that</w:t>
      </w:r>
    </w:p>
    <w:p>
      <w:pPr>
        <w:spacing w:after="0" w:line="2" w:lineRule="exact"/>
        <w:rPr>
          <w:sz w:val="20"/>
          <w:szCs w:val="20"/>
          <w:color w:val="auto"/>
        </w:rPr>
      </w:pPr>
    </w:p>
    <w:p>
      <w:pPr>
        <w:jc w:val="both"/>
        <w:ind w:left="1240" w:right="419" w:firstLine="8"/>
        <w:spacing w:after="0" w:line="251"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2,894,655 options would be issued as part of DeepGreen’s Long-Term Incentive Plan, with (x) 60% of such shares vesting in equal 20% installments on each of January 1, 2019, January 1, 2020 and January 1, 2021, and (y) 20% of such shares vesting upon the DeepGreen raising $20,000,000 in cash following the date of grant and (z) 20% of such shares vesting upon DeepGreen raising a total of $40,000,000 in cash following the date of grant, provided that Mr. Barron remained an employee of DeepGreen on such dates, and (ii) 578,931 options would be issued as part of Mr. Barron’s board of directors remuneration, with 50% of such shares vesting as of the grant date and 50% of such shares vesting as of January 1, 2019. This option is currently fully vested and exercisable for all of the 3,473,586 common shares. Any vested options under the Barron Stock Option Agreement are set to expire on June 1, 2028. All stock options granted to Mr. Barron are governed by the terms of the DeepGreen Plan (as defined below), as well as the Barron Stock Option Agreement. In the event that Mr. Barron’s employment with DeepGreen is terminated without cause, Mr. Barron will receive a payment equal to either (i) 3 months of his then annual base salary, or (ii) in the event that DeepGreen had raised (y) $20,000,000 in equity as of January 1, 2018 and (z) DeepGreen has greater than $10,000,000 cash-on-hand as of the date of such termination, then Mr. Barron shall receive an amount equal to 12 months of his base salary as a salary continuance in accordance with the Barron Employment Agreement and DeepGreen’s standard monthly payroll practices (the “Barron Severance Benefits”). In the event that, following a change of control of DeepGreen, Mr. Barron is terminated without “cause” or resigns as a result of a “triggering event,” Mr. Baron will also be eligible to receive the Barron Severance Benefits.</w:t>
      </w:r>
    </w:p>
    <w:p>
      <w:pPr>
        <w:spacing w:after="0" w:line="19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Anthony O’Sullivan</w:t>
      </w:r>
    </w:p>
    <w:p>
      <w:pPr>
        <w:spacing w:after="0" w:line="1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On May 8, 2022, our subsidiary, The Metals Company Australia Pty. Ltd, entered into an amended and restated employment agreement with Mr. O’Sullivan in connection with his continued role as our Chief Development Officer, a role he started in July 2017 with DeepGreen (the “O’Sullivan Employment Agreement”). Under the O’Sullivan Employment Agreement, Mr. O’Sullivan will receive an annual base salary of $670,985 AUD ($475,000 USD), which will be reviewed annually by our Chief Executive Officer. In addition, Mr. O’Sullivan is eligible to participate in our LTIP, subject to the combination of his achieving certain individual performance objectives, and achievement of certain company-based financial results. Mr. O’Sullivan is eligible to participate in our benefit plans and to be considered for an annual performance incentive bonus targeted at 50% of his annual base salary, to be granted at the discretion of the board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71" w:lineRule="auto"/>
        <w:rPr>
          <w:sz w:val="20"/>
          <w:szCs w:val="20"/>
          <w:color w:val="auto"/>
        </w:rPr>
      </w:pPr>
      <w:r>
        <w:rPr>
          <w:rFonts w:ascii="Arial" w:cs="Arial" w:eastAsia="Arial" w:hAnsi="Arial"/>
          <w:sz w:val="18"/>
          <w:szCs w:val="18"/>
          <w:color w:val="auto"/>
        </w:rPr>
        <w:t>directors on a year-to-year basis (the “O’Sullivan Employment Bonus”). The O’Sullivan Employment Agreement has an indefinite term.</w:t>
      </w:r>
    </w:p>
    <w:p>
      <w:pPr>
        <w:spacing w:after="0" w:line="86"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In general, during his employment and for a period of six months thereafter, Mr. O’Sullivan is prohibited from (a) competing with us within Australia; (b) soliciting our customers for a competing business; and (c) soliciting our employees for a competing business.</w:t>
      </w:r>
    </w:p>
    <w:p>
      <w:pPr>
        <w:spacing w:after="0" w:line="94"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In the event that Mr. O’Sullivan’s employment is terminated without “Cause” as defined in the O’Sullivan Employment Agreement or if Mr. O’Sullivan resigns for “Good Reason” as defined in the O’Sullivan Employment Agreement, Mr. O’Sullivan will receive (a) a payment equal to a pro-rata portion of the O’Sullivan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O’Sullivan’s participation in the benefits plans in which he participates for the minimum period required by applicable law.</w:t>
      </w:r>
    </w:p>
    <w:p>
      <w:pPr>
        <w:spacing w:after="0" w:line="112"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In the event that Mr. O’Sullivan’s employment is terminated without “Cause” or if Mr. O’Sullivan resigns for “Good Reason” following the resignation, termination, or replacement of our Chief Executive Officer, Mr. O’Sullivan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O’Sullivan Employment Bonus; and (e) continued payment of the premiums required to maintain Mr. O’Sullivan’s participation in the benefits plans in which he participates for the minimum period required by applicable law.</w:t>
      </w:r>
    </w:p>
    <w:p>
      <w:pPr>
        <w:spacing w:after="0" w:line="102"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In the event that, within 24 months following a “Fundamental Change” as defined in the O’Sullivan Employment Agreement, Mr. O’Sullivan’s employment is terminated without “Cause”, Mr. O’Sullivan will receive (a) a payment equal to 12 months of his then annual base salary; (b) 1.5 times the O’Sullivan Employment Bonus paid for the previous year; and (c) immediate vesting of all unvested equity awards, subject to Mr. O’Sullivan agreeing that the non-competition period described above be extended to 12 months from the date of termination.</w:t>
      </w:r>
    </w:p>
    <w:p>
      <w:pPr>
        <w:spacing w:after="0" w:line="107"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In connection with his hiring by DeepGreen in July 2017, Mr. O’Sullivan was granted certain stock options pursuant to the DeepGreen Plan. Subject to the terms and conditions set forth by that certain stock option agreement, made effective July 23, 2018, by and between DeepGreen and Mr. O’Sullivan (the “Sullivan Stock Option Agreement”), Mr. Sullivan was granted 2,026,258 common shares at an exercise price of $0.65 per share which vested in three installments ending on June 1, 2020. The vested options are set to expire on June 1, 2028 under the expiration conditions of the Sullivan Stock Option Agreement.</w:t>
      </w:r>
    </w:p>
    <w:p>
      <w:pPr>
        <w:spacing w:after="0" w:line="11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On October 14, 2022, Mr. O’Sullivan notified us that he was resigning as our Chief Development Officer, though he will remain in the position through a twelve-month transition period ending in the fall of 2023.</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Craig Shesky</w:t>
      </w:r>
    </w:p>
    <w:p>
      <w:pPr>
        <w:spacing w:after="0" w:line="142"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On May 6, 2022, our subsidiary, DeepGreen Resources, LLC, entered into an amended and restated employment agreement with Mr. Shesky in connection with his continued role as our Chief Financial Officer, a role he started in May 2021 with DeepGreen (the “Shesky Employment Agreement”). Under the Shesky Employment Agreement, Mr. Shesky will receive an annual base salary of $350,000, which will be reviewed annually by our Chief Executive Officer. Mr. Shesky is also entitled to a signing payment in the amount of $91,667 under the Shesky Employment Agreement. In addition, Mr. Shesky is eligible to participate in our LTIP, subject to the combination of his achieving certain individual performance objectives, and achievement of certain company-based financial results. Mr. Shesky is eligible to participate in our benefit plans and to be considered for an annual performance incentive bonus targeted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1" w:lineRule="auto"/>
        <w:rPr>
          <w:sz w:val="20"/>
          <w:szCs w:val="20"/>
          <w:color w:val="auto"/>
        </w:rPr>
      </w:pPr>
      <w:r>
        <w:rPr>
          <w:rFonts w:ascii="Arial" w:cs="Arial" w:eastAsia="Arial" w:hAnsi="Arial"/>
          <w:sz w:val="18"/>
          <w:szCs w:val="18"/>
          <w:color w:val="auto"/>
        </w:rPr>
        <w:t>at 50% of his annual base salary, to be granted at the discretion of the board of directors on a year-to-year basis (the “Shesky Employment Bonus”). The Shesky Employment Agreement has an indefinite term.</w:t>
      </w:r>
    </w:p>
    <w:p>
      <w:pPr>
        <w:spacing w:after="0" w:line="94"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In general, during his employment and for a period of six months thereafter, Mr. Shesky is prohibited from (a) competing with us within North America; (b) soliciting our customers for a competing business; and (c) soliciting our employees for a competing business.</w:t>
      </w:r>
    </w:p>
    <w:p>
      <w:pPr>
        <w:spacing w:after="0" w:line="101"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In the event that Mr. Shesky’s employment is terminated without “Cause” as defined in the Shesky Employment Agreement or if Mr. Shesky resigns for “Good Reason” as defined in the Shesky Employment Agreement, Mr. Shesky will receive (a) a payment equal to 6 months of his then annual base salary plus a pro-rata portion of the Shesky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Shesky’s participation in the benefits plans in which he participates for the minimum period required by applicable law.</w:t>
      </w:r>
    </w:p>
    <w:p>
      <w:pPr>
        <w:spacing w:after="0" w:line="112"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In the event that Mr. Shesky’s employment is terminated without “Cause” or if Mr. Shesky resigns for “Good Reason” following the resignation, termination, or replacement of our Chief Executive Officer, Mr. Shesky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Shesky Employment Bonus; and (e) continued payment of the premiums required to maintain Mr. Shesky’s participation in the benefits plans in which he participates for the minimum period required by applicable law.</w:t>
      </w:r>
    </w:p>
    <w:p>
      <w:pPr>
        <w:spacing w:after="0" w:line="111"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In the event that, within 24 months following a “Change of Control” as defined in the Shesky Employment Agreement, Mr. Shesky’s employment is terminated without “Cause” or if Mr. Shesky resigns for “Good Reason”, Mr. Shesky will receive (a) a payment equal to 12 months of his then annual base salary; (b) 1.5 times the Shesky Employment Bonus paid for the previous year; and (c) immediate vesting of all unvested equity awards, subject to Mr. Shesky agreeing that the non-competition period described above be extended to 12 months from the date of termination.</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Employee Benefits</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NEOs participate in employee benefit programs available to our employees generally.</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Option Plans and Stock Option Awards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DeepGreen Plan</w:t>
      </w:r>
    </w:p>
    <w:p>
      <w:pPr>
        <w:spacing w:after="0" w:line="15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pacing w:after="0" w:line="110"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w:t>
      </w:r>
    </w:p>
    <w:p>
      <w:pPr>
        <w:sectPr>
          <w:pgSz w:w="11900" w:h="16838" w:orient="portrait"/>
          <w:cols w:equalWidth="0" w:num="1">
            <w:col w:w="9879"/>
          </w:cols>
          <w:pgMar w:left="580" w:top="97" w:right="1440" w:bottom="1440" w:gutter="0" w:footer="0" w:header="0"/>
        </w:sect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7" w:lineRule="auto"/>
        <w:rPr>
          <w:sz w:val="20"/>
          <w:szCs w:val="20"/>
          <w:color w:val="auto"/>
        </w:rPr>
      </w:pPr>
      <w:r>
        <w:rPr>
          <w:rFonts w:ascii="Arial" w:cs="Arial" w:eastAsia="Arial" w:hAnsi="Arial"/>
          <w:sz w:val="18"/>
          <w:szCs w:val="18"/>
          <w:color w:val="auto"/>
        </w:rPr>
        <w:t>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w:t>
      </w:r>
    </w:p>
    <w:p>
      <w:pPr>
        <w:spacing w:after="0" w:line="1" w:lineRule="exact"/>
        <w:rPr>
          <w:sz w:val="20"/>
          <w:szCs w:val="20"/>
          <w:color w:val="auto"/>
        </w:rPr>
      </w:pPr>
    </w:p>
    <w:p>
      <w:pPr>
        <w:jc w:val="both"/>
        <w:ind w:left="1240" w:right="419" w:firstLine="8"/>
        <w:spacing w:after="0" w:line="255" w:lineRule="auto"/>
        <w:tabs>
          <w:tab w:leader="none" w:pos="14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1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9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 restrictions on such vesting; (ii) 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24"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TMC Incentive Equity Plan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Eligibility</w:t>
      </w:r>
    </w:p>
    <w:p>
      <w:pPr>
        <w:spacing w:after="0" w:line="142"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Shares Available for Issuance</w:t>
      </w:r>
    </w:p>
    <w:p>
      <w:pPr>
        <w:spacing w:after="0" w:line="156"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TMC Incentive Equity Plan provides for the future issuance of 44,372,170 common shares, including 10,672,485 shares added to the plan in January 2023 pursuant to the plan’s evergreen provision, provided that 2,243,853 of the common shares available under the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of the Business Combination, equal to the lesser</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71" w:lineRule="auto"/>
        <w:rPr>
          <w:sz w:val="20"/>
          <w:szCs w:val="20"/>
          <w:color w:val="auto"/>
        </w:rPr>
      </w:pPr>
      <w:r>
        <w:rPr>
          <w:rFonts w:ascii="Arial" w:cs="Arial" w:eastAsia="Arial" w:hAnsi="Arial"/>
          <w:sz w:val="18"/>
          <w:szCs w:val="18"/>
          <w:color w:val="auto"/>
        </w:rPr>
        <w:t>of (a) 4% of the number of outstanding Common Shares on such date, and (b) an amount determined by the plan administrator.</w:t>
      </w:r>
    </w:p>
    <w:p>
      <w:pPr>
        <w:spacing w:after="0" w:line="86"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07"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The aggregate grant date fair value of shares granted to any non-employee director under the TMC Incentive Equity Plan and any other cash compensation paid to any non-employee director in any calendar year may not exceed $500,000; increased to $750,000 in the year in which such non-employee director initially joins the board of directors.</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Options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7"/>
          <w:szCs w:val="17"/>
          <w:color w:val="auto"/>
        </w:rPr>
        <w:t>The terms and conditions of our ability to grant stock options are governed by the TMC Incentive Equity Plan. Notably, we have established a sub-plan to the TMC Incentive Equity Plan (the “U.S. Sub-Plan”) for the purpose of granting stock options to employees who are residents of the United States or who are or may become subject to U.S. tax. Stock options granted under the U.S. Sub-Plan may either be incentive stock options, which are intended to satisfy the requirements of Section 422 of the U.S. Internal Revenue Code of 1986, as amended, or non-qualified stock options. Incentive stock options may be granted to employees of TMC and its affiliates,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309"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Stock</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9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Share Units</w:t>
      </w:r>
    </w:p>
    <w:p>
      <w:pPr>
        <w:spacing w:after="0" w:line="14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w:t>
      </w:r>
    </w:p>
    <w:p>
      <w:pPr>
        <w:sectPr>
          <w:pgSz w:w="11900" w:h="16838" w:orient="portrait"/>
          <w:cols w:equalWidth="0" w:num="1">
            <w:col w:w="9879"/>
          </w:cols>
          <w:pgMar w:left="580" w:top="97" w:right="1440" w:bottom="1440" w:gutter="0" w:footer="0" w:header="0"/>
        </w:sectPr>
      </w:pPr>
    </w:p>
    <w:p>
      <w:pPr>
        <w:spacing w:after="0" w:line="40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1" w:lineRule="auto"/>
        <w:rPr>
          <w:sz w:val="20"/>
          <w:szCs w:val="20"/>
          <w:color w:val="auto"/>
        </w:rPr>
      </w:pPr>
      <w:r>
        <w:rPr>
          <w:rFonts w:ascii="Arial" w:cs="Arial" w:eastAsia="Arial" w:hAnsi="Arial"/>
          <w:sz w:val="18"/>
          <w:szCs w:val="18"/>
          <w:color w:val="auto"/>
        </w:rPr>
        <w:t>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Other Share-Based Awards and Performance-Based Awards</w:t>
      </w:r>
    </w:p>
    <w:p>
      <w:pPr>
        <w:spacing w:after="0" w:line="15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 Any dividends or dividend equivalents payable or credited to a participant with respect to any unvested performance-based award will be subject to the same performance goals as the shares or units underlying the performance-based award.</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Plan Administration</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Securities Exchange Act of 1934, as amended.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11"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Dividends and Stock Splits</w:t>
      </w:r>
    </w:p>
    <w:p>
      <w:pPr>
        <w:spacing w:after="0" w:line="156"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Corporate Transactions</w:t>
      </w:r>
    </w:p>
    <w:p>
      <w:pPr>
        <w:spacing w:after="0" w:line="142"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54" w:lineRule="exact"/>
        <w:rPr>
          <w:sz w:val="20"/>
          <w:szCs w:val="20"/>
          <w:color w:val="auto"/>
        </w:rPr>
      </w:pPr>
    </w:p>
    <w:p>
      <w:pPr>
        <w:ind w:left="1780" w:hanging="172"/>
        <w:spacing w:after="0"/>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all outstanding options will be assumed or substituted by the successor corporation;</w:t>
      </w:r>
    </w:p>
    <w:p>
      <w:pPr>
        <w:spacing w:after="0" w:line="117" w:lineRule="exact"/>
        <w:rPr>
          <w:rFonts w:ascii="Arial" w:cs="Arial" w:eastAsia="Arial" w:hAnsi="Arial"/>
          <w:sz w:val="18"/>
          <w:szCs w:val="18"/>
          <w:color w:val="auto"/>
        </w:rPr>
      </w:pPr>
    </w:p>
    <w:p>
      <w:pPr>
        <w:jc w:val="both"/>
        <w:ind w:left="1780" w:right="439" w:hanging="172"/>
        <w:spacing w:after="0" w:line="268" w:lineRule="auto"/>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62"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common shares will receive a cash payment for each share surrendered in the merger, make or provide for a cash payment to option holder</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19"/>
        <w:spacing w:after="0" w:line="268" w:lineRule="auto"/>
        <w:rPr>
          <w:sz w:val="20"/>
          <w:szCs w:val="20"/>
          <w:color w:val="auto"/>
        </w:rPr>
      </w:pPr>
      <w:r>
        <w:rPr>
          <w:rFonts w:ascii="Arial" w:cs="Arial" w:eastAsia="Arial" w:hAnsi="Arial"/>
          <w:sz w:val="18"/>
          <w:szCs w:val="18"/>
          <w:color w:val="auto"/>
        </w:rPr>
        <w:t>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63" w:lineRule="exact"/>
        <w:rPr>
          <w:sz w:val="20"/>
          <w:szCs w:val="20"/>
          <w:color w:val="auto"/>
        </w:rPr>
      </w:pPr>
    </w:p>
    <w:p>
      <w:pPr>
        <w:ind w:left="1780" w:right="439" w:hanging="172"/>
        <w:spacing w:after="0" w:line="287" w:lineRule="auto"/>
        <w:tabs>
          <w:tab w:leader="none" w:pos="1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other stock awards, provide that outstanding awards will be assumed or substituted by the successor corporation;</w:t>
      </w:r>
    </w:p>
    <w:p>
      <w:pPr>
        <w:spacing w:after="0" w:line="44" w:lineRule="exact"/>
        <w:rPr>
          <w:rFonts w:ascii="Arial" w:cs="Arial" w:eastAsia="Arial" w:hAnsi="Arial"/>
          <w:sz w:val="18"/>
          <w:szCs w:val="18"/>
          <w:color w:val="auto"/>
        </w:rPr>
      </w:pPr>
    </w:p>
    <w:p>
      <w:pPr>
        <w:jc w:val="both"/>
        <w:ind w:left="1780" w:right="419" w:hanging="172"/>
        <w:spacing w:after="0" w:line="256" w:lineRule="auto"/>
        <w:tabs>
          <w:tab w:leader="none" w:pos="1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74"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Amendment and Termination</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Duration of Plan</w:t>
      </w:r>
    </w:p>
    <w:p>
      <w:pPr>
        <w:spacing w:after="0" w:line="15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TMC Incentive Equity Plan will expire by its terms in April 2031.</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Compensation</w:t>
      </w:r>
    </w:p>
    <w:p>
      <w:pPr>
        <w:spacing w:after="0" w:line="144" w:lineRule="exact"/>
        <w:rPr>
          <w:sz w:val="20"/>
          <w:szCs w:val="20"/>
          <w:color w:val="auto"/>
        </w:rPr>
      </w:pPr>
    </w:p>
    <w:p>
      <w:pPr>
        <w:jc w:val="both"/>
        <w:ind w:left="1240" w:right="439" w:firstLine="360"/>
        <w:spacing w:after="0" w:line="262"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tbl>
      <w:tblPr>
        <w:tblLayout w:type="fixed"/>
        <w:tblInd w:w="1240" w:type="dxa"/>
        <w:tblCellMar>
          <w:top w:w="0" w:type="dxa"/>
          <w:left w:w="0" w:type="dxa"/>
          <w:bottom w:w="0" w:type="dxa"/>
          <w:right w:w="0" w:type="dxa"/>
        </w:tblCellMar>
      </w:tblPr>
      <w:tr>
        <w:trPr>
          <w:trHeight w:val="340"/>
        </w:trPr>
        <w:tc>
          <w:tcPr>
            <w:tcW w:w="5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5540" w:type="dxa"/>
            <w:vAlign w:val="bottom"/>
          </w:tcPr>
          <w:p>
            <w:pPr>
              <w:spacing w:after="0"/>
              <w:rPr>
                <w:sz w:val="24"/>
                <w:szCs w:val="24"/>
                <w:color w:val="auto"/>
              </w:rPr>
            </w:pPr>
          </w:p>
        </w:tc>
        <w:tc>
          <w:tcPr>
            <w:tcW w:w="2140" w:type="dxa"/>
            <w:vAlign w:val="bottom"/>
            <w:gridSpan w:val="5"/>
          </w:tcPr>
          <w:p>
            <w:pPr>
              <w:jc w:val="right"/>
              <w:spacing w:after="0" w:line="320"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Retainer </w:t>
            </w:r>
            <w:r>
              <w:rPr>
                <w:rFonts w:ascii="Arial" w:cs="Arial" w:eastAsia="Arial" w:hAnsi="Arial"/>
                <w:sz w:val="28"/>
                <w:szCs w:val="28"/>
                <w:b w:val="1"/>
                <w:bCs w:val="1"/>
                <w:color w:val="auto"/>
                <w:vertAlign w:val="subscript"/>
              </w:rPr>
              <w:t>​</w:t>
            </w:r>
          </w:p>
        </w:tc>
      </w:tr>
      <w:tr>
        <w:trPr>
          <w:trHeight w:val="27"/>
        </w:trPr>
        <w:tc>
          <w:tcPr>
            <w:tcW w:w="580" w:type="dxa"/>
            <w:vAlign w:val="bottom"/>
            <w:shd w:val="clear" w:color="auto" w:fill="000000"/>
          </w:tcPr>
          <w:p>
            <w:pPr>
              <w:spacing w:after="0"/>
              <w:rPr>
                <w:sz w:val="2"/>
                <w:szCs w:val="2"/>
                <w:color w:val="auto"/>
              </w:rPr>
            </w:pPr>
          </w:p>
        </w:tc>
        <w:tc>
          <w:tcPr>
            <w:tcW w:w="5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independent director</w:t>
            </w:r>
          </w:p>
        </w:tc>
        <w:tc>
          <w:tcPr>
            <w:tcW w:w="2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120" w:type="dxa"/>
            <w:vAlign w:val="bottom"/>
            <w:gridSpan w:val="2"/>
          </w:tcPr>
          <w:p>
            <w:pPr>
              <w:spacing w:after="0"/>
              <w:rPr>
                <w:sz w:val="20"/>
                <w:szCs w:val="20"/>
                <w:color w:val="auto"/>
              </w:rPr>
            </w:pPr>
            <w:r>
              <w:rPr>
                <w:rFonts w:ascii="Arial" w:cs="Arial" w:eastAsia="Arial" w:hAnsi="Arial"/>
                <w:sz w:val="18"/>
                <w:szCs w:val="18"/>
                <w:color w:val="auto"/>
              </w:rPr>
              <w:t>Audit committee chairperson</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 ​​$22,500​</w:t>
            </w:r>
          </w:p>
        </w:tc>
      </w:tr>
      <w:tr>
        <w:trPr>
          <w:trHeight w:val="257"/>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20" w:type="dxa"/>
            <w:vAlign w:val="bottom"/>
            <w:gridSpan w:val="2"/>
          </w:tcPr>
          <w:p>
            <w:pPr>
              <w:spacing w:after="0"/>
              <w:rPr>
                <w:sz w:val="20"/>
                <w:szCs w:val="20"/>
                <w:color w:val="auto"/>
              </w:rPr>
            </w:pPr>
            <w:r>
              <w:rPr>
                <w:rFonts w:ascii="Arial" w:cs="Arial" w:eastAsia="Arial" w:hAnsi="Arial"/>
                <w:sz w:val="18"/>
                <w:szCs w:val="18"/>
                <w:color w:val="auto"/>
              </w:rPr>
              <w:t>Compensation committee chairperson</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2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20" w:type="dxa"/>
            <w:vAlign w:val="bottom"/>
            <w:gridSpan w:val="2"/>
          </w:tcPr>
          <w:p>
            <w:pPr>
              <w:spacing w:after="0"/>
              <w:rPr>
                <w:sz w:val="20"/>
                <w:szCs w:val="20"/>
                <w:color w:val="auto"/>
              </w:rPr>
            </w:pPr>
            <w:r>
              <w:rPr>
                <w:rFonts w:ascii="Arial" w:cs="Arial" w:eastAsia="Arial" w:hAnsi="Arial"/>
                <w:sz w:val="18"/>
                <w:szCs w:val="18"/>
                <w:color w:val="auto"/>
              </w:rPr>
              <w:t>Sustainability and innovation committee chairperson</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4" w:lineRule="auto"/>
        <w:rPr>
          <w:sz w:val="20"/>
          <w:szCs w:val="20"/>
          <w:color w:val="auto"/>
        </w:rPr>
      </w:pPr>
      <w:r>
        <w:rPr>
          <w:rFonts w:ascii="Arial" w:cs="Arial" w:eastAsia="Arial" w:hAnsi="Arial"/>
          <w:sz w:val="18"/>
          <w:szCs w:val="18"/>
          <w:b w:val="1"/>
          <w:bCs w:val="1"/>
          <w:color w:val="auto"/>
        </w:rPr>
        <w:t>Initial Grant</w:t>
      </w:r>
      <w:r>
        <w:rPr>
          <w:rFonts w:ascii="Arial" w:cs="Arial" w:eastAsia="Arial" w:hAnsi="Arial"/>
          <w:sz w:val="18"/>
          <w:szCs w:val="18"/>
          <w:color w:val="auto"/>
        </w:rPr>
        <w:t> — In addition, we grant to new non-employee directors upon their initial election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 number of restricted share units (“RSUs”) (each RSU relating to one share of common shares), having an aggregate fair market value equal to $100,000, determined by dividing</w:t>
      </w:r>
    </w:p>
    <w:p>
      <w:pPr>
        <w:spacing w:after="0" w:line="1" w:lineRule="exact"/>
        <w:rPr>
          <w:sz w:val="20"/>
          <w:szCs w:val="20"/>
          <w:color w:val="auto"/>
        </w:rPr>
      </w:pPr>
    </w:p>
    <w:p>
      <w:pPr>
        <w:jc w:val="both"/>
        <w:ind w:left="1240" w:right="419" w:firstLine="8"/>
        <w:spacing w:after="0" w:line="268" w:lineRule="auto"/>
        <w:tabs>
          <w:tab w:leader="none" w:pos="15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158" w:lineRule="exact"/>
        <w:rPr>
          <w:sz w:val="20"/>
          <w:szCs w:val="20"/>
          <w:color w:val="auto"/>
        </w:rPr>
      </w:pPr>
    </w:p>
    <w:p>
      <w:pPr>
        <w:jc w:val="both"/>
        <w:ind w:left="1240" w:right="419" w:firstLine="360"/>
        <w:spacing w:after="0" w:line="266" w:lineRule="auto"/>
        <w:rPr>
          <w:sz w:val="20"/>
          <w:szCs w:val="20"/>
          <w:color w:val="auto"/>
        </w:rPr>
      </w:pPr>
      <w:r>
        <w:rPr>
          <w:rFonts w:ascii="Arial" w:cs="Arial" w:eastAsia="Arial" w:hAnsi="Arial"/>
          <w:sz w:val="18"/>
          <w:szCs w:val="18"/>
          <w:b w:val="1"/>
          <w:bCs w:val="1"/>
          <w:color w:val="auto"/>
        </w:rPr>
        <w:t>Annual Grant</w:t>
      </w:r>
      <w:r>
        <w:rPr>
          <w:rFonts w:ascii="Arial" w:cs="Arial" w:eastAsia="Arial" w:hAnsi="Arial"/>
          <w:sz w:val="18"/>
          <w:szCs w:val="18"/>
          <w:color w:val="auto"/>
        </w:rPr>
        <w:t> — We also grant each non-employee director annually a number of RSUs (each</w:t>
      </w:r>
      <w:r>
        <w:rPr>
          <w:rFonts w:ascii="Arial" w:cs="Arial" w:eastAsia="Arial" w:hAnsi="Arial"/>
          <w:sz w:val="18"/>
          <w:szCs w:val="18"/>
          <w:b w:val="1"/>
          <w:bCs w:val="1"/>
          <w:color w:val="auto"/>
        </w:rPr>
        <w:t xml:space="preserve"> </w:t>
      </w:r>
      <w:r>
        <w:rPr>
          <w:rFonts w:ascii="Arial" w:cs="Arial" w:eastAsia="Arial" w:hAnsi="Arial"/>
          <w:sz w:val="18"/>
          <w:szCs w:val="18"/>
          <w:color w:val="auto"/>
        </w:rPr>
        <w:t>RSU relating to one common share), having an aggregate fair market value equal to $100,000, determined by dividing (A) $100,000 by (B) the closing price of the common shares on the Nasdaq on the date of the grant (rounded down to the nearest whole share), each year on the first business day after our annual meeting of shareholders (the “Annual Grant”); provided, however, that if there has been no annual meeting of shareholders held by the first business day of the third fiscal quarter, we make the Annual Grant to each non-employee director on the first business day of the third fiscal quarter of such year.</w:t>
      </w:r>
    </w:p>
    <w:p>
      <w:pPr>
        <w:spacing w:after="0" w:line="163" w:lineRule="exact"/>
        <w:rPr>
          <w:sz w:val="20"/>
          <w:szCs w:val="20"/>
          <w:color w:val="auto"/>
        </w:rPr>
      </w:pPr>
    </w:p>
    <w:p>
      <w:pPr>
        <w:jc w:val="both"/>
        <w:ind w:left="1240" w:right="419" w:firstLine="360"/>
        <w:spacing w:after="0" w:line="273" w:lineRule="auto"/>
        <w:rPr>
          <w:sz w:val="20"/>
          <w:szCs w:val="20"/>
          <w:color w:val="auto"/>
        </w:rPr>
      </w:pPr>
      <w:r>
        <w:rPr>
          <w:rFonts w:ascii="Arial" w:cs="Arial" w:eastAsia="Arial" w:hAnsi="Arial"/>
          <w:sz w:val="18"/>
          <w:szCs w:val="18"/>
          <w:color w:val="auto"/>
        </w:rPr>
        <w:t xml:space="preserve">The table below summarizes the compensation of each person serving as a non-employee director of TMC for the fiscal year ended December 31, 2022. Gerard Barron, our Chief Executive Officer, did not receive any additional compensation for his service as a director of TMC in 2022. The compensation of Mr. Barron as a NEO is set forth above under “—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48"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Fees Earned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Paid in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ind w:right="136"/>
              <w:spacing w:after="0"/>
              <w:rPr>
                <w:sz w:val="20"/>
                <w:szCs w:val="20"/>
                <w:color w:val="auto"/>
              </w:rPr>
            </w:pPr>
            <w:r>
              <w:rPr>
                <w:rFonts w:ascii="Arial" w:cs="Arial" w:eastAsia="Arial" w:hAnsi="Arial"/>
                <w:sz w:val="14"/>
                <w:szCs w:val="14"/>
                <w:b w:val="1"/>
                <w:bCs w:val="1"/>
                <w:color w:val="auto"/>
                <w:w w:val="99"/>
              </w:rPr>
              <w:t>Cash</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Awards</w:t>
            </w:r>
          </w:p>
        </w:tc>
        <w:tc>
          <w:tcPr>
            <w:tcW w:w="620" w:type="dxa"/>
            <w:vAlign w:val="bottom"/>
          </w:tcPr>
          <w:p>
            <w:pPr>
              <w:jc w:val="center"/>
              <w:ind w:right="12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r>
      <w:tr>
        <w:trPr>
          <w:trHeight w:val="205"/>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22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gridSpan w:val="2"/>
          </w:tcPr>
          <w:p>
            <w:pPr>
              <w:ind w:left="1520"/>
              <w:spacing w:after="0"/>
              <w:rPr>
                <w:sz w:val="20"/>
                <w:szCs w:val="20"/>
                <w:color w:val="auto"/>
              </w:rPr>
            </w:pPr>
            <w:r>
              <w:rPr>
                <w:rFonts w:ascii="Arial" w:cs="Arial" w:eastAsia="Arial" w:hAnsi="Arial"/>
                <w:sz w:val="14"/>
                <w:szCs w:val="14"/>
                <w:b w:val="1"/>
                <w:bCs w:val="1"/>
                <w:color w:val="auto"/>
              </w:rPr>
              <w:t>​ ​</w:t>
            </w:r>
          </w:p>
        </w:tc>
        <w:tc>
          <w:tcPr>
            <w:tcW w:w="680" w:type="dxa"/>
            <w:vAlign w:val="bottom"/>
            <w:tcBorders>
              <w:bottom w:val="single" w:sz="8" w:color="CCEEFF"/>
            </w:tcBorders>
          </w:tcPr>
          <w:p>
            <w:pPr>
              <w:jc w:val="center"/>
              <w:ind w:right="96"/>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w:t>
            </w:r>
          </w:p>
        </w:tc>
        <w:tc>
          <w:tcPr>
            <w:tcW w:w="6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43"/>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256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 ​ ​$ 127,092</w:t>
            </w:r>
          </w:p>
        </w:tc>
        <w:tc>
          <w:tcPr>
            <w:tcW w:w="20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 ​​$100,000​​ ​​$227,092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4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2560" w:type="dxa"/>
            <w:vAlign w:val="bottom"/>
            <w:gridSpan w:val="3"/>
          </w:tcPr>
          <w:p>
            <w:pPr>
              <w:ind w:left="1520"/>
              <w:spacing w:after="0"/>
              <w:rPr>
                <w:sz w:val="20"/>
                <w:szCs w:val="20"/>
                <w:color w:val="auto"/>
              </w:rPr>
            </w:pPr>
            <w:r>
              <w:rPr>
                <w:rFonts w:ascii="Arial" w:cs="Arial" w:eastAsia="Arial" w:hAnsi="Arial"/>
                <w:sz w:val="18"/>
                <w:szCs w:val="18"/>
                <w:color w:val="auto"/>
              </w:rPr>
              <w:t>​ ​ ​$ 116,937</w:t>
            </w:r>
          </w:p>
        </w:tc>
        <w:tc>
          <w:tcPr>
            <w:tcW w:w="2060" w:type="dxa"/>
            <w:vAlign w:val="bottom"/>
            <w:gridSpan w:val="9"/>
          </w:tcPr>
          <w:p>
            <w:pPr>
              <w:jc w:val="right"/>
              <w:spacing w:after="0"/>
              <w:rPr>
                <w:sz w:val="20"/>
                <w:szCs w:val="20"/>
                <w:color w:val="auto"/>
              </w:rPr>
            </w:pPr>
            <w:r>
              <w:rPr>
                <w:rFonts w:ascii="Arial" w:cs="Arial" w:eastAsia="Arial" w:hAnsi="Arial"/>
                <w:sz w:val="18"/>
                <w:szCs w:val="18"/>
                <w:color w:val="auto"/>
              </w:rPr>
              <w:t>​​ ​​$100,000​​ ​​$216,937​</w:t>
            </w:r>
          </w:p>
        </w:tc>
      </w:tr>
      <w:tr>
        <w:trPr>
          <w:trHeight w:val="25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2560" w:type="dxa"/>
            <w:vAlign w:val="bottom"/>
            <w:gridSpan w:val="3"/>
            <w:shd w:val="clear" w:color="auto" w:fill="CCEEFF"/>
          </w:tcPr>
          <w:p>
            <w:pPr>
              <w:ind w:left="1520"/>
              <w:spacing w:after="0"/>
              <w:rPr>
                <w:sz w:val="20"/>
                <w:szCs w:val="20"/>
                <w:color w:val="auto"/>
              </w:rPr>
            </w:pPr>
            <w:r>
              <w:rPr>
                <w:rFonts w:ascii="Arial" w:cs="Arial" w:eastAsia="Arial" w:hAnsi="Arial"/>
                <w:sz w:val="18"/>
                <w:szCs w:val="18"/>
                <w:color w:val="auto"/>
              </w:rPr>
              <w:t>​ ​ ​$ 110,000</w:t>
            </w:r>
          </w:p>
        </w:tc>
        <w:tc>
          <w:tcPr>
            <w:tcW w:w="20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 ​​$100,000​​ ​​$210,000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40" w:type="dxa"/>
            <w:vAlign w:val="bottom"/>
            <w:gridSpan w:val="2"/>
          </w:tcPr>
          <w:p>
            <w:pPr>
              <w:spacing w:after="0"/>
              <w:rPr>
                <w:sz w:val="20"/>
                <w:szCs w:val="20"/>
                <w:color w:val="auto"/>
              </w:rPr>
            </w:pPr>
            <w:r>
              <w:rPr>
                <w:rFonts w:ascii="Arial" w:cs="Arial" w:eastAsia="Arial" w:hAnsi="Arial"/>
                <w:sz w:val="18"/>
                <w:szCs w:val="18"/>
                <w:color w:val="auto"/>
              </w:rPr>
              <w:t>Gina Stryker</w:t>
            </w:r>
          </w:p>
        </w:tc>
        <w:tc>
          <w:tcPr>
            <w:tcW w:w="1880" w:type="dxa"/>
            <w:vAlign w:val="bottom"/>
            <w:gridSpan w:val="2"/>
          </w:tcPr>
          <w:p>
            <w:pPr>
              <w:ind w:left="1520"/>
              <w:spacing w:after="0"/>
              <w:rPr>
                <w:sz w:val="20"/>
                <w:szCs w:val="20"/>
                <w:color w:val="auto"/>
              </w:rPr>
            </w:pPr>
            <w:r>
              <w:rPr>
                <w:rFonts w:ascii="Arial" w:cs="Arial" w:eastAsia="Arial" w:hAnsi="Arial"/>
                <w:sz w:val="18"/>
                <w:szCs w:val="18"/>
                <w:color w:val="auto"/>
              </w:rPr>
              <w:t>​ ​ ​$</w:t>
            </w:r>
          </w:p>
        </w:tc>
        <w:tc>
          <w:tcPr>
            <w:tcW w:w="680" w:type="dxa"/>
            <w:vAlign w:val="bottom"/>
          </w:tcPr>
          <w:p>
            <w:pPr>
              <w:jc w:val="right"/>
              <w:spacing w:after="0"/>
              <w:rPr>
                <w:sz w:val="20"/>
                <w:szCs w:val="20"/>
                <w:color w:val="auto"/>
              </w:rPr>
            </w:pPr>
            <w:r>
              <w:rPr>
                <w:rFonts w:ascii="Arial" w:cs="Arial" w:eastAsia="Arial" w:hAnsi="Arial"/>
                <w:sz w:val="18"/>
                <w:szCs w:val="18"/>
                <w:color w:val="auto"/>
              </w:rPr>
              <w:t>76,033</w:t>
            </w: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22"/>
                <w:szCs w:val="22"/>
                <w:color w:val="auto"/>
              </w:rPr>
            </w:pPr>
          </w:p>
        </w:tc>
        <w:tc>
          <w:tcPr>
            <w:tcW w:w="58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76,033​</w:t>
            </w:r>
          </w:p>
        </w:tc>
      </w:tr>
      <w:tr>
        <w:trPr>
          <w:trHeight w:val="25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Amelia Kinahoi-Saimomua</w:t>
            </w:r>
          </w:p>
        </w:tc>
        <w:tc>
          <w:tcPr>
            <w:tcW w:w="18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 ​​$100,000​​ ​​$195,000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40" w:type="dxa"/>
            <w:vAlign w:val="bottom"/>
            <w:gridSpan w:val="2"/>
          </w:tcPr>
          <w:p>
            <w:pPr>
              <w:spacing w:after="0"/>
              <w:rPr>
                <w:sz w:val="20"/>
                <w:szCs w:val="20"/>
                <w:color w:val="auto"/>
              </w:rPr>
            </w:pPr>
            <w:r>
              <w:rPr>
                <w:rFonts w:ascii="Arial" w:cs="Arial" w:eastAsia="Arial" w:hAnsi="Arial"/>
                <w:sz w:val="18"/>
                <w:szCs w:val="18"/>
                <w:color w:val="auto"/>
              </w:rPr>
              <w:t>Christian Madsbjerg</w:t>
            </w:r>
          </w:p>
        </w:tc>
        <w:tc>
          <w:tcPr>
            <w:tcW w:w="2560" w:type="dxa"/>
            <w:vAlign w:val="bottom"/>
            <w:gridSpan w:val="3"/>
          </w:tcPr>
          <w:p>
            <w:pPr>
              <w:ind w:left="1520"/>
              <w:spacing w:after="0"/>
              <w:rPr>
                <w:sz w:val="20"/>
                <w:szCs w:val="20"/>
                <w:color w:val="auto"/>
              </w:rPr>
            </w:pPr>
            <w:r>
              <w:rPr>
                <w:rFonts w:ascii="Arial" w:cs="Arial" w:eastAsia="Arial" w:hAnsi="Arial"/>
                <w:sz w:val="18"/>
                <w:szCs w:val="18"/>
                <w:color w:val="auto"/>
              </w:rPr>
              <w:t>​ ​ ​$ 110,000</w:t>
            </w:r>
          </w:p>
        </w:tc>
        <w:tc>
          <w:tcPr>
            <w:tcW w:w="2060" w:type="dxa"/>
            <w:vAlign w:val="bottom"/>
            <w:gridSpan w:val="9"/>
          </w:tcPr>
          <w:p>
            <w:pPr>
              <w:jc w:val="right"/>
              <w:spacing w:after="0"/>
              <w:rPr>
                <w:sz w:val="20"/>
                <w:szCs w:val="20"/>
                <w:color w:val="auto"/>
              </w:rPr>
            </w:pPr>
            <w:r>
              <w:rPr>
                <w:rFonts w:ascii="Arial" w:cs="Arial" w:eastAsia="Arial" w:hAnsi="Arial"/>
                <w:sz w:val="18"/>
                <w:szCs w:val="18"/>
                <w:color w:val="auto"/>
              </w:rPr>
              <w:t>​​ ​​$100,000​​ ​​$210,000​</w:t>
            </w:r>
          </w:p>
        </w:tc>
      </w:tr>
      <w:tr>
        <w:trPr>
          <w:trHeight w:val="297"/>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McAllister</w:t>
            </w:r>
            <w:r>
              <w:rPr>
                <w:rFonts w:ascii="Arial" w:cs="Arial" w:eastAsia="Arial" w:hAnsi="Arial"/>
                <w:sz w:val="23"/>
                <w:szCs w:val="23"/>
                <w:color w:val="auto"/>
                <w:vertAlign w:val="superscript"/>
              </w:rPr>
              <w:t>(2)</w:t>
            </w:r>
          </w:p>
        </w:tc>
        <w:tc>
          <w:tcPr>
            <w:tcW w:w="18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96,950</w:t>
            </w:r>
          </w:p>
        </w:tc>
        <w:tc>
          <w:tcPr>
            <w:tcW w:w="20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 ​​$199,999​​ ​​$296,950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1"/>
        </w:trPr>
        <w:tc>
          <w:tcPr>
            <w:tcW w:w="3640" w:type="dxa"/>
            <w:vAlign w:val="bottom"/>
            <w:gridSpan w:val="2"/>
          </w:tcPr>
          <w:p>
            <w:pPr>
              <w:spacing w:after="0"/>
              <w:rPr>
                <w:sz w:val="20"/>
                <w:szCs w:val="20"/>
                <w:color w:val="auto"/>
              </w:rPr>
            </w:pPr>
            <w:r>
              <w:rPr>
                <w:rFonts w:ascii="Arial" w:cs="Arial" w:eastAsia="Arial" w:hAnsi="Arial"/>
                <w:sz w:val="18"/>
                <w:szCs w:val="18"/>
                <w:color w:val="auto"/>
              </w:rPr>
              <w:t>Andrew Greig</w:t>
            </w:r>
          </w:p>
        </w:tc>
        <w:tc>
          <w:tcPr>
            <w:tcW w:w="1880" w:type="dxa"/>
            <w:vAlign w:val="bottom"/>
            <w:gridSpan w:val="2"/>
          </w:tcPr>
          <w:p>
            <w:pPr>
              <w:ind w:left="1520"/>
              <w:spacing w:after="0"/>
              <w:rPr>
                <w:sz w:val="20"/>
                <w:szCs w:val="20"/>
                <w:color w:val="auto"/>
              </w:rPr>
            </w:pPr>
            <w:r>
              <w:rPr>
                <w:rFonts w:ascii="Arial" w:cs="Arial" w:eastAsia="Arial" w:hAnsi="Arial"/>
                <w:sz w:val="18"/>
                <w:szCs w:val="18"/>
                <w:color w:val="auto"/>
              </w:rPr>
              <w:t>​ ​ ​$</w:t>
            </w:r>
          </w:p>
        </w:tc>
        <w:tc>
          <w:tcPr>
            <w:tcW w:w="680" w:type="dxa"/>
            <w:vAlign w:val="bottom"/>
          </w:tcPr>
          <w:p>
            <w:pPr>
              <w:jc w:val="right"/>
              <w:spacing w:after="0"/>
              <w:rPr>
                <w:sz w:val="20"/>
                <w:szCs w:val="20"/>
                <w:color w:val="auto"/>
              </w:rPr>
            </w:pPr>
            <w:r>
              <w:rPr>
                <w:rFonts w:ascii="Arial" w:cs="Arial" w:eastAsia="Arial" w:hAnsi="Arial"/>
                <w:sz w:val="18"/>
                <w:szCs w:val="18"/>
                <w:color w:val="auto"/>
              </w:rPr>
              <w:t>57,351</w:t>
            </w:r>
          </w:p>
        </w:tc>
        <w:tc>
          <w:tcPr>
            <w:tcW w:w="2060" w:type="dxa"/>
            <w:vAlign w:val="bottom"/>
            <w:gridSpan w:val="9"/>
          </w:tcPr>
          <w:p>
            <w:pPr>
              <w:jc w:val="right"/>
              <w:spacing w:after="0"/>
              <w:rPr>
                <w:sz w:val="20"/>
                <w:szCs w:val="20"/>
                <w:color w:val="auto"/>
              </w:rPr>
            </w:pPr>
            <w:r>
              <w:rPr>
                <w:rFonts w:ascii="Arial" w:cs="Arial" w:eastAsia="Arial" w:hAnsi="Arial"/>
                <w:sz w:val="18"/>
                <w:szCs w:val="18"/>
                <w:color w:val="auto"/>
              </w:rPr>
              <w:t>​​ ​​$100,000​​ ​​$157,351​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117475</wp:posOffset>
            </wp:positionV>
            <wp:extent cx="6858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31" w:lineRule="exact"/>
        <w:rPr>
          <w:sz w:val="20"/>
          <w:szCs w:val="20"/>
          <w:color w:val="auto"/>
        </w:rPr>
      </w:pPr>
    </w:p>
    <w:p>
      <w:pPr>
        <w:ind w:left="1600" w:right="419" w:hanging="352"/>
        <w:spacing w:after="0" w:line="325" w:lineRule="auto"/>
        <w:tabs>
          <w:tab w:leader="none" w:pos="16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Annual Grant consists of 68,027 RSUs granted during the year ended December 31, 2022. The grant date fair value is computed based on the closing market price on the date of grant in accordance with ASC 718.</w:t>
      </w:r>
    </w:p>
    <w:p>
      <w:pPr>
        <w:spacing w:after="0" w:line="22"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Ms. McAllister’s stock awards include the value of her Initial Grant on joining the board and her Annual Grant both issued in 2022.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lists all outstanding equity awards held by our non-employee directors as of</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December 31, 2022:</w:t>
      </w:r>
    </w:p>
    <w:p>
      <w:pPr>
        <w:spacing w:after="0" w:line="176"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Aggregate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tcPr>
          <w:p>
            <w:pPr>
              <w:jc w:val="center"/>
              <w:ind w:left="1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Underlying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of Stock That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80" w:type="dxa"/>
            <w:vAlign w:val="bottom"/>
          </w:tcPr>
          <w:p>
            <w:pPr>
              <w:spacing w:after="0"/>
              <w:rPr>
                <w:sz w:val="17"/>
                <w:szCs w:val="17"/>
                <w:color w:val="auto"/>
              </w:rPr>
            </w:pPr>
          </w:p>
        </w:tc>
        <w:tc>
          <w:tcPr>
            <w:tcW w:w="1920" w:type="dxa"/>
            <w:vAlign w:val="bottom"/>
          </w:tcPr>
          <w:p>
            <w:pPr>
              <w:ind w:left="1760"/>
              <w:spacing w:after="0"/>
              <w:rPr>
                <w:sz w:val="20"/>
                <w:szCs w:val="20"/>
                <w:color w:val="auto"/>
              </w:rPr>
            </w:pPr>
            <w:r>
              <w:rPr>
                <w:rFonts w:ascii="Arial" w:cs="Arial" w:eastAsia="Arial" w:hAnsi="Arial"/>
                <w:sz w:val="14"/>
                <w:szCs w:val="14"/>
                <w:b w:val="1"/>
                <w:bCs w:val="1"/>
                <w:color w:val="auto"/>
              </w:rPr>
              <w:t>​ ​</w:t>
            </w:r>
          </w:p>
        </w:tc>
        <w:tc>
          <w:tcPr>
            <w:tcW w:w="780" w:type="dxa"/>
            <w:vAlign w:val="bottom"/>
          </w:tcPr>
          <w:p>
            <w:pPr>
              <w:jc w:val="center"/>
              <w:ind w:left="38"/>
              <w:spacing w:after="0"/>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(1)</w:t>
            </w:r>
          </w:p>
        </w:tc>
        <w:tc>
          <w:tcPr>
            <w:tcW w:w="120" w:type="dxa"/>
            <w:vAlign w:val="bottom"/>
          </w:tcPr>
          <w:p>
            <w:pPr>
              <w:spacing w:after="0"/>
              <w:rPr>
                <w:sz w:val="17"/>
                <w:szCs w:val="17"/>
                <w:color w:val="auto"/>
              </w:rPr>
            </w:pPr>
          </w:p>
        </w:tc>
        <w:tc>
          <w:tcPr>
            <w:tcW w:w="1540" w:type="dxa"/>
            <w:vAlign w:val="bottom"/>
            <w:gridSpan w:val="4"/>
          </w:tcPr>
          <w:p>
            <w:pPr>
              <w:jc w:val="right"/>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Have Not Vested</w:t>
            </w:r>
            <w:r>
              <w:rPr>
                <w:rFonts w:ascii="Arial" w:cs="Arial" w:eastAsia="Arial" w:hAnsi="Arial"/>
                <w:sz w:val="14"/>
                <w:szCs w:val="14"/>
                <w:b w:val="1"/>
                <w:bCs w:val="1"/>
                <w:color w:val="auto"/>
                <w:vertAlign w:val="superscript"/>
              </w:rPr>
              <w:t>(2)</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w:t>
            </w:r>
          </w:p>
        </w:tc>
      </w:tr>
      <w:tr>
        <w:trPr>
          <w:trHeight w:val="27"/>
        </w:trPr>
        <w:tc>
          <w:tcPr>
            <w:tcW w:w="420" w:type="dxa"/>
            <w:vAlign w:val="bottom"/>
            <w:shd w:val="clear" w:color="auto" w:fill="000000"/>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19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73,382</w:t>
            </w:r>
          </w:p>
        </w:tc>
        <w:tc>
          <w:tcPr>
            <w:tcW w:w="8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390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1920" w:type="dxa"/>
            <w:vAlign w:val="bottom"/>
          </w:tcPr>
          <w:p>
            <w:pPr>
              <w:ind w:left="176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73,382</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9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769,020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73,382</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900" w:type="dxa"/>
            <w:vAlign w:val="bottom"/>
            <w:gridSpan w:val="2"/>
          </w:tcPr>
          <w:p>
            <w:pPr>
              <w:spacing w:after="0"/>
              <w:rPr>
                <w:sz w:val="20"/>
                <w:szCs w:val="20"/>
                <w:color w:val="auto"/>
              </w:rPr>
            </w:pPr>
            <w:r>
              <w:rPr>
                <w:rFonts w:ascii="Arial" w:cs="Arial" w:eastAsia="Arial" w:hAnsi="Arial"/>
                <w:sz w:val="18"/>
                <w:szCs w:val="18"/>
                <w:color w:val="auto"/>
              </w:rPr>
              <w:t>Amelia Kinahoi-Saimomua</w:t>
            </w:r>
          </w:p>
        </w:tc>
        <w:tc>
          <w:tcPr>
            <w:tcW w:w="1920" w:type="dxa"/>
            <w:vAlign w:val="bottom"/>
          </w:tcPr>
          <w:p>
            <w:pPr>
              <w:ind w:left="176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73,382</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19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716,916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73,382</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900" w:type="dxa"/>
            <w:vAlign w:val="bottom"/>
            <w:gridSpan w:val="2"/>
          </w:tcPr>
          <w:p>
            <w:pPr>
              <w:spacing w:after="0"/>
              <w:rPr>
                <w:sz w:val="20"/>
                <w:szCs w:val="20"/>
                <w:color w:val="auto"/>
              </w:rPr>
            </w:pPr>
            <w:r>
              <w:rPr>
                <w:rFonts w:ascii="Arial" w:cs="Arial" w:eastAsia="Arial" w:hAnsi="Arial"/>
                <w:sz w:val="18"/>
                <w:szCs w:val="18"/>
                <w:color w:val="auto"/>
              </w:rPr>
              <w:t>Kathleen McAllister</w:t>
            </w:r>
          </w:p>
        </w:tc>
        <w:tc>
          <w:tcPr>
            <w:tcW w:w="1920" w:type="dxa"/>
            <w:vAlign w:val="bottom"/>
          </w:tcPr>
          <w:p>
            <w:pPr>
              <w:ind w:left="176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132,543</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Greig</w:t>
            </w:r>
          </w:p>
        </w:tc>
        <w:tc>
          <w:tcPr>
            <w:tcW w:w="19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95,238</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128905</wp:posOffset>
            </wp:positionV>
            <wp:extent cx="6858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22" w:lineRule="exact"/>
        <w:rPr>
          <w:sz w:val="20"/>
          <w:szCs w:val="20"/>
          <w:color w:val="auto"/>
        </w:rPr>
      </w:pPr>
    </w:p>
    <w:p>
      <w:pPr>
        <w:jc w:val="both"/>
        <w:ind w:left="1600" w:right="419" w:hanging="352"/>
        <w:spacing w:after="0" w:line="275" w:lineRule="auto"/>
        <w:tabs>
          <w:tab w:leader="none" w:pos="1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STIP options granted under the DeepGreen Plan which are fully vested, and have an exercise price ranging from $0.52 to $2.60 and expiration date between February 17,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45"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RSUs for Initial Grants, which vests in thirds on each anniversary of the grant date, and RSUs for Annual Grants which vest on the date of TMC’s annual general meeting following the grant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provides certain aggregate information with respect to all of our equity compensation plans in effect as of December 31, 2022.</w:t>
      </w:r>
    </w:p>
    <w:p>
      <w:pPr>
        <w:spacing w:after="0" w:line="109"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60"/>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8"/>
                <w:szCs w:val="18"/>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(b)</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ind w:right="579"/>
              <w:spacing w:after="0"/>
              <w:rPr>
                <w:sz w:val="20"/>
                <w:szCs w:val="20"/>
                <w:color w:val="auto"/>
              </w:rPr>
            </w:pPr>
            <w:r>
              <w:rPr>
                <w:rFonts w:ascii="Arial" w:cs="Arial" w:eastAsia="Arial" w:hAnsi="Arial"/>
                <w:sz w:val="14"/>
                <w:szCs w:val="14"/>
                <w:b w:val="1"/>
                <w:bCs w:val="1"/>
                <w:color w:val="auto"/>
              </w:rPr>
              <w:t>(c)</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 available for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Number of securities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to be issued upon exercise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 price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of outstanding options,</w:t>
            </w:r>
          </w:p>
        </w:tc>
        <w:tc>
          <w:tcPr>
            <w:tcW w:w="200" w:type="dxa"/>
            <w:vAlign w:val="bottom"/>
          </w:tcPr>
          <w:p>
            <w:pPr>
              <w:spacing w:after="0"/>
              <w:rPr>
                <w:sz w:val="14"/>
                <w:szCs w:val="14"/>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outstanding options,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gridSpan w:val="2"/>
          </w:tcPr>
          <w:p>
            <w:pPr>
              <w:spacing w:after="0"/>
              <w:rPr>
                <w:sz w:val="16"/>
                <w:szCs w:val="16"/>
                <w:color w:val="auto"/>
              </w:rPr>
            </w:pPr>
          </w:p>
        </w:tc>
        <w:tc>
          <w:tcPr>
            <w:tcW w:w="300" w:type="dxa"/>
            <w:vAlign w:val="bottom"/>
          </w:tcPr>
          <w:p>
            <w:pPr>
              <w:ind w:left="160"/>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40" w:type="dxa"/>
            <w:vAlign w:val="bottom"/>
          </w:tcPr>
          <w:p>
            <w:pPr>
              <w:spacing w:after="0"/>
              <w:rPr>
                <w:sz w:val="16"/>
                <w:szCs w:val="16"/>
                <w:color w:val="auto"/>
              </w:rPr>
            </w:pPr>
          </w:p>
        </w:tc>
        <w:tc>
          <w:tcPr>
            <w:tcW w:w="1640" w:type="dxa"/>
            <w:vAlign w:val="bottom"/>
            <w:gridSpan w:val="4"/>
          </w:tcPr>
          <w:p>
            <w:pPr>
              <w:ind w:left="6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warrants and rights</w:t>
            </w:r>
          </w:p>
        </w:tc>
        <w:tc>
          <w:tcPr>
            <w:tcW w:w="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approved by security</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40" w:type="dxa"/>
            <w:vAlign w:val="bottom"/>
            <w:gridSpan w:val="3"/>
            <w:vMerge w:val="restart"/>
            <w:shd w:val="clear" w:color="auto" w:fill="CCEEFF"/>
          </w:tcPr>
          <w:p>
            <w:pPr>
              <w:ind w:left="440"/>
              <w:spacing w:after="0"/>
              <w:rPr>
                <w:sz w:val="20"/>
                <w:szCs w:val="20"/>
                <w:color w:val="auto"/>
              </w:rPr>
            </w:pPr>
            <w:r>
              <w:rPr>
                <w:rFonts w:ascii="Arial" w:cs="Arial" w:eastAsia="Arial" w:hAnsi="Arial"/>
                <w:sz w:val="18"/>
                <w:szCs w:val="18"/>
                <w:color w:val="auto"/>
              </w:rPr>
              <w:t>​29,955,405</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​$1.11</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35,719,259</w:t>
            </w:r>
            <w:r>
              <w:rPr>
                <w:rFonts w:ascii="Arial" w:cs="Arial" w:eastAsia="Arial" w:hAnsi="Arial"/>
                <w:sz w:val="23"/>
                <w:szCs w:val="23"/>
                <w:color w:val="auto"/>
                <w:vertAlign w:val="superscript"/>
              </w:rPr>
              <w:t>(3)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1"/>
                <w:szCs w:val="21"/>
                <w:color w:val="auto"/>
              </w:rPr>
            </w:pPr>
          </w:p>
        </w:tc>
        <w:tc>
          <w:tcPr>
            <w:tcW w:w="1840" w:type="dxa"/>
            <w:vAlign w:val="bottom"/>
            <w:gridSpan w:val="3"/>
            <w:vMerge w:val="continue"/>
            <w:shd w:val="clear" w:color="auto" w:fill="CCEEFF"/>
          </w:tcPr>
          <w:p>
            <w:pPr>
              <w:spacing w:after="0"/>
              <w:rPr>
                <w:sz w:val="21"/>
                <w:szCs w:val="21"/>
                <w:color w:val="auto"/>
              </w:rPr>
            </w:pP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8"/>
                <w:szCs w:val="18"/>
                <w:color w:val="auto"/>
              </w:rPr>
              <w:t>Equity compensation plans</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gridSpan w:val="3"/>
          </w:tcPr>
          <w:p>
            <w:pPr>
              <w:ind w:left="180"/>
              <w:spacing w:after="0"/>
              <w:rPr>
                <w:sz w:val="20"/>
                <w:szCs w:val="20"/>
                <w:color w:val="auto"/>
              </w:rPr>
            </w:pPr>
            <w:r>
              <w:rPr>
                <w:rFonts w:ascii="Arial" w:cs="Arial" w:eastAsia="Arial" w:hAnsi="Arial"/>
                <w:sz w:val="18"/>
                <w:szCs w:val="18"/>
                <w:color w:val="auto"/>
              </w:rPr>
              <w:t>not approved by</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00" w:type="dxa"/>
            <w:vAlign w:val="bottom"/>
            <w:gridSpan w:val="3"/>
          </w:tcPr>
          <w:p>
            <w:pPr>
              <w:ind w:left="180"/>
              <w:spacing w:after="0"/>
              <w:rPr>
                <w:sz w:val="20"/>
                <w:szCs w:val="20"/>
                <w:color w:val="auto"/>
              </w:rPr>
            </w:pPr>
            <w:r>
              <w:rPr>
                <w:rFonts w:ascii="Arial" w:cs="Arial" w:eastAsia="Arial" w:hAnsi="Arial"/>
                <w:sz w:val="18"/>
                <w:szCs w:val="18"/>
                <w:color w:val="auto"/>
              </w:rPr>
              <w:t>security holders</w:t>
            </w:r>
          </w:p>
        </w:tc>
        <w:tc>
          <w:tcPr>
            <w:tcW w:w="300" w:type="dxa"/>
            <w:vAlign w:val="bottom"/>
          </w:tcPr>
          <w:p>
            <w:pPr>
              <w:ind w:left="16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ind w:left="6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1"/>
                <w:szCs w:val="21"/>
                <w:color w:val="auto"/>
              </w:rPr>
            </w:pP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 ​ —</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2"/>
                <w:szCs w:val="22"/>
                <w:color w:val="auto"/>
              </w:rPr>
            </w:pPr>
          </w:p>
        </w:tc>
        <w:tc>
          <w:tcPr>
            <w:tcW w:w="1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​29,955,405</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​$1.11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35,719,259</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600" w:right="439" w:hanging="352"/>
        <w:spacing w:after="0" w:line="305"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(i) 25,140,262 shares to be issued upon exercise of outstanding options under the DeepGreen Plan and (ii) 3,815,143 shares to be issued upon exercise of outstanding RSUs under the TMC 2021 Incentive Equity Plan.</w:t>
      </w:r>
    </w:p>
    <w:p>
      <w:pPr>
        <w:spacing w:after="0" w:line="22" w:lineRule="exact"/>
        <w:rPr>
          <w:rFonts w:ascii="Arial" w:cs="Arial" w:eastAsia="Arial" w:hAnsi="Arial"/>
          <w:sz w:val="14"/>
          <w:szCs w:val="14"/>
          <w:color w:val="auto"/>
        </w:rPr>
      </w:pPr>
    </w:p>
    <w:p>
      <w:pPr>
        <w:ind w:left="1600" w:hanging="352"/>
        <w:spacing w:after="0"/>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the weighted-average exercise price of the 25,140,262 options outstanding on December 31, 2022.</w:t>
      </w:r>
    </w:p>
    <w:p>
      <w:pPr>
        <w:spacing w:after="0" w:line="95"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30,582,864 shares under the TMC 2021 Incentive Equity Plan and 5,136,395 shares under the TMC 2021 Employee Stock Purchase Plan that remained available for future issuance as of December 31, 2022. No shares remained available for future issuance under the DeepGreen Plan as of December 31, 2022.</w:t>
      </w:r>
    </w:p>
    <w:p>
      <w:pPr>
        <w:spacing w:after="0" w:line="9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2021 Incentive Equity Plan has an evergreen provision that allows for an annual increase in the number of shares available for issuance under the TMC 2021 Incentive Equity Plan to be added on the first day of each fiscal year, beginning in fiscal year 2022 and ending on the tenth anniversary of the closing of the Business Combination. The evergreen provides for an automatic increase in the number of shares available for issuance equal to the lesser of (i) 4% of the number of outstanding common shares on such date and (ii) an amount determined by the plan administrator.</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2021 Employee Stock Purchase Plan has an annual increase provision that allows for an annual increase in the number of shares available for issuance under the TMC 2021 Employee Share Purchase Plan to be added on the first day of each fiscal year, beginning in fiscal year 2022. The annual increase provision provides for an automatic increase in the number of shares available for issuance equal to the lesser of (i) 1% of the number of outstanding common shares on such date and (ii) an amount determined by the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REPORT OF AUDIT COMMITTEE</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audit committee of our board of directors, which consists entirely of directors who meet the independence and experience requirements of Nasdaq, has furnished the following report:</w:t>
      </w:r>
    </w:p>
    <w:p>
      <w:pPr>
        <w:spacing w:after="0" w:line="7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audit committee assists our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our board of directors, which is available on our website at www.metals.co. This committee reviews and reassesses our Articles annually and recommends any changes to our board of directors for approval. The audit committee is responsible for overseeing our overall financial reporting process, and for the appointment, compensation, retention, and oversight of the work of Ernst &amp; Young LLP. In fulfilling its responsibilities for the financial statements for fiscal year December 31, 2022, the audit committee took the following actions:</w:t>
      </w:r>
    </w:p>
    <w:p>
      <w:pPr>
        <w:spacing w:after="0" w:line="73" w:lineRule="exact"/>
        <w:rPr>
          <w:sz w:val="20"/>
          <w:szCs w:val="20"/>
          <w:color w:val="auto"/>
        </w:rPr>
      </w:pPr>
    </w:p>
    <w:p>
      <w:pPr>
        <w:jc w:val="both"/>
        <w:ind w:left="1780" w:right="419" w:hanging="172"/>
        <w:spacing w:after="0" w:line="268" w:lineRule="auto"/>
        <w:tabs>
          <w:tab w:leader="none" w:pos="1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2022 with management and Ernst &amp; Young LLP, our independent registered public accounting firm;</w:t>
      </w:r>
    </w:p>
    <w:p>
      <w:pPr>
        <w:spacing w:after="0" w:line="62"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Discussed with Ernst &amp; Young LLP the matters required to be discussed in accordance with Auditing Standard No. 1301 — Communications with Audit committees; and</w:t>
      </w:r>
    </w:p>
    <w:p>
      <w:pPr>
        <w:spacing w:after="0" w:line="4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Received written disclosures and the letter from Ernst &amp; Young LLP regarding its independence as required by applicable requirements of the Public Company Accounting Oversight Board regarding Ernst &amp; Young LLP’s communications with the audit committee and the audit committee further discussed with Ernst &amp; Young LLP their independence. The audit committee also considered the status of pending litigation, taxation matters and other areas of oversight relating to the financial reporting and audit process that the committee determined appropriate.</w:t>
      </w:r>
    </w:p>
    <w:p>
      <w:pPr>
        <w:spacing w:after="0" w:line="115" w:lineRule="exact"/>
        <w:rPr>
          <w:sz w:val="20"/>
          <w:szCs w:val="20"/>
          <w:color w:val="auto"/>
        </w:rPr>
      </w:pPr>
    </w:p>
    <w:p>
      <w:pPr>
        <w:jc w:val="both"/>
        <w:ind w:left="1240" w:right="439" w:firstLine="360"/>
        <w:spacing w:after="0" w:line="262"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Ernst &amp; Young LLP, the audit committee recommended to our board of directors that the audited financial statements be included in our Annual Report on Form 10-K for the fiscal year ended December 31, 2022 for filing with the SEC.</w:t>
      </w:r>
    </w:p>
    <w:p>
      <w:pPr>
        <w:spacing w:after="0" w:line="10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Members of the TMC the metals company Inc. audit</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committee</w:t>
      </w: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Kathleen McAllister, Chairperson</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Andrew Hall</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Sheila Khama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1639" w:firstLine="1215"/>
        <w:spacing w:after="0" w:line="414" w:lineRule="auto"/>
        <w:rPr>
          <w:sz w:val="20"/>
          <w:szCs w:val="20"/>
          <w:color w:val="auto"/>
        </w:rPr>
      </w:pPr>
      <w:r>
        <w:rPr>
          <w:rFonts w:ascii="Arial" w:cs="Arial" w:eastAsia="Arial" w:hAnsi="Arial"/>
          <w:sz w:val="18"/>
          <w:szCs w:val="18"/>
          <w:b w:val="1"/>
          <w:bCs w:val="1"/>
          <w:color w:val="auto"/>
        </w:rPr>
        <w:t xml:space="preserve">CERTAIN RELATIONSHIPS AND RELATED PERSON TRANSACTIONS </w:t>
      </w:r>
      <w:r>
        <w:rPr>
          <w:rFonts w:ascii="Arial" w:cs="Arial" w:eastAsia="Arial" w:hAnsi="Arial"/>
          <w:sz w:val="18"/>
          <w:szCs w:val="18"/>
          <w:b w:val="1"/>
          <w:bCs w:val="1"/>
          <w:i w:val="1"/>
          <w:iCs w:val="1"/>
          <w:color w:val="auto"/>
        </w:rPr>
        <w:t>2021 PIPE Financing</w:t>
      </w:r>
    </w:p>
    <w:p>
      <w:pPr>
        <w:spacing w:after="0" w:line="1"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In the private placement of common shares, consummated on September 9, 2021, Allseas Group SA (“Allseas”) and Argentum Cedit Virtuti, an affiliate of Allseas, purchased $20 million and $10 million of our common shares, respectively.</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2022 PIPE Financing</w:t>
      </w:r>
    </w:p>
    <w:p>
      <w:pPr>
        <w:spacing w:after="0" w:line="156"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In the private placement of common shares, entered into on August 12, 2022, Gerard Barron, our Chief Executive Officer and Chairman, ERAS Capital LLC, the family fund of the Company’s director, Andrei Karkar, and Allseas purchased $100,000, $5 million and $5 million of our common shares, respectively.</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Consulting Agreements</w:t>
      </w:r>
    </w:p>
    <w:p>
      <w:pPr>
        <w:spacing w:after="0" w:line="156"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Gregory Stone, our Chief Ocean Scientist, regularly provides consulting services to us through Ocean Renaissance LLC (“Ocean Renaissance”), where he is a principal. Consulting services during each of the years ended December 31, 2021 and 2022 amounted to $375,000.</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Allseas</w:t>
      </w:r>
    </w:p>
    <w:p>
      <w:pPr>
        <w:spacing w:after="0" w:line="14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13"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On March 16, 2022, Nauru Ocean Resources Inc. (“NORI”) and Allseas entered into a non-binding term sheet for the development and operation of a commercial nodule collection system. The pilot nodule collection system developed and tested by Allseas is expected to be upgraded to a commercial system with a targeted production capacity of 1.3 million tonnes of wet nodules per year with expected production readiness by the fourth quarter of 2024. NORI and Allseas intended to equally finance all costs related to developing and getting the first commercial system into production that were estimated at less than EUR100 million. It was anticipated that NORI will not have to make any payments related to the commercial system to Allseas until March 31, 2023. Once in production, NORI expected to pay Allseas a nodule collection and transshipment fee estimated at approximately EUR 150 per wet tonne in the first year of operations and expected to be reduced by more than 20% in the following years as Allseas scaled up production to 1.3 million wet tonnes of nodules per year. Following the successful completion of the NORI Area D pilot collection system trials in November 2022 and subsequent analysis of pilot data, the parties are reviewing Project Zero System production targets (up to 3 Mtpa of wet nodules), system design and cost estimates and intend to enter into a binding Heads of Terms in the second half of 2023.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Hidden Gem, a further Samsung 10000, with the potential for it to be engineered to support a higher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ectPr>
          <w:pgSz w:w="11900" w:h="16838" w:orient="portrait"/>
          <w:cols w:equalWidth="0" w:num="1">
            <w:col w:w="9879"/>
          </w:cols>
          <w:pgMar w:left="580" w:top="97" w:right="1440" w:bottom="1440" w:gutter="0" w:footer="0" w:header="0"/>
        </w:sectPr>
      </w:pPr>
    </w:p>
    <w:p>
      <w:pPr>
        <w:spacing w:after="0" w:line="40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Through December 31, 2022, we have made the following payments to Allseas under the PMTA:</w:t>
      </w:r>
    </w:p>
    <w:p>
      <w:pPr>
        <w:spacing w:after="0" w:line="27" w:lineRule="exact"/>
        <w:rPr>
          <w:sz w:val="20"/>
          <w:szCs w:val="20"/>
          <w:color w:val="auto"/>
        </w:rPr>
      </w:pPr>
    </w:p>
    <w:p>
      <w:pPr>
        <w:jc w:val="both"/>
        <w:ind w:left="1240" w:right="419" w:firstLine="8"/>
        <w:spacing w:after="0" w:line="252" w:lineRule="auto"/>
        <w:tabs>
          <w:tab w:leader="none" w:pos="15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million in cash in February 2020, (b) $10 million through the issuance of 3.2 million common shares valued at $3.11 per share in February 2020, (c) issued Allseas a warrant to purchase 11.6 million common shares at a nominal exercise price per share in March 2021, which became exercisable in November 2022 with the successful completion of the pilot trial of the PMTS in the NORI-D Area, (d) $10 million in cash in October 2021, following the closing of the Business Combination and meeting certain progress targets on the PMTS, (e) the second $10 million payment to Allseas under the PMTA on April 25, 2022, following the successful completion of the North Sea drive test and (f) the third and final $10 million payment to Allseas became due in November 2022 upon successful completion of the pilot trial of the PMTS in the NORI Area D, which we settle, along with certain other costs due Allseas under the PMTA, through the issuance of 10,850,000 common shares in February 2023 at a price of $1.00 per share upon entering into the fifth amendment to the PMTA.</w:t>
      </w:r>
    </w:p>
    <w:p>
      <w:pPr>
        <w:spacing w:after="0" w:line="11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On March 22, 2023, we entered into a Credit Facility with Argentum Credit Virtuti GCV, the parent of Allseas Investments S.A. and an affiliate of Allseas, pursuant to which, we may borrow from the Lender up to $25,000,000 in the aggregate, from time to time, subject to certain conditions set forth in the Credit Facility. All amounts drawn under the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May 21, 2024. The Credit Facility also contains customary events of default.</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Maersk</w:t>
      </w:r>
    </w:p>
    <w:p>
      <w:pPr>
        <w:spacing w:after="0" w:line="14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On March 21, 2017, the Company entered into four charter vessel agreements with Maersk Supply Service A/S (“Maersk”) and one charter vessel agreement with Maersk UK pursuant to which Maersk and Maersk UK agreed to supply the Company with vessels and offshore services for a total of five marine campaigns. By letter agreement on March 3, 2021, the Company and Maersk agreed to extend the arrangement until 2022.</w:t>
      </w:r>
    </w:p>
    <w:p>
      <w:pPr>
        <w:spacing w:after="0" w:line="112"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Pursuant to the Maersk Investment and Participation Agreement dated March 15, 2017 (the “Participation Agreement”), the Company agreed, among other things, that in return for marine cruises and related project management services provided by Maersk and Maersk UK, the Company will issue that number of common shares as is equal to the final cost of each marine cruise divided by $1.08 (subject to adjustment as described therein), upon completion of each marine cruise, and after agreement between the parties as to the calculation of the final cost to Maersk or Maersk UK for such cruise.</w:t>
      </w:r>
    </w:p>
    <w:p>
      <w:pPr>
        <w:spacing w:after="0" w:line="115"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arrangements with Maersk all ended in January 2022.</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At the closing of the Business Combination,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96" w:lineRule="auto"/>
        <w:rPr>
          <w:sz w:val="20"/>
          <w:szCs w:val="20"/>
          <w:color w:val="auto"/>
        </w:rPr>
      </w:pPr>
      <w:r>
        <w:rPr>
          <w:rFonts w:ascii="Arial" w:cs="Arial" w:eastAsia="Arial" w:hAnsi="Arial"/>
          <w:sz w:val="18"/>
          <w:szCs w:val="18"/>
          <w:b w:val="1"/>
          <w:bCs w:val="1"/>
          <w:color w:val="auto"/>
        </w:rPr>
        <w:t>Indemnity Agreements with Officers and Directors and Directors’ and Officers’ Liability Insurance</w:t>
      </w:r>
    </w:p>
    <w:p>
      <w:pPr>
        <w:spacing w:after="0" w:line="70" w:lineRule="exact"/>
        <w:rPr>
          <w:sz w:val="20"/>
          <w:szCs w:val="20"/>
          <w:color w:val="auto"/>
        </w:rPr>
      </w:pPr>
    </w:p>
    <w:p>
      <w:pPr>
        <w:jc w:val="both"/>
        <w:ind w:left="1240" w:right="419" w:firstLine="360"/>
        <w:spacing w:after="0" w:line="285" w:lineRule="auto"/>
        <w:rPr>
          <w:sz w:val="20"/>
          <w:szCs w:val="20"/>
          <w:color w:val="auto"/>
        </w:rPr>
      </w:pPr>
      <w:r>
        <w:rPr>
          <w:rFonts w:ascii="Arial" w:cs="Arial" w:eastAsia="Arial" w:hAnsi="Arial"/>
          <w:sz w:val="17"/>
          <w:szCs w:val="17"/>
          <w:color w:val="auto"/>
        </w:rPr>
        <w:t>In connection with the Business Combination,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5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56"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85" w:lineRule="exact"/>
        <w:rPr>
          <w:sz w:val="20"/>
          <w:szCs w:val="20"/>
          <w:color w:val="auto"/>
        </w:rPr>
      </w:pPr>
    </w:p>
    <w:p>
      <w:pPr>
        <w:jc w:val="both"/>
        <w:ind w:left="1240" w:right="419" w:firstLine="360"/>
        <w:spacing w:after="0" w:line="267" w:lineRule="auto"/>
        <w:rPr>
          <w:sz w:val="20"/>
          <w:szCs w:val="20"/>
          <w:color w:val="auto"/>
        </w:rPr>
      </w:pPr>
      <w:r>
        <w:rPr>
          <w:rFonts w:ascii="Arial" w:cs="Arial" w:eastAsia="Arial" w:hAnsi="Arial"/>
          <w:sz w:val="18"/>
          <w:szCs w:val="18"/>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90" w:lineRule="exact"/>
        <w:rPr>
          <w:sz w:val="20"/>
          <w:szCs w:val="20"/>
          <w:color w:val="auto"/>
        </w:rPr>
      </w:pPr>
    </w:p>
    <w:p>
      <w:pPr>
        <w:ind w:left="1780" w:right="419" w:hanging="172"/>
        <w:spacing w:after="0" w:line="287"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person who is or was an executive officer, director, or director nominee of the Company at any time since the beginning of the Company’s last fiscal year;</w:t>
      </w:r>
    </w:p>
    <w:p>
      <w:pPr>
        <w:spacing w:after="0" w:line="71"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who is or was an Immediate Family Member (as defined below) of an executive officer, director, director nominee at any time since the beginning of the Company’s last fiscal year;</w:t>
      </w:r>
    </w:p>
    <w:p>
      <w:pPr>
        <w:spacing w:after="0" w:line="58"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the beneficial owner of more than 5% of any class of the Company’s voting securities (a “Significant Shareholder”); or</w:t>
      </w:r>
    </w:p>
    <w:p>
      <w:pPr>
        <w:spacing w:after="0" w:line="89"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an Immediate Family Member of a Significant Shareholder of the Company.</w:t>
      </w:r>
    </w:p>
    <w:p>
      <w:pPr>
        <w:spacing w:after="0" w:line="85" w:lineRule="exact"/>
        <w:rPr>
          <w:sz w:val="20"/>
          <w:szCs w:val="20"/>
          <w:color w:val="auto"/>
        </w:rPr>
      </w:pPr>
    </w:p>
    <w:p>
      <w:pPr>
        <w:jc w:val="both"/>
        <w:ind w:left="1240" w:right="419" w:firstLine="360"/>
        <w:spacing w:after="0" w:line="276" w:lineRule="auto"/>
        <w:rPr>
          <w:sz w:val="20"/>
          <w:szCs w:val="20"/>
          <w:color w:val="auto"/>
        </w:rPr>
      </w:pPr>
      <w:r>
        <w:rPr>
          <w:rFonts w:ascii="Arial" w:cs="Arial" w:eastAsia="Arial" w:hAnsi="Arial"/>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9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00"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00" w:lineRule="exact"/>
        <w:rPr>
          <w:sz w:val="20"/>
          <w:szCs w:val="20"/>
          <w:color w:val="auto"/>
        </w:rPr>
      </w:pPr>
    </w:p>
    <w:p>
      <w:pPr>
        <w:jc w:val="both"/>
        <w:ind w:left="1240" w:right="419" w:firstLine="360"/>
        <w:spacing w:after="0" w:line="273" w:lineRule="auto"/>
        <w:rPr>
          <w:sz w:val="20"/>
          <w:szCs w:val="20"/>
          <w:color w:val="auto"/>
        </w:rPr>
      </w:pPr>
      <w:r>
        <w:rPr>
          <w:rFonts w:ascii="Arial" w:cs="Arial" w:eastAsia="Arial" w:hAnsi="Arial"/>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84" w:lineRule="exact"/>
        <w:rPr>
          <w:sz w:val="20"/>
          <w:szCs w:val="20"/>
          <w:color w:val="auto"/>
        </w:rPr>
      </w:pPr>
    </w:p>
    <w:p>
      <w:pPr>
        <w:ind w:left="1780" w:hanging="172"/>
        <w:spacing w:after="0"/>
        <w:tabs>
          <w:tab w:leader="none" w:pos="1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144" w:lineRule="exact"/>
        <w:rPr>
          <w:rFonts w:ascii="Arial" w:cs="Arial" w:eastAsia="Arial" w:hAnsi="Arial"/>
          <w:sz w:val="18"/>
          <w:szCs w:val="18"/>
          <w:color w:val="auto"/>
        </w:rPr>
      </w:pPr>
    </w:p>
    <w:p>
      <w:pPr>
        <w:ind w:left="1780" w:hanging="172"/>
        <w:spacing w:after="0"/>
        <w:tabs>
          <w:tab w:leader="none" w:pos="1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780" w:right="439" w:hanging="172"/>
        <w:spacing w:after="0" w:line="287" w:lineRule="auto"/>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 of the Company;</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62" w:lineRule="exact"/>
        <w:rPr>
          <w:rFonts w:ascii="Arial" w:cs="Arial" w:eastAsia="Arial" w:hAnsi="Arial"/>
          <w:sz w:val="18"/>
          <w:szCs w:val="18"/>
          <w:color w:val="auto"/>
        </w:rPr>
      </w:pPr>
    </w:p>
    <w:p>
      <w:pPr>
        <w:ind w:left="1780" w:hanging="172"/>
        <w:spacing w:after="0"/>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 and</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03"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The audit committee will approve only those transactions that it determines are fair to the Company and in the Company’s best interests.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Proposal Nos. 1 and 2</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ELECTION OF DIRECTORS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(Notice Items 1 and 2)</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Number of Directors (Proposal No. 1)</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Our Articles provide that our shareholders fix the number of directors to be elected to our board of directors by ordinary resolution. Our board of directors currently consists of eight members. The shareholders may increase or decrease the number of directors constituting the full board of directors, provided that such number may not be less than three. We are proposing that shareholders fix the number of directors to be elected at the Annual Meeting at eight.</w:t>
      </w:r>
    </w:p>
    <w:p>
      <w:pPr>
        <w:spacing w:after="0" w:line="11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affirmative vote of a majority of the shares cast for this proposal is required to set the number of directors at eight. Abstentions, if any, will have no effect on the results of this vote. Broker non-votes are not included in the number of votes cast for and against a matter and therefore have no effect on the vote on such matter.</w:t>
      </w:r>
    </w:p>
    <w:p>
      <w:pPr>
        <w:spacing w:after="0" w:line="109" w:lineRule="exact"/>
        <w:rPr>
          <w:sz w:val="20"/>
          <w:szCs w:val="20"/>
          <w:color w:val="auto"/>
        </w:rPr>
      </w:pPr>
    </w:p>
    <w:p>
      <w:pPr>
        <w:jc w:val="both"/>
        <w:ind w:left="1240" w:right="419" w:firstLine="360"/>
        <w:spacing w:after="0" w:line="273" w:lineRule="auto"/>
        <w:rPr>
          <w:sz w:val="20"/>
          <w:szCs w:val="20"/>
          <w:color w:val="auto"/>
        </w:rPr>
      </w:pPr>
      <w:r>
        <w:rPr>
          <w:rFonts w:ascii="Arial" w:cs="Arial" w:eastAsia="Arial" w:hAnsi="Arial"/>
          <w:sz w:val="18"/>
          <w:szCs w:val="18"/>
          <w:b w:val="1"/>
          <w:bCs w:val="1"/>
          <w:color w:val="auto"/>
        </w:rPr>
        <w:t>OUR BOARD OF DIRECTORS RECOMMENDS THAT THE NUMBER OF DIRECTORS BE SET AT EIGHT, AND PROXIES SOLICITED BY OUR BOARD OF DIRECTORS WILL BE VOTED IN FAVOR THEREOF UNLESS A SHAREHOLDER HAS INDICATED OTHERWISE ON THE PROXY.</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Election of Directors (Proposal No. 2)</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On March 22, 2023, our board of directors nominated Gerard Barron, Andrew Hall, Andrew Greig, Andrei Karkar, Sheila Khama, Christian Madsbjerg, Kathleen McAllister and Amelia Siamomua for election at the Annual Meeting. If they are elected, they will serve on our board of directors until the 2024 Annual Meeting of Shareholders and until their respective successors have been elected and qualified.</w:t>
      </w:r>
    </w:p>
    <w:p>
      <w:pPr>
        <w:spacing w:after="0" w:line="112"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 xml:space="preserve">Unless authority to vote for any of these nominees is withheld, the shares represented by the enclosed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Gerard Barron, Andrew Hall, Andrew Greig, Andrei Karkar, Sheila Khama, Christian Madsbjerg, Kathleen McAllister and Amelia Kinahoi Siamomua as directors. In the event that any nominee becomes unable or unwilling to serve, the shares represented by the enclosed proxy will be voted for the election of such other person as our board of directors may recommend in that nominee’s place. We have no reason to believe that any nominee will be unable or unwilling to serve as a director.</w:t>
      </w:r>
    </w:p>
    <w:p>
      <w:pPr>
        <w:spacing w:after="0" w:line="115"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w:t>
      </w:r>
    </w:p>
    <w:p>
      <w:pPr>
        <w:spacing w:after="0" w:line="7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b w:val="1"/>
          <w:bCs w:val="1"/>
          <w:color w:val="auto"/>
        </w:rPr>
        <w:t>OUR BOARD OF DIRECTORS RECOMMENDS THE ELECTION OF GERARD BARRON, ANDREW HALL, ANDREW GREIG, ANDREI KARKAR, SHEILA KHAMA, CHRISTIAN MADSBJERG, KATHLEEN MCALLISTER AND AMELIA KINAHOI SIAMOMUA AS DIRECTORS, AND PROXIES SOLICITED BY OUR BOARD OF DIRECTORS WILL BE VOTED IN FAVOR THEREOF UNLESS A SHAREHOLDER HAS INDICATED OTHERWISE ON THE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APPOINTMENT OF THE INDEPENDENT REGISTERED PUBLIC ACCOUNTING FIRM</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(Notice Item 3)</w:t>
      </w:r>
    </w:p>
    <w:p>
      <w:pPr>
        <w:spacing w:after="0" w:line="140"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audit committee recommends appointment of Ernst &amp; Young LLP (“EY”), as our independent registered public accounting firm, to audit our financial statements for the fiscal year ending December 31, 2023. EY has served as our independent registered public accounting firm since 2012, including the period before the closing of the Business Combination in which EY was engaged by DeepGreen. Our board of directors proposes that the shareholders approve this appointment. EY audited our financial statements for the fiscal year ended December 31, 2022. We expect that representatives of EY will be present at the Annual Meeting, will be able to make a statement if they so desire, and will be available to respond to appropriate questions.</w:t>
      </w:r>
    </w:p>
    <w:p>
      <w:pPr>
        <w:spacing w:after="0" w:line="10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In deciding to appoint EY, the audit committee reviewed auditor independence issues and existing commercial relationships with EY and concluded that EY has no commercial relationship with the Company that would impair its independence for the fiscal year ending December 31, 2023.</w:t>
      </w:r>
    </w:p>
    <w:p>
      <w:pPr>
        <w:spacing w:after="0" w:line="103"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following table presents fees for professional audit services rendered by EY for the audit of the Company’s annual financial statements for the years ended December 31, 2022 and 2021 and fees billed for other services rendered by EY during those periods.</w:t>
      </w:r>
    </w:p>
    <w:p>
      <w:pPr>
        <w:sectPr>
          <w:pgSz w:w="11900" w:h="16838" w:orient="portrait"/>
          <w:cols w:equalWidth="0" w:num="1">
            <w:col w:w="9879"/>
          </w:cols>
          <w:pgMar w:left="580" w:top="97" w:right="1440" w:bottom="1440" w:gutter="0" w:footer="0" w:header="0"/>
        </w:sectPr>
      </w:pP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w:t>
      </w:r>
    </w:p>
    <w:p>
      <w:pPr>
        <w:spacing w:after="0" w:line="4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Audit fees:</w:t>
      </w:r>
      <w:r>
        <w:rPr>
          <w:rFonts w:ascii="Arial" w:cs="Arial" w:eastAsia="Arial" w:hAnsi="Arial"/>
          <w:sz w:val="23"/>
          <w:szCs w:val="23"/>
          <w:b w:val="1"/>
          <w:bCs w:val="1"/>
          <w:color w:val="auto"/>
          <w:vertAlign w:val="superscript"/>
        </w:rPr>
        <w:t>(1)</w:t>
      </w:r>
    </w:p>
    <w:p>
      <w:pPr>
        <w:spacing w:after="0" w:line="4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Audit-related fees:</w:t>
      </w:r>
    </w:p>
    <w:p>
      <w:pPr>
        <w:spacing w:after="0" w:line="4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Tax fees:</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146050</wp:posOffset>
            </wp:positionV>
            <wp:extent cx="6858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60" w:val="left"/>
          <w:tab w:leader="none" w:pos="980" w:val="left"/>
          <w:tab w:leader="none" w:pos="1360" w:val="left"/>
          <w:tab w:leader="none" w:pos="1920" w:val="left"/>
        </w:tabs>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ab/>
        <w:t>2022</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17145</wp:posOffset>
            </wp:positionV>
            <wp:extent cx="521208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​​$555,560​​ ​​$705,795​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17,576​​ ​​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57"/>
        </w:trPr>
        <w:tc>
          <w:tcPr>
            <w:tcW w:w="360" w:type="dxa"/>
            <w:vAlign w:val="bottom"/>
          </w:tcPr>
          <w:p>
            <w:pPr>
              <w:spacing w:after="0"/>
              <w:rPr>
                <w:sz w:val="20"/>
                <w:szCs w:val="20"/>
                <w:color w:val="auto"/>
              </w:rPr>
            </w:pPr>
            <w:r>
              <w:rPr>
                <w:rFonts w:ascii="Arial" w:cs="Arial" w:eastAsia="Arial" w:hAnsi="Arial"/>
                <w:sz w:val="18"/>
                <w:szCs w:val="18"/>
                <w:color w:val="auto"/>
              </w:rPr>
              <w:t>​ ​​ ​</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 ​​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66"/>
        </w:trPr>
        <w:tc>
          <w:tcPr>
            <w:tcW w:w="360" w:type="dxa"/>
            <w:vAlign w:val="bottom"/>
          </w:tcPr>
          <w:p>
            <w:pPr>
              <w:spacing w:after="0"/>
              <w:rPr>
                <w:sz w:val="20"/>
                <w:szCs w:val="20"/>
                <w:color w:val="auto"/>
              </w:rPr>
            </w:pPr>
            <w:r>
              <w:rPr>
                <w:rFonts w:ascii="Arial" w:cs="Arial" w:eastAsia="Arial" w:hAnsi="Arial"/>
                <w:sz w:val="18"/>
                <w:szCs w:val="18"/>
                <w:color w:val="auto"/>
              </w:rPr>
              <w:t>​ ​​ ​</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 ​​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-344805</wp:posOffset>
            </wp:positionV>
            <wp:extent cx="521208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2359"/>
          </w:cols>
          <w:pgMar w:left="580" w:top="97" w:right="1440" w:bottom="1440" w:gutter="0" w:footer="0" w:header="0"/>
          <w:type w:val="continuous"/>
        </w:sectPr>
      </w:pPr>
    </w:p>
    <w:p>
      <w:pPr>
        <w:spacing w:after="0" w:line="111" w:lineRule="exact"/>
        <w:rPr>
          <w:sz w:val="20"/>
          <w:szCs w:val="20"/>
          <w:color w:val="auto"/>
        </w:rPr>
      </w:pPr>
    </w:p>
    <w:p>
      <w:pPr>
        <w:jc w:val="both"/>
        <w:ind w:left="1600" w:right="419" w:hanging="352"/>
        <w:spacing w:after="0" w:line="282" w:lineRule="auto"/>
        <w:tabs>
          <w:tab w:leader="none" w:pos="1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 of aggregate fees for professional services provided in connection with the annual audits of our consolidated financial statements, the review of our quarterly condensed consolidated financial statements, and fees related to accounting matters that were addressed during the annual audit and quarterly reviews. This category also includes fees for services that were incurred in connection with regulatory filings or engagements.</w:t>
      </w:r>
    </w:p>
    <w:p>
      <w:pPr>
        <w:spacing w:after="0" w:line="98" w:lineRule="exact"/>
        <w:rPr>
          <w:sz w:val="20"/>
          <w:szCs w:val="20"/>
          <w:color w:val="auto"/>
        </w:rPr>
      </w:pPr>
    </w:p>
    <w:p>
      <w:pPr>
        <w:jc w:val="both"/>
        <w:ind w:left="1600" w:right="419" w:hanging="352"/>
        <w:spacing w:after="0" w:line="262" w:lineRule="auto"/>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include audit work performed in the preparation of financial statements, as well as 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generally only an independent registered public accounting firm can reasonably be expected to provide, including comfort letters, statutory audits, and attest services and consultation regarding financial accounting and/or reporting standards.</w:t>
      </w:r>
    </w:p>
    <w:p>
      <w:pPr>
        <w:spacing w:after="0" w:line="108" w:lineRule="exact"/>
        <w:rPr>
          <w:rFonts w:ascii="Arial" w:cs="Arial" w:eastAsia="Arial" w:hAnsi="Arial"/>
          <w:sz w:val="18"/>
          <w:szCs w:val="18"/>
          <w:color w:val="auto"/>
        </w:rPr>
      </w:pPr>
    </w:p>
    <w:p>
      <w:pPr>
        <w:jc w:val="both"/>
        <w:ind w:left="1600" w:right="419" w:hanging="352"/>
        <w:spacing w:after="0" w:line="262" w:lineRule="auto"/>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are for assurance and related services that are traditionally performed by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 including due diligence related to mergers and acquisitions, employee benefit plan audits, and special procedures required to meet certain regulatory requirements.</w:t>
      </w:r>
    </w:p>
    <w:p>
      <w:pPr>
        <w:spacing w:after="0" w:line="108" w:lineRule="exact"/>
        <w:rPr>
          <w:rFonts w:ascii="Arial" w:cs="Arial" w:eastAsia="Arial" w:hAnsi="Arial"/>
          <w:sz w:val="18"/>
          <w:szCs w:val="18"/>
          <w:color w:val="auto"/>
        </w:rPr>
      </w:pPr>
    </w:p>
    <w:p>
      <w:pPr>
        <w:jc w:val="both"/>
        <w:ind w:left="1600" w:right="439" w:hanging="352"/>
        <w:spacing w:after="0" w:line="268" w:lineRule="auto"/>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include all services performed by an independent registered public accounting firm’s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 except those services specifically related to the audit of the financial statements, and includes fees in the areas of tax compliance, tax planning, and tax advice.</w:t>
      </w:r>
    </w:p>
    <w:p>
      <w:pPr>
        <w:spacing w:after="0" w:line="89" w:lineRule="exact"/>
        <w:rPr>
          <w:rFonts w:ascii="Arial" w:cs="Arial" w:eastAsia="Arial" w:hAnsi="Arial"/>
          <w:sz w:val="18"/>
          <w:szCs w:val="18"/>
          <w:color w:val="auto"/>
        </w:rPr>
      </w:pPr>
    </w:p>
    <w:p>
      <w:pPr>
        <w:jc w:val="both"/>
        <w:ind w:left="1600" w:right="419" w:hanging="352"/>
        <w:spacing w:after="0" w:line="268" w:lineRule="auto"/>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are those associated with services not captured in the other categories.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generally does not request such services from our independent registered public accounting firm.</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u w:val="single" w:color="auto"/>
          <w:color w:val="auto"/>
        </w:rPr>
        <w:t>Pre-Approval Policy and Procedures</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audit committee’s charter sets forth the audit committee’s obligations relating to the approval of all audit and non-audit services that are to be performed by our independent registered public accounting firm. The charter provides that we will not engage our independent registered public accounting firm to provide audit or non-audit services unless the service is pre-approved by the audit committee. In addition, we will not engage any other accounting firm to provide audit services unless such services are pre-approved by the audit committee.</w:t>
      </w:r>
    </w:p>
    <w:p>
      <w:pPr>
        <w:spacing w:after="0" w:line="101"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In connection with the foregoing, the audit committee may approve specific services in advance. In addition, from time to time, the audit committee may pre-approve specified types of services that are expected to be provided to us by our independent registered public accounting firm in the future. Any such pre-approval of types of services is detailed as to the particular service or type of service to be provided and is also generally subject to a maximum dollar amount.</w:t>
      </w:r>
    </w:p>
    <w:p>
      <w:pPr>
        <w:spacing w:after="0" w:line="11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audit committee has also delegated to the chairperson of the audit committee the authority to approve any audit or non-audit services to be provided to us by our independent registered public accounting firm. Any approval of services by the chairperson of the audit committee pursuant to this delegated authority is reported on at the next meeting of the audit committee.</w:t>
      </w:r>
    </w:p>
    <w:p>
      <w:pPr>
        <w:spacing w:after="0" w:line="109"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A plurality of the shares cast for this proposal is required to appoint the independent registered public accounting firm. In the event the shareholders do not appoint EY as our independent registered public accounting firm, the audit committee will reconsider its appointment.</w:t>
      </w:r>
    </w:p>
    <w:p>
      <w:pPr>
        <w:spacing w:after="0" w:line="90"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8"/>
          <w:szCs w:val="18"/>
          <w:b w:val="1"/>
          <w:bCs w:val="1"/>
          <w:color w:val="auto"/>
        </w:rPr>
        <w:t>OUR BOARD OF DIRECTORS RECOMMENDS A VOTE FOR THE APPOINTMENT OF ERNST &amp; YOUNG LLP AS OUR INDEPENDENT REGISTERED PUBLIC ACCOUNTING FIRM, AND PROXIES SOLICITED BY OUR BOARD OF DIRECTORS WILL BE VOTED IN FAVOR OF SUCH APPOINTMENT UNLESS A SHAREHOLDER INDICATES OTHERWISE ON THE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Governance Documents. Our code of business conduct is a “code of ethics,” as defined in Item 406(b) of Regulation S-K.</w:t>
      </w:r>
    </w:p>
    <w:p>
      <w:pPr>
        <w:spacing w:after="0" w:line="109"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DELINQUENT SECTION 16(a) REPORTS</w:t>
      </w:r>
    </w:p>
    <w:p>
      <w:pPr>
        <w:spacing w:after="0" w:line="158"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Pursuant to Section 16 of the Securities Exchange Act of 1934, as amended, executive officers, directors, and holders of more than 10% of our common shares are required to file reports of their transactions our equity securities with the SEC. Based solely on a review of the copies of such reports received by us, or written representations from certain reporting persons, we believe that all filings required to be made by its reporting persons complied with all applicable Section 16 filing requirements during the year ended December 31, 2022, with the exception of (a) a Form 4 filed on behalf of each of our then serving executive officers on February 22, 2022 for transactions that occurred on February 9, 2022, (b) a Form 4 filed on behalf of each of our then serving non-employee directors on July 18, 2022 for transactions that occurred on June 1, 2022, which the Form 4 filed on behalf of Andrei Karkar and ERAS Capital LLC was later amended on August 16, 2022, (c) a Form 4 filed on behalf of non-employee director Andrew Greig on October 12, 2022 for a transaction that occurred on September 30, 2022 and (d) a Form 4 filed on behalf of executive officer Craig Shesky on December 8, 2022 for a transaction that occurred on November 30, 2022.</w:t>
      </w:r>
    </w:p>
    <w:p>
      <w:pPr>
        <w:spacing w:after="0" w:line="17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Our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8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SHAREHOLDER PROPOSALS AND NOMINATIONS FOR DIRECTOR</w:t>
      </w:r>
    </w:p>
    <w:p>
      <w:pPr>
        <w:spacing w:after="0" w:line="144" w:lineRule="exact"/>
        <w:rPr>
          <w:sz w:val="20"/>
          <w:szCs w:val="20"/>
          <w:color w:val="auto"/>
        </w:rPr>
      </w:pPr>
    </w:p>
    <w:p>
      <w:pPr>
        <w:jc w:val="both"/>
        <w:ind w:left="1240" w:right="419" w:firstLine="360"/>
        <w:spacing w:after="0" w:line="237" w:lineRule="auto"/>
        <w:rPr>
          <w:sz w:val="20"/>
          <w:szCs w:val="20"/>
          <w:color w:val="auto"/>
        </w:rPr>
      </w:pPr>
      <w:r>
        <w:rPr>
          <w:rFonts w:ascii="Arial" w:cs="Arial" w:eastAsia="Arial" w:hAnsi="Arial"/>
          <w:sz w:val="18"/>
          <w:szCs w:val="18"/>
          <w:color w:val="auto"/>
        </w:rPr>
        <w:t>To be considered for inclusion in the management information circular (or proxy statement) for the annual general meeting of shareholders to be held during 2024 pursuant to Rule 14a-8 under the Securities Exchange Act of 1934, as amended, we must receive shareholder proposals (other than for director nominations) no later than December 22, 2023. In addition, pursuant to Part 5, Division 7 of the Business Corporations Act (British Columbia), any notice of a shareholder proposal intended to be raised at the annual general meeting of our shareholders to be held during 2024, must be submitted to us at our registered office, on or before February 29, 2024 to be considered for inclusion in the proxy statement (or management information circular) for such meeting. Under our Articles, director nominations for presentation at the annual general meeting of our shareholders to be held during 2024, although not included in the management information circular (or proxy statement), must meet all of the requirements set out in the Articles, including being received not less than 30 days prior to the date of the annual general meeting of our shareholders to be held during 2024; provided, that if the first public announcement of the date of the annual general meeting of our shareholders to be held during 2024 (the “Notice Date”) is less than 50 days before the date of such meeting, not later than the close of business on the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the Notice Date. In addition to satisfying the foregoing advance notice requirements, to comply with the SEC’s universal proxy rules, shareholders who intend to solicit proxies in support of director nominees other than the Company’s nominees at the annual general meeting of our shareholders to be held during 2024 must follow the requirements set forth in Rule 14a-19 as promulgated under the Exchange Act, including the requirement that any notice under Rule 14a-19 must be postmarked or transmitted electronically to the Company at the Company’s principal executive office no later than April 1, 2024. Proposals that are not received in a timely manner will not be voted on at the annual general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39" w:lineRule="auto"/>
        <w:rPr>
          <w:sz w:val="20"/>
          <w:szCs w:val="20"/>
          <w:color w:val="auto"/>
        </w:rPr>
      </w:pPr>
      <w:r>
        <w:rPr>
          <w:rFonts w:ascii="Arial" w:cs="Arial" w:eastAsia="Arial" w:hAnsi="Arial"/>
          <w:sz w:val="18"/>
          <w:szCs w:val="18"/>
          <w:color w:val="auto"/>
        </w:rPr>
        <w:t>meeting of our shareholders to be held during 2024. If a proposal is received on time, the proxies that management solicits for the annual general meeting of our shareholders to be held during 2024 may still exercise discretionary voting authority on the proposal under circumstances consistent with the proxy rules of the SEC. All shareholder proposals should be marked for the attention of Corporate Secretary at our registered office located at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TMC the metals company Inc.</w:t>
      </w:r>
    </w:p>
    <w:p>
      <w:pPr>
        <w:ind w:left="1240"/>
        <w:spacing w:after="0" w:line="216" w:lineRule="auto"/>
        <w:rPr>
          <w:sz w:val="20"/>
          <w:szCs w:val="20"/>
          <w:color w:val="auto"/>
        </w:rPr>
      </w:pPr>
      <w:r>
        <w:rPr>
          <w:rFonts w:ascii="Arial" w:cs="Arial" w:eastAsia="Arial" w:hAnsi="Arial"/>
          <w:sz w:val="18"/>
          <w:szCs w:val="18"/>
          <w:color w:val="auto"/>
        </w:rPr>
        <w:t>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Vancouver, British Columbia, V6C 2T5</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April 20,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389890</wp:posOffset>
            </wp:positionV>
            <wp:extent cx="6831965" cy="8019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80194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1289685</wp:posOffset>
            </wp:positionV>
            <wp:extent cx="6831965" cy="6759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675957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2"/>
    </w:lvl>
  </w:abstractNum>
  <w:abstractNum w:abstractNumId="10">
    <w:nsid w:val="54E49EB4"/>
    <w:multiLevelType w:val="hybridMultilevel"/>
    <w:lvl w:ilvl="0">
      <w:lvlJc w:val="left"/>
      <w:lvlText w:val="(%1)"/>
      <w:numFmt w:val="decimal"/>
      <w:start w:val="3"/>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4"/>
    </w:lvl>
  </w:abstractNum>
  <w:abstractNum w:abstractNumId="13">
    <w:nsid w:val="836C40E"/>
    <w:multiLevelType w:val="hybridMultilevel"/>
    <w:lvl w:ilvl="0">
      <w:lvlJc w:val="left"/>
      <w:lvlText w:val="(%1)"/>
      <w:numFmt w:val="decimal"/>
      <w:start w:val="3"/>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lowerLetter"/>
      <w:start w:val="2"/>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4"/>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1)"/>
      <w:numFmt w:val="lowerRoman"/>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upperLetter"/>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2023-04-20T23:04:46Z</dcterms:created>
  <dcterms:modified xsi:type="dcterms:W3CDTF">2023-04-20T23:04:46Z</dcterms:modified>
</cp:coreProperties>
</file>