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c-20230331x10q.htm"/>
        <w:bookmarkStart w:id="1" w:name="kstmc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bookmarkStart w:id="2" w:name="_Hlk134108104"/>
      <w:bookmarkStart w:id="3" w:name="_48a95ed8_7dd6_4180_b1f1_2c32a296efaf"/>
      <w:bookmarkEnd w:id="2"/>
      <w:bookmarkEnd w:id="3"/>
      <w:r>
        <w:rPr/>
        <w:t>​</w:t>
      </w:r>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4" w:name="iSkippedRange_91886"/>
      <w:bookmarkEnd w:id="4"/>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(Mark 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4"/>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March 31, 2023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4"/>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For the transition period from</w:t>
      </w:r>
      <w:r>
        <w:rPr>
          <w:rFonts w:ascii="Times New Roman;Times;serif" w:hAnsi="Times New Roman;Times;serif"/>
          <w:sz w:val="14"/>
        </w:rPr>
        <w:t xml:space="preserve">       </w:t>
      </w:r>
      <w:r>
        <w:rPr>
          <w:rFonts w:ascii="Times New Roman;Times;serif" w:hAnsi="Times New Roman;Times;serif"/>
          <w:b/>
          <w:sz w:val="14"/>
        </w:rPr>
        <w:t xml:space="preserve">to </w:t>
      </w:r>
      <w:r>
        <w:rPr>
          <w:rFonts w:ascii="Times New Roman;Times;serif" w:hAnsi="Times New Roman;Times;serif"/>
          <w:sz w:val="14"/>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001-39281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TMC THE METALS COMPANY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 w:name="Tc_Q_OzRjB22kihymvkcMfs0g_2_2"/>
      <w:bookmarkStart w:id="6" w:name="Tc_beF_MrQAwkSxpxrNYHnTFg_2_0"/>
      <w:bookmarkStart w:id="7" w:name="Tc_UO5N6GsiWk-4-IfEU8HHbw_0_0"/>
      <w:bookmarkStart w:id="8" w:name="_489ed942_4f0d_47f6_a1b5_4fa1fa7265de"/>
      <w:bookmarkStart w:id="9" w:name="Tc_Q_OzRjB22kihymvkcMfs0g_2_2"/>
      <w:bookmarkStart w:id="10" w:name="Tc_beF_MrQAwkSxpxrNYHnTFg_2_0"/>
      <w:bookmarkStart w:id="11" w:name="Tc_UO5N6GsiWk-4-IfEU8HHbw_0_0"/>
      <w:bookmarkStart w:id="12" w:name="_489ed942_4f0d_47f6_a1b5_4fa1fa7265de"/>
      <w:bookmarkEnd w:id="9"/>
      <w:bookmarkEnd w:id="10"/>
      <w:bookmarkEnd w:id="11"/>
      <w:bookmarkEnd w:id="12"/>
    </w:p>
    <w:tbl>
      <w:tblPr>
        <w:tblW w:w="7153" w:type="dxa"/>
        <w:jc w:val="left"/>
        <w:tblInd w:w="0" w:type="dxa"/>
        <w:tblLayout w:type="fixed"/>
        <w:tblCellMar>
          <w:top w:w="0" w:type="dxa"/>
          <w:left w:w="0" w:type="dxa"/>
          <w:bottom w:w="0" w:type="dxa"/>
          <w:right w:w="0" w:type="dxa"/>
        </w:tblCellMar>
      </w:tblPr>
      <w:tblGrid>
        <w:gridCol w:w="4291"/>
        <w:gridCol w:w="326"/>
        <w:gridCol w:w="2536"/>
      </w:tblGrid>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British Columbia, Canada</w:t>
            </w:r>
          </w:p>
        </w:tc>
        <w:tc>
          <w:tcPr>
            <w:tcW w:w="32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 Applicable</w:t>
            </w:r>
          </w:p>
        </w:tc>
      </w:tr>
      <w:tr>
        <w:trPr/>
        <w:tc>
          <w:tcPr>
            <w:tcW w:w="4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1eXFffFQikmGC80n6w1MWA_4_2"/>
      <w:bookmarkStart w:id="14" w:name="Tc_Cn1X7qU890uywM31NcRZDA_4_0"/>
      <w:bookmarkStart w:id="15" w:name="Tc_bM5kVN4nIUOSUk5B1bmhlQ_2_0"/>
      <w:bookmarkStart w:id="16" w:name="_d7746b50_3e4f_49be_95d2_6cd734f1f800"/>
      <w:bookmarkStart w:id="17" w:name="Tc_1eXFffFQikmGC80n6w1MWA_4_2"/>
      <w:bookmarkStart w:id="18" w:name="Tc_Cn1X7qU890uywM31NcRZDA_4_0"/>
      <w:bookmarkStart w:id="19" w:name="Tc_bM5kVN4nIUOSUk5B1bmhlQ_2_0"/>
      <w:bookmarkStart w:id="20" w:name="_d7746b50_3e4f_49be_95d2_6cd734f1f800"/>
      <w:bookmarkEnd w:id="17"/>
      <w:bookmarkEnd w:id="18"/>
      <w:bookmarkEnd w:id="19"/>
      <w:bookmarkEnd w:id="20"/>
    </w:p>
    <w:tbl>
      <w:tblPr>
        <w:tblW w:w="4108" w:type="dxa"/>
        <w:jc w:val="left"/>
        <w:tblInd w:w="0" w:type="dxa"/>
        <w:tblLayout w:type="fixed"/>
        <w:tblCellMar>
          <w:top w:w="0" w:type="dxa"/>
          <w:left w:w="0" w:type="dxa"/>
          <w:bottom w:w="0" w:type="dxa"/>
          <w:right w:w="0" w:type="dxa"/>
        </w:tblCellMar>
      </w:tblPr>
      <w:tblGrid>
        <w:gridCol w:w="2866"/>
        <w:gridCol w:w="326"/>
        <w:gridCol w:w="91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1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595 Howe Street, 10th Floor</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Vancouver, British Columbia</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V6C 2T5</w:t>
            </w:r>
          </w:p>
        </w:tc>
      </w:tr>
      <w:tr>
        <w:trPr/>
        <w:tc>
          <w:tcPr>
            <w:tcW w:w="28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(574) 252-9333</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21" w:name="Tc_LCym6NlTjk-cLqGf9bUeAw_5_4"/>
      <w:bookmarkStart w:id="22" w:name="Tc_9LBjGsEziU-AhNP7HcsItQ_3_4"/>
      <w:bookmarkStart w:id="23" w:name="Tc_5tiSKAEJVkaBQT5bJ9xkjg_1_4"/>
      <w:bookmarkStart w:id="24" w:name="Tc_oC1ZfZi-dUmKLjZhg-zYTQ_1_2"/>
      <w:bookmarkStart w:id="25" w:name="Tc_ANO5lZT9UUqQ2fQ-dIYO8w_1_0"/>
      <w:bookmarkStart w:id="26" w:name="_077cefb7_0cdf_49f9_8c5e_1b4ce430b0fa"/>
      <w:bookmarkStart w:id="27" w:name="Tc_LCym6NlTjk-cLqGf9bUeAw_5_4"/>
      <w:bookmarkStart w:id="28" w:name="Tc_9LBjGsEziU-AhNP7HcsItQ_3_4"/>
      <w:bookmarkStart w:id="29" w:name="Tc_5tiSKAEJVkaBQT5bJ9xkjg_1_4"/>
      <w:bookmarkStart w:id="30" w:name="Tc_oC1ZfZi-dUmKLjZhg-zYTQ_1_2"/>
      <w:bookmarkStart w:id="31" w:name="Tc_ANO5lZT9UUqQ2fQ-dIYO8w_1_0"/>
      <w:bookmarkStart w:id="32" w:name="_077cefb7_0cdf_49f9_8c5e_1b4ce430b0fa"/>
      <w:bookmarkEnd w:id="27"/>
      <w:bookmarkEnd w:id="28"/>
      <w:bookmarkEnd w:id="29"/>
      <w:bookmarkEnd w:id="30"/>
      <w:bookmarkEnd w:id="31"/>
      <w:bookmarkEnd w:id="32"/>
    </w:p>
    <w:tbl>
      <w:tblPr>
        <w:tblW w:w="10205" w:type="dxa"/>
        <w:jc w:val="left"/>
        <w:tblInd w:w="0" w:type="dxa"/>
        <w:tblLayout w:type="fixed"/>
        <w:tblCellMar>
          <w:top w:w="0" w:type="dxa"/>
          <w:left w:w="0" w:type="dxa"/>
          <w:bottom w:w="0" w:type="dxa"/>
          <w:right w:w="0" w:type="dxa"/>
        </w:tblCellMar>
      </w:tblPr>
      <w:tblGrid>
        <w:gridCol w:w="4840"/>
        <w:gridCol w:w="326"/>
        <w:gridCol w:w="1396"/>
        <w:gridCol w:w="326"/>
        <w:gridCol w:w="3317"/>
      </w:tblGrid>
      <w:tr>
        <w:trPr/>
        <w:tc>
          <w:tcPr>
            <w:tcW w:w="4840"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17" w:type="dxa"/>
            <w:tcBorders/>
            <w:vAlign w:val="center"/>
          </w:tcPr>
          <w:p>
            <w:pPr>
              <w:pStyle w:val="TableContents"/>
              <w:bidi w:val="0"/>
              <w:spacing w:before="0" w:after="283"/>
              <w:ind w:left="0" w:right="0" w:hanging="0"/>
              <w:jc w:val="left"/>
              <w:rPr>
                <w:sz w:val="4"/>
                <w:szCs w:val="4"/>
              </w:rPr>
            </w:pPr>
            <w:r>
              <w:rPr>
                <w:sz w:val="4"/>
                <w:szCs w:val="4"/>
              </w:rPr>
            </w:r>
          </w:p>
        </w:tc>
      </w:tr>
      <w:tr>
        <w:trPr/>
        <w:tc>
          <w:tcPr>
            <w:tcW w:w="484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3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vAlign w:val="center"/>
          </w:tcPr>
          <w:p>
            <w:pPr>
              <w:pStyle w:val="TableContents"/>
              <w:bidi w:val="0"/>
              <w:spacing w:before="0" w:after="0"/>
              <w:ind w:left="0" w:right="0" w:hanging="0"/>
              <w:jc w:val="left"/>
              <w:rPr/>
            </w:pPr>
            <w:r>
              <w:rPr/>
              <w:t>    </w:t>
            </w:r>
          </w:p>
        </w:tc>
        <w:tc>
          <w:tcPr>
            <w:tcW w:w="331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4840" w:type="dxa"/>
            <w:tcBorders>
              <w:top w:val="single" w:sz="8"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top w:val="single" w:sz="8"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17" w:type="dxa"/>
            <w:tcBorders>
              <w:top w:val="single" w:sz="8" w:space="0" w:color="000000"/>
            </w:tcBorders>
            <w:tcMar>
              <w:top w:w="28" w:type="dxa"/>
            </w:tcMar>
            <w:vAlign w:val="center"/>
          </w:tcPr>
          <w:p>
            <w:pPr>
              <w:pStyle w:val="TableContents"/>
              <w:bidi w:val="0"/>
              <w:spacing w:before="0" w:after="0"/>
              <w:ind w:left="0" w:right="0" w:hanging="0"/>
              <w:jc w:val="center"/>
              <w:rPr/>
            </w:pPr>
            <w:r>
              <w:rPr/>
              <w:t>​</w:t>
            </w:r>
          </w:p>
        </w:tc>
      </w:tr>
      <w:tr>
        <w:trPr/>
        <w:tc>
          <w:tcPr>
            <w:tcW w:w="4840"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Shares, without par value</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TMC</w:t>
            </w:r>
          </w:p>
        </w:tc>
        <w:tc>
          <w:tcPr>
            <w:tcW w:w="326" w:type="dxa"/>
            <w:tcBorders/>
            <w:vAlign w:val="center"/>
          </w:tcPr>
          <w:p>
            <w:pPr>
              <w:pStyle w:val="TableContents"/>
              <w:bidi w:val="0"/>
              <w:spacing w:before="0" w:after="0"/>
              <w:ind w:left="0" w:right="0" w:hanging="0"/>
              <w:jc w:val="left"/>
              <w:rPr/>
            </w:pPr>
            <w:r>
              <w:rPr/>
              <w:t>​</w:t>
            </w:r>
          </w:p>
        </w:tc>
        <w:tc>
          <w:tcPr>
            <w:tcW w:w="3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4840" w:type="dxa"/>
            <w:tcBorders/>
            <w:vAlign w:val="center"/>
          </w:tcPr>
          <w:p>
            <w:pPr>
              <w:pStyle w:val="TableContents"/>
              <w:pBdr/>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17" w:type="dxa"/>
            <w:tcBorders/>
            <w:vAlign w:val="center"/>
          </w:tcPr>
          <w:p>
            <w:pPr>
              <w:pStyle w:val="TableContents"/>
              <w:bidi w:val="0"/>
              <w:spacing w:before="0" w:after="0"/>
              <w:ind w:left="0" w:right="0" w:hanging="0"/>
              <w:jc w:val="center"/>
              <w:rPr/>
            </w:pPr>
            <w:r>
              <w:rPr/>
              <w:t>​</w:t>
            </w:r>
          </w:p>
        </w:tc>
      </w:tr>
      <w:tr>
        <w:trPr/>
        <w:tc>
          <w:tcPr>
            <w:tcW w:w="4840"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whole warrant exercisable for one Common Share, each at an exercise price of $11.50 per share</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TMCWW</w:t>
            </w:r>
          </w:p>
        </w:tc>
        <w:tc>
          <w:tcPr>
            <w:tcW w:w="326" w:type="dxa"/>
            <w:tcBorders/>
            <w:vAlign w:val="center"/>
          </w:tcPr>
          <w:p>
            <w:pPr>
              <w:pStyle w:val="TableContents"/>
              <w:bidi w:val="0"/>
              <w:spacing w:before="0" w:after="0"/>
              <w:ind w:left="0" w:right="0" w:hanging="0"/>
              <w:jc w:val="left"/>
              <w:rPr/>
            </w:pPr>
            <w:r>
              <w:rPr/>
              <w:t>​</w:t>
            </w:r>
          </w:p>
        </w:tc>
        <w:tc>
          <w:tcPr>
            <w:tcW w:w="3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 w:name="Tc_7GlFMw6p_U6HI0P-VGZPlw_3_2"/>
      <w:bookmarkStart w:id="34" w:name="Tc_dwaDet8PmkeyBG6NbtgwnA_2_2"/>
      <w:bookmarkStart w:id="35" w:name="Tc_iOqoiiw8O0qjUpor3YzWLg_2_0"/>
      <w:bookmarkStart w:id="36" w:name="Tc_dLIxEM9g8kK17ScYqj5Gng_1_4"/>
      <w:bookmarkStart w:id="37" w:name="Tc_zWeGVtjTzU61EM34Oiv-pw_1_2"/>
      <w:bookmarkStart w:id="38" w:name="Tc_isd2Dp5TJ0CoXMIsrk8OxA_1_1"/>
      <w:bookmarkStart w:id="39" w:name="Tc_OszN2L5OiUa4jeiDrt0ksA_1_0"/>
      <w:bookmarkStart w:id="40" w:name="_dc6a0499_4868_4b17_a786_46a8c5a293a6"/>
      <w:bookmarkStart w:id="41" w:name="Tc_7GlFMw6p_U6HI0P-VGZPlw_3_2"/>
      <w:bookmarkStart w:id="42" w:name="Tc_dwaDet8PmkeyBG6NbtgwnA_2_2"/>
      <w:bookmarkStart w:id="43" w:name="Tc_iOqoiiw8O0qjUpor3YzWLg_2_0"/>
      <w:bookmarkStart w:id="44" w:name="Tc_dLIxEM9g8kK17ScYqj5Gng_1_4"/>
      <w:bookmarkStart w:id="45" w:name="Tc_zWeGVtjTzU61EM34Oiv-pw_1_2"/>
      <w:bookmarkStart w:id="46" w:name="Tc_isd2Dp5TJ0CoXMIsrk8OxA_1_1"/>
      <w:bookmarkStart w:id="47" w:name="Tc_OszN2L5OiUa4jeiDrt0ksA_1_0"/>
      <w:bookmarkStart w:id="48" w:name="_dc6a0499_4868_4b17_a786_46a8c5a293a6"/>
      <w:bookmarkEnd w:id="41"/>
      <w:bookmarkEnd w:id="42"/>
      <w:bookmarkEnd w:id="43"/>
      <w:bookmarkEnd w:id="44"/>
      <w:bookmarkEnd w:id="45"/>
      <w:bookmarkEnd w:id="46"/>
      <w:bookmarkEnd w:id="47"/>
      <w:bookmarkEnd w:id="48"/>
    </w:p>
    <w:tbl>
      <w:tblPr>
        <w:tblW w:w="4930" w:type="dxa"/>
        <w:jc w:val="left"/>
        <w:tblInd w:w="0" w:type="dxa"/>
        <w:tblLayout w:type="fixed"/>
        <w:tblCellMar>
          <w:top w:w="0" w:type="dxa"/>
          <w:left w:w="0" w:type="dxa"/>
          <w:bottom w:w="0" w:type="dxa"/>
          <w:right w:w="0" w:type="dxa"/>
        </w:tblCellMar>
      </w:tblPr>
      <w:tblGrid>
        <w:gridCol w:w="1891"/>
        <w:gridCol w:w="326"/>
        <w:gridCol w:w="2026"/>
        <w:gridCol w:w="326"/>
        <w:gridCol w:w="36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32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May 10, 2023, the registrant had 280,639,790 common shares outstanding.</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9" w:name="_3e798749_754c_4dc2_9bb4_c9d620c1295d"/>
      <w:bookmarkEnd w:id="49"/>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quarterly period ended March 31,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50" w:name="TOC"/>
      <w:bookmarkEnd w:id="50"/>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76"/>
        <w:gridCol w:w="326"/>
        <w:gridCol w:w="8006"/>
        <w:gridCol w:w="32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525780"/>
                      <wp:effectExtent l="0" t="0" r="0" b="0"/>
                      <wp:wrapNone/>
                      <wp:docPr id="1" name="Frame1"/>
                      <a:graphic xmlns:a="http://schemas.openxmlformats.org/drawingml/2006/main">
                        <a:graphicData uri="http://schemas.microsoft.com/office/word/2010/wordprocessingShape">
                          <wps:wsp>
                            <wps:cNvSpPr txBox="1"/>
                            <wps:spPr>
                              <a:xfrm>
                                <a:off x="0" y="0"/>
                                <a:ext cx="619760"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083810" cy="175260"/>
                      <wp:effectExtent l="0" t="0" r="0" b="0"/>
                      <wp:wrapNone/>
                      <wp:docPr id="3" name="Frame3"/>
                      <a:graphic xmlns:a="http://schemas.openxmlformats.org/drawingml/2006/main">
                        <a:graphicData uri="http://schemas.microsoft.com/office/word/2010/wordprocessingShape">
                          <wps:wsp>
                            <wps:cNvSpPr txBox="1"/>
                            <wps:spPr>
                              <a:xfrm>
                                <a:off x="0" y="0"/>
                                <a:ext cx="508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29210"/>
                      <wp:effectExtent l="0" t="0" r="0" b="0"/>
                      <wp:wrapNone/>
                      <wp:docPr id="5" name="Frame5"/>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Part 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Financial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Financial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ondensedConsolidatedBalanceSheets_49440">
              <w:r>
                <w:rPr>
                  <w:rStyle w:val="InternetLink"/>
                  <w:rFonts w:ascii="Times New Roman;Times;serif" w:hAnsi="Times New Roman;Times;serif"/>
                  <w:b w:val="false"/>
                  <w:i w:val="false"/>
                  <w:caps w:val="false"/>
                  <w:smallCaps w:val="false"/>
                  <w:sz w:val="20"/>
                </w:rPr>
                <w:t>Condensed Consolidated Balance Sheets as of March 31, 2023 and December 31,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ondensedConsolidatedStatementsofLossand">
              <w:r>
                <w:rPr>
                  <w:rStyle w:val="InternetLink"/>
                  <w:rFonts w:ascii="Times New Roman;Times;serif" w:hAnsi="Times New Roman;Times;serif"/>
                  <w:b w:val="false"/>
                  <w:i w:val="false"/>
                  <w:caps w:val="false"/>
                  <w:smallCaps w:val="false"/>
                  <w:sz w:val="20"/>
                </w:rPr>
                <w:t>Condensed Consolidated Statements of Loss and Comprehensive Loss for the three months ended March 31, 2023 and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Equity for the three months ended March 31, 2023 and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a1NatureofOperations_66912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Part II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Legal Proceedings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Item 1A.</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Risk Factors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Item 5.</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6EXHIBITS_305687">
              <w:r>
                <w:rPr>
                  <w:rStyle w:val="InternetLink"/>
                  <w:rFonts w:ascii="Times New Roman;Times;serif" w:hAnsi="Times New Roman;Times;serif"/>
                  <w:b w:val="false"/>
                  <w:i w:val="false"/>
                  <w:caps w:val="false"/>
                  <w:smallCaps w:val="false"/>
                  <w:sz w:val="20"/>
                </w:rPr>
                <w:t>Item 6.</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6EXHIBITS_305687">
              <w:r>
                <w:rPr>
                  <w:rStyle w:val="InternetLink"/>
                  <w:rFonts w:ascii="Times New Roman;Times;serif" w:hAnsi="Times New Roman;Times;serif"/>
                  <w:b w:val="false"/>
                  <w:i w:val="false"/>
                  <w:caps w:val="false"/>
                  <w:smallCaps w:val="false"/>
                  <w:sz w:val="20"/>
                </w:rPr>
                <w:t>Exhibits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SkippedRange_90101">
              <w:r>
                <w:rPr>
                  <w:rStyle w:val="InternetLink"/>
                  <w:rFonts w:ascii="Times New Roman;Times;serif" w:hAnsi="Times New Roman;Times;serif"/>
                  <w:b w:val="false"/>
                  <w:i w:val="false"/>
                  <w:caps w:val="false"/>
                  <w:smallCaps w:val="false"/>
                  <w:sz w:val="20"/>
                </w:rPr>
                <w:t>Signatures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51" w:name="_8753d680_d289_4715_8d60_7b84368e6ba6"/>
      <w:bookmarkEnd w:id="51"/>
      <w:r>
        <w:rPr>
          <w:rFonts w:ascii="Times New Roman;Times;serif" w:hAnsi="Times New Roman;Times;serif"/>
          <w:sz w:val="20"/>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(“DeepGreen”). In connection with the Business Combination, SOAC changed its name to “TMC the metals company Inc”.  The combined company’s common shares and warrants to purchase common shares commenced trading on the Nasdaq Global Select Market (“Nasdaq”) on September 10, 2021, under the symbols “TMC” and “TMCWW,” respectively.</w:t>
      </w:r>
    </w:p>
    <w:p>
      <w:pPr>
        <w:pStyle w:val="TextBody"/>
        <w:bidi w:val="0"/>
        <w:spacing w:before="0" w:after="0"/>
        <w:ind w:left="0" w:right="0" w:hanging="0"/>
        <w:jc w:val="center"/>
        <w:rPr/>
      </w:pPr>
      <w:r>
        <w:rPr/>
        <w:t>​</w:t>
      </w:r>
    </w:p>
    <w:p>
      <w:pPr>
        <w:pStyle w:val="TextBody"/>
        <w:bidi w:val="0"/>
        <w:spacing w:before="0" w:after="240"/>
        <w:ind w:left="0" w:right="0" w:firstLine="432"/>
        <w:jc w:val="left"/>
        <w:rPr>
          <w:rFonts w:ascii="Times New Roman;Times;serif" w:hAnsi="Times New Roman;Times;serif"/>
          <w:sz w:val="20"/>
        </w:rPr>
      </w:pPr>
      <w:r>
        <w:rPr>
          <w:rFonts w:ascii="Times New Roman;Times;serif" w:hAnsi="Times New Roman;Times;serif"/>
          <w:sz w:val="20"/>
        </w:rPr>
        <w:t>As used in this Quarterly Report on Form 10-Q, “Mtpa” refers to millions of tonnes per year.</w:t>
      </w:r>
    </w:p>
    <w:p>
      <w:pPr>
        <w:pStyle w:val="TextBody"/>
        <w:bidi w:val="0"/>
        <w:spacing w:before="0" w:after="240"/>
        <w:ind w:left="0" w:right="0" w:hanging="0"/>
        <w:jc w:val="center"/>
        <w:rPr>
          <w:rFonts w:ascii="Times New Roman;Times;serif" w:hAnsi="Times New Roman;Times;serif"/>
          <w:b/>
          <w:sz w:val="20"/>
        </w:rPr>
      </w:pPr>
      <w:bookmarkStart w:id="52" w:name="CAUTIONARYNOTEREGARDINGFORWARDLOOKINGSTA"/>
      <w:bookmarkEnd w:id="52"/>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technical feasibility of seafloor polymetallic nodule collection and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demand for battery metals and battery cathode feedstocks, copper cathode and manganese ores;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prices of battery metals and battery cathode feedstocks, copper cathode and manganese ores;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content of International Seabed Authority’s (“ISA”) final exploitation regulations that will create the legal and technical framework for exploitation of polymetallic nodules in the Clarion Clipperton Zone of the Pacific Ocean (“CCZ”);</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of mineral extraction from the deep seafloor and changes in mining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operational, environmental, social and governance risks of developing and deploying equipment to collect and ship polymetallic nodules at sea, and to process such nodules on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and timing of potential revenue as well as the timing and amount of estimated future production, costs of production, other expenses, capital expenditures and requirements for additional capital;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activities of our partners under our key strategic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on hand to meet our working capital and capital expenditure requirements, the need for additional financing and our ability to continue as a going concern;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financing in the future, the nature of any such financing and our plans with respect thereto;</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limitations on insurance coverage;</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mitigate our material weaknesses in our internal control over financial reporting;</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restatement of our financial statements;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metallurgical and geotechnical studies and opinions;</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non-reporting Canadian issuer and passive foreign investment company;</w:t>
            </w:r>
          </w:p>
        </w:tc>
      </w:tr>
    </w:tbl>
    <w:tbl>
      <w:tblPr>
        <w:tblW w:w="2091" w:type="dxa"/>
        <w:jc w:val="left"/>
        <w:tblInd w:w="0" w:type="dxa"/>
        <w:tblLayout w:type="fixed"/>
        <w:tblCellMar>
          <w:top w:w="28" w:type="dxa"/>
          <w:left w:w="28" w:type="dxa"/>
          <w:bottom w:w="28" w:type="dxa"/>
          <w:right w:w="28" w:type="dxa"/>
        </w:tblCellMar>
      </w:tblPr>
      <w:tblGrid>
        <w:gridCol w:w="124"/>
        <w:gridCol w:w="256"/>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risks;</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key management personnel and executive officers;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market conditions beyond our control;</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pandemics (including from COVID-19) on our business; and</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2022 as filed with the Securities and Exchange Commission (“SEC”), on March 27, 2023 (the “2022 Annual Report on Form 10-K”), as updated and/or supplemented in subsequent filings we make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 w:name="PARTIFINANCIALINFORMATION_598400"/>
      <w:bookmarkStart w:id="54" w:name="FinancialStatements_913138"/>
      <w:bookmarkStart w:id="55" w:name="_625c48a7_af77_4f57_99f0_aa62539770b4"/>
      <w:bookmarkEnd w:id="53"/>
      <w:bookmarkEnd w:id="54"/>
      <w:bookmarkEnd w:id="55"/>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sz w:val="20"/>
        </w:rPr>
      </w:pPr>
      <w:bookmarkStart w:id="56" w:name="Item1FinancialStatements_168789"/>
      <w:bookmarkEnd w:id="56"/>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7" w:name="CondensedConsolidatedBalanceSheets_49440"/>
      <w:bookmarkEnd w:id="57"/>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8" w:name="Tc_FJZCwudOfEOpWwE6vDorug_33_7"/>
      <w:bookmarkStart w:id="59" w:name="Tc_aLnMeVp1wEmIByHGd-_G-A_33_4"/>
      <w:bookmarkStart w:id="60" w:name="Tc_jSs-GKMoSUONh1hI6v2SSA_33_0"/>
      <w:bookmarkStart w:id="61" w:name="Tc_NolAjmEd_0a44w4n12Bkpg_31_0"/>
      <w:bookmarkStart w:id="62" w:name="Tc_9YuMZlHAp0yRGKzRH2Fhag_30_0"/>
      <w:bookmarkStart w:id="63" w:name="Tc_3ABlt3XkAkWpnITAp-3RBQ_29_0"/>
      <w:bookmarkStart w:id="64" w:name="Tc_cVVhB38qpUGPhxylpk8ptQ_28_0"/>
      <w:bookmarkStart w:id="65" w:name="Tc_zVFhHO-ZcUiHFpuNmMVw9A_27_0"/>
      <w:bookmarkStart w:id="66" w:name="Tc_qc8YE7RQ3k-4QEm7t6ju8Q_26_0"/>
      <w:bookmarkStart w:id="67" w:name="Tc_3vWt0dmGAEKnmbHi1jWGmA_25_0"/>
      <w:bookmarkStart w:id="68" w:name="Tc_cUXXsxxk80qXMdwrHTQ8Gw_23_7"/>
      <w:bookmarkStart w:id="69" w:name="Tc_lwmcq4yh1EGKba9s9mUXVQ_23_4"/>
      <w:bookmarkStart w:id="70" w:name="Tc_sUeZ91flQ0KnxfP3kNP5Aw_23_0"/>
      <w:bookmarkStart w:id="71" w:name="Tc_9iLYw3-UhEuYgY0gkGcSOg_22_2"/>
      <w:bookmarkStart w:id="72" w:name="Tc_lbyJ4evXJE2xvRJqkisEnQ_22_0"/>
      <w:bookmarkStart w:id="73" w:name="Tc_pLQSY_cnFU2S7RqfWgUsiw_21_0"/>
      <w:bookmarkStart w:id="74" w:name="Tc_PaUdby9_rU61gXmoZtxTAw_20_0"/>
      <w:bookmarkStart w:id="75" w:name="Tc_Uu6tGZLr70aiP8C-GKLDtw_18_0"/>
      <w:bookmarkStart w:id="76" w:name="Tc_RO8mshdwGEyBuflYMH15pQ_17_0"/>
      <w:bookmarkStart w:id="77" w:name="Tc_Iu6ghdJHnEqvxquAEdqXZw_16_0"/>
      <w:bookmarkStart w:id="78" w:name="Tc_qThkIpXQN0aqbUS30rAOOw_14_7"/>
      <w:bookmarkStart w:id="79" w:name="Tc_Qb0kJADLZ0en0LPn-J4weA_14_4"/>
      <w:bookmarkStart w:id="80" w:name="Tc_jzivCgq7M0au3EJf9ao8kQ_14_0"/>
      <w:bookmarkStart w:id="81" w:name="Tc_NNgR7BnBfE2jZwzR4cI5fw_11_8"/>
      <w:bookmarkStart w:id="82" w:name="Tc_egTSsHq19E-ONNghzYPKjQ_11_2"/>
      <w:bookmarkStart w:id="83" w:name="Tc_XguiUtcXoUepnQznOf8K6w_11_0"/>
      <w:bookmarkStart w:id="84" w:name="Tc_UsbI7H4dvEGXr5UpTbDs9g_10_0"/>
      <w:bookmarkStart w:id="85" w:name="Tc_uPwzs1elq0ypGh9m_U4aTg_9_0"/>
      <w:bookmarkStart w:id="86" w:name="Tc_MO9KL5BWFkaIP3s09Axalw_8_0"/>
      <w:bookmarkStart w:id="87" w:name="Tc_lxvdJTBUo02ddlUt03WObw_6_0"/>
      <w:bookmarkStart w:id="88" w:name="Tc_PCbMLKF82keGk33TXTdoLw_5_7"/>
      <w:bookmarkStart w:id="89" w:name="Tc_WLbQbFT2B061erj_yT7xtA_5_4"/>
      <w:bookmarkStart w:id="90" w:name="Tc_TO0Z8xm51EGk0sc3U4CqYA_5_0"/>
      <w:bookmarkStart w:id="91" w:name="Tc_vhbOgcAvcEGoiFBiCDUrVQ_4_0"/>
      <w:bookmarkStart w:id="92" w:name="Tc_nI8mLD6m7EeY11pATpQEYw_3_7"/>
      <w:bookmarkStart w:id="93" w:name="Tc_fhUckfXXD0SYwbsmf47BjQ_3_4"/>
      <w:bookmarkStart w:id="94" w:name="Tc_DdwhDV5A0kKbE8kKyMwUPA_3_2"/>
      <w:bookmarkStart w:id="95" w:name="Tc_kv-z-i7ZkUWfGNTcpdPp_w_3_0"/>
      <w:bookmarkStart w:id="96" w:name="Tc_E2nkuf-Yy0uX1HaGQnj8XQ_2_7"/>
      <w:bookmarkStart w:id="97" w:name="Tc_B7NsjoY2CU2WMA47hinE8A_2_4"/>
      <w:bookmarkStart w:id="98" w:name="Tc_bwGzy8mmHEC406JWQM9hgw_1_7"/>
      <w:bookmarkStart w:id="99" w:name="Tc_YeY-kv9sXk6rEbPMKyeKWA_1_4"/>
      <w:bookmarkStart w:id="100" w:name="_00ac2f38_1b33_436c_bec1_a19593469e83"/>
      <w:bookmarkStart w:id="101" w:name="Tc_FJZCwudOfEOpWwE6vDorug_33_7"/>
      <w:bookmarkStart w:id="102" w:name="Tc_aLnMeVp1wEmIByHGd-_G-A_33_4"/>
      <w:bookmarkStart w:id="103" w:name="Tc_jSs-GKMoSUONh1hI6v2SSA_33_0"/>
      <w:bookmarkStart w:id="104" w:name="Tc_NolAjmEd_0a44w4n12Bkpg_31_0"/>
      <w:bookmarkStart w:id="105" w:name="Tc_9YuMZlHAp0yRGKzRH2Fhag_30_0"/>
      <w:bookmarkStart w:id="106" w:name="Tc_3ABlt3XkAkWpnITAp-3RBQ_29_0"/>
      <w:bookmarkStart w:id="107" w:name="Tc_cVVhB38qpUGPhxylpk8ptQ_28_0"/>
      <w:bookmarkStart w:id="108" w:name="Tc_zVFhHO-ZcUiHFpuNmMVw9A_27_0"/>
      <w:bookmarkStart w:id="109" w:name="Tc_qc8YE7RQ3k-4QEm7t6ju8Q_26_0"/>
      <w:bookmarkStart w:id="110" w:name="Tc_3vWt0dmGAEKnmbHi1jWGmA_25_0"/>
      <w:bookmarkStart w:id="111" w:name="Tc_cUXXsxxk80qXMdwrHTQ8Gw_23_7"/>
      <w:bookmarkStart w:id="112" w:name="Tc_lwmcq4yh1EGKba9s9mUXVQ_23_4"/>
      <w:bookmarkStart w:id="113" w:name="Tc_sUeZ91flQ0KnxfP3kNP5Aw_23_0"/>
      <w:bookmarkStart w:id="114" w:name="Tc_9iLYw3-UhEuYgY0gkGcSOg_22_2"/>
      <w:bookmarkStart w:id="115" w:name="Tc_lbyJ4evXJE2xvRJqkisEnQ_22_0"/>
      <w:bookmarkStart w:id="116" w:name="Tc_pLQSY_cnFU2S7RqfWgUsiw_21_0"/>
      <w:bookmarkStart w:id="117" w:name="Tc_PaUdby9_rU61gXmoZtxTAw_20_0"/>
      <w:bookmarkStart w:id="118" w:name="Tc_Uu6tGZLr70aiP8C-GKLDtw_18_0"/>
      <w:bookmarkStart w:id="119" w:name="Tc_RO8mshdwGEyBuflYMH15pQ_17_0"/>
      <w:bookmarkStart w:id="120" w:name="Tc_Iu6ghdJHnEqvxquAEdqXZw_16_0"/>
      <w:bookmarkStart w:id="121" w:name="Tc_qThkIpXQN0aqbUS30rAOOw_14_7"/>
      <w:bookmarkStart w:id="122" w:name="Tc_Qb0kJADLZ0en0LPn-J4weA_14_4"/>
      <w:bookmarkStart w:id="123" w:name="Tc_jzivCgq7M0au3EJf9ao8kQ_14_0"/>
      <w:bookmarkStart w:id="124" w:name="Tc_NNgR7BnBfE2jZwzR4cI5fw_11_8"/>
      <w:bookmarkStart w:id="125" w:name="Tc_egTSsHq19E-ONNghzYPKjQ_11_2"/>
      <w:bookmarkStart w:id="126" w:name="Tc_XguiUtcXoUepnQznOf8K6w_11_0"/>
      <w:bookmarkStart w:id="127" w:name="Tc_UsbI7H4dvEGXr5UpTbDs9g_10_0"/>
      <w:bookmarkStart w:id="128" w:name="Tc_uPwzs1elq0ypGh9m_U4aTg_9_0"/>
      <w:bookmarkStart w:id="129" w:name="Tc_MO9KL5BWFkaIP3s09Axalw_8_0"/>
      <w:bookmarkStart w:id="130" w:name="Tc_lxvdJTBUo02ddlUt03WObw_6_0"/>
      <w:bookmarkStart w:id="131" w:name="Tc_PCbMLKF82keGk33TXTdoLw_5_7"/>
      <w:bookmarkStart w:id="132" w:name="Tc_WLbQbFT2B061erj_yT7xtA_5_4"/>
      <w:bookmarkStart w:id="133" w:name="Tc_TO0Z8xm51EGk0sc3U4CqYA_5_0"/>
      <w:bookmarkStart w:id="134" w:name="Tc_vhbOgcAvcEGoiFBiCDUrVQ_4_0"/>
      <w:bookmarkStart w:id="135" w:name="Tc_nI8mLD6m7EeY11pATpQEYw_3_7"/>
      <w:bookmarkStart w:id="136" w:name="Tc_fhUckfXXD0SYwbsmf47BjQ_3_4"/>
      <w:bookmarkStart w:id="137" w:name="Tc_DdwhDV5A0kKbE8kKyMwUPA_3_2"/>
      <w:bookmarkStart w:id="138" w:name="Tc_kv-z-i7ZkUWfGNTcpdPp_w_3_0"/>
      <w:bookmarkStart w:id="139" w:name="Tc_E2nkuf-Yy0uX1HaGQnj8XQ_2_7"/>
      <w:bookmarkStart w:id="140" w:name="Tc_B7NsjoY2CU2WMA47hinE8A_2_4"/>
      <w:bookmarkStart w:id="141" w:name="Tc_bwGzy8mmHEC406JWQM9hgw_1_7"/>
      <w:bookmarkStart w:id="142" w:name="Tc_YeY-kv9sXk6rEbPMKyeKWA_1_4"/>
      <w:bookmarkStart w:id="143" w:name="_00ac2f38_1b33_436c_bec1_a19593469e83"/>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tbl>
      <w:tblPr>
        <w:tblW w:w="10205" w:type="dxa"/>
        <w:jc w:val="left"/>
        <w:tblInd w:w="0" w:type="dxa"/>
        <w:tblLayout w:type="fixed"/>
        <w:tblCellMar>
          <w:top w:w="0" w:type="dxa"/>
          <w:left w:w="0" w:type="dxa"/>
          <w:bottom w:w="0" w:type="dxa"/>
          <w:right w:w="0" w:type="dxa"/>
        </w:tblCellMar>
      </w:tblPr>
      <w:tblGrid>
        <w:gridCol w:w="6527"/>
        <w:gridCol w:w="326"/>
        <w:gridCol w:w="451"/>
        <w:gridCol w:w="326"/>
        <w:gridCol w:w="211"/>
        <w:gridCol w:w="881"/>
        <w:gridCol w:w="326"/>
        <w:gridCol w:w="214"/>
        <w:gridCol w:w="943"/>
      </w:tblGrid>
      <w:tr>
        <w:trPr/>
        <w:tc>
          <w:tcPr>
            <w:tcW w:w="6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144645" cy="175260"/>
                      <wp:effectExtent l="0" t="0" r="0" b="0"/>
                      <wp:wrapNone/>
                      <wp:docPr id="6" name="Frame6"/>
                      <a:graphic xmlns:a="http://schemas.openxmlformats.org/drawingml/2006/main">
                        <a:graphicData uri="http://schemas.microsoft.com/office/word/2010/wordprocessingShape">
                          <wps:wsp>
                            <wps:cNvSpPr txBox="1"/>
                            <wps:spPr>
                              <a:xfrm>
                                <a:off x="0" y="0"/>
                                <a:ext cx="414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86385" cy="175260"/>
                      <wp:effectExtent l="0" t="0" r="0" b="0"/>
                      <wp:wrapNone/>
                      <wp:docPr id="8" name="Frame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9435" cy="175260"/>
                      <wp:effectExtent l="0" t="0" r="0" b="0"/>
                      <wp:wrapNone/>
                      <wp:docPr id="11" name="Frame1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8805" cy="175260"/>
                      <wp:effectExtent l="0" t="0" r="0" b="0"/>
                      <wp:wrapNone/>
                      <wp:docPr id="14" name="Frame14"/>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65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65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28,390</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46,842</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r>
      <w:tr>
        <w:trPr/>
        <w:tc>
          <w:tcPr>
            <w:tcW w:w="6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31,620</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49,602</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contracts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42,900</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43,150</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8,781</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2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53,678</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45,175</w:t>
            </w:r>
          </w:p>
        </w:tc>
      </w:tr>
      <w:tr>
        <w:trPr/>
        <w:tc>
          <w:tcPr>
            <w:tcW w:w="6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85,298</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94,777</w:t>
            </w:r>
          </w:p>
        </w:tc>
      </w:tr>
      <w:tr>
        <w:trPr/>
        <w:tc>
          <w:tcPr>
            <w:tcW w:w="6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17,544</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r>
      <w:tr>
        <w:trPr/>
        <w:tc>
          <w:tcPr>
            <w:tcW w:w="6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17,544</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29,747</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53,272</w:t>
            </w:r>
          </w:p>
        </w:tc>
      </w:tr>
      <w:tr>
        <w:trPr/>
        <w:tc>
          <w:tcPr>
            <w:tcW w:w="652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Common shares (unlimited shares, no</w:t>
            </w:r>
            <w:r>
              <w:rPr>
                <w:rFonts w:ascii="Times New Roman;Times;serif" w:hAnsi="Times New Roman;Times;serif"/>
                <w:sz w:val="20"/>
              </w:rPr>
              <w:t xml:space="preserve"> </w:t>
            </w:r>
            <w:r>
              <w:rPr>
                <w:rFonts w:ascii="Times New Roman;Times;serif" w:hAnsi="Times New Roman;Times;serif"/>
                <w:i/>
                <w:sz w:val="20"/>
              </w:rPr>
              <w:t>par value – issued: 280,618,285</w:t>
            </w:r>
            <w:r>
              <w:rPr>
                <w:rFonts w:ascii="Times New Roman;Times;serif" w:hAnsi="Times New Roman;Times;serif"/>
                <w:sz w:val="20"/>
              </w:rPr>
              <w:t xml:space="preserve"> </w:t>
            </w:r>
            <w:r>
              <w:rPr>
                <w:rFonts w:ascii="Times New Roman;Times;serif" w:hAnsi="Times New Roman;Times;serif"/>
                <w:i/>
                <w:sz w:val="20"/>
              </w:rPr>
              <w:t>(December 31, 2022 – 266,812,131))</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345,090</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332,882</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Special Shares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186,796</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r>
      <w:tr>
        <w:trPr/>
        <w:tc>
          <w:tcPr>
            <w:tcW w:w="6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(475,119)</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(475,121)</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55,551</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41,505</w:t>
            </w:r>
          </w:p>
        </w:tc>
      </w:tr>
      <w:tr>
        <w:trPr/>
        <w:tc>
          <w:tcPr>
            <w:tcW w:w="652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85,298</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94,777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Nature of Operations </w:t>
      </w:r>
      <w:r>
        <w:rPr>
          <w:rFonts w:ascii="Times New Roman;Times;serif" w:hAnsi="Times New Roman;Times;serif"/>
          <w:i/>
          <w:sz w:val="20"/>
        </w:rPr>
        <w:t>(Note 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Contingent Liabilities </w:t>
      </w:r>
      <w:r>
        <w:rPr>
          <w:rFonts w:ascii="Times New Roman;Times;serif" w:hAnsi="Times New Roman;Times;serif"/>
          <w:i/>
          <w:sz w:val="20"/>
        </w:rPr>
        <w:t>(Note 13)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4" w:name="_aaab519f_4769_42d1_8d24_c40c033ad6d9"/>
      <w:bookmarkEnd w:id="144"/>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45" w:name="CondensedConsolidatedStatementsofLossand"/>
      <w:bookmarkEnd w:id="145"/>
      <w:r>
        <w:rPr>
          <w:rFonts w:ascii="Times New Roman;Times;serif" w:hAnsi="Times New Roman;Times;serif"/>
          <w:b/>
          <w:sz w:val="20"/>
        </w:rPr>
        <w:t>Condensed Consolidated Statements of Income/Loss and Comprehensive Income/Loss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6" w:name="Tc_w480kY0OlUiArd28ZN9jMg_24_0"/>
      <w:bookmarkStart w:id="147" w:name="Tc_UlqKsh0LwUKBX-zTjKF5jQ_23_0"/>
      <w:bookmarkStart w:id="148" w:name="Tc_tUBX-YA7hUuOE05bMNBiBA_21_5"/>
      <w:bookmarkStart w:id="149" w:name="Tc_MIRTit1y-0WpOtdD0oncmQ_21_4"/>
      <w:bookmarkStart w:id="150" w:name="Tc_Ppea6wrVYUSz45lCSONbhA_21_2"/>
      <w:bookmarkStart w:id="151" w:name="Tc_EBKjytpWkkmfwgUO-GFGew_21_0"/>
      <w:bookmarkStart w:id="152" w:name="Tc_eM2UuVZW2kymcPhQut_jow_18_7"/>
      <w:bookmarkStart w:id="153" w:name="Tc_iO0D6Qcn4kKzVjU4kVgH6g_18_4"/>
      <w:bookmarkStart w:id="154" w:name="Tc_ptBCVEbpWkSIh-5eYVPolw_18_0"/>
      <w:bookmarkStart w:id="155" w:name="Tc_J9ERUoaagU67LLeU6N6rgQ_16_2"/>
      <w:bookmarkStart w:id="156" w:name="Tc_3bjFmtY_bEe49t_JampNnA_16_0"/>
      <w:bookmarkStart w:id="157" w:name="Tc_lPRYKEVtWEurFSnEH4W3QA_15_0"/>
      <w:bookmarkStart w:id="158" w:name="Tc_ghCrY5vi6U-faDXGbHOaBw_14_2"/>
      <w:bookmarkStart w:id="159" w:name="Tc_TIL8_QZAx06T8jCTxFKsng_14_0"/>
      <w:bookmarkStart w:id="160" w:name="Tc_82dNJa1ex0mpqzhg3ZYdfg_13_0"/>
      <w:bookmarkStart w:id="161" w:name="Tc_2aKXxJ_8tkKGExwFLONJkQ_12_2"/>
      <w:bookmarkStart w:id="162" w:name="Tc_JisBA5S9WEOmlNXyBQNcQg_12_0"/>
      <w:bookmarkStart w:id="163" w:name="Tc_CAfwo0CtkE-_djvk6nyRKg_11_2"/>
      <w:bookmarkStart w:id="164" w:name="Tc_8pSS7h6HmkWVo_lSMCbwXg_11_0"/>
      <w:bookmarkStart w:id="165" w:name="Tc_GkLgVH1ZIUaGS_nuniveLw_10_0"/>
      <w:bookmarkStart w:id="166" w:name="Tc_0bebIexcAEWM7vxzxv6Fww_8_0"/>
      <w:bookmarkStart w:id="167" w:name="Tc_pP9jcPo9k0yndGgJ-a0eFQ_7_0"/>
      <w:bookmarkStart w:id="168" w:name="Tc_ZiaIqq3d9kCFV4YAcxftTA_6_7"/>
      <w:bookmarkStart w:id="169" w:name="Tc_9zhi36wtuEWZcurPWa5qTw_6_4"/>
      <w:bookmarkStart w:id="170" w:name="Tc_fPkdBkdLzEqehSPdJfCWHw_6_2"/>
      <w:bookmarkStart w:id="171" w:name="Tc_ibSCW_zyXkCRPxgLTQC-mA_6_0"/>
      <w:bookmarkStart w:id="172" w:name="Tc_Qw7k2_8XK0eMNRVeiWZJQg_5_0"/>
      <w:bookmarkStart w:id="173" w:name="Tc_za3OHy-tREGrULHTTkxQ2A_3_7"/>
      <w:bookmarkStart w:id="174" w:name="Tc_Gu7Vv-fgK02nw5ds5gDH2w_3_4"/>
      <w:bookmarkStart w:id="175" w:name="Tc_sjoQLoFaN0mRHmQ52LDYRw_3_2"/>
      <w:bookmarkStart w:id="176" w:name="Tc_M1m7JcjLUUas9M44hcUzXg_2_7"/>
      <w:bookmarkStart w:id="177" w:name="Tc_KDTDuZOfvUqtTCbdoATx_w_2_4"/>
      <w:bookmarkStart w:id="178" w:name="Tc_gX54cV4Rjk-UNckD7zH-Qg_1_7"/>
      <w:bookmarkStart w:id="179" w:name="Tc_1euXor3cPUywP-sycb0-Ow_1_4"/>
      <w:bookmarkStart w:id="180" w:name="_3c378384_f80d_45b6_817c_5d7d2d2c0dc6"/>
      <w:bookmarkStart w:id="181" w:name="Tc_w480kY0OlUiArd28ZN9jMg_24_0"/>
      <w:bookmarkStart w:id="182" w:name="Tc_UlqKsh0LwUKBX-zTjKF5jQ_23_0"/>
      <w:bookmarkStart w:id="183" w:name="Tc_tUBX-YA7hUuOE05bMNBiBA_21_5"/>
      <w:bookmarkStart w:id="184" w:name="Tc_MIRTit1y-0WpOtdD0oncmQ_21_4"/>
      <w:bookmarkStart w:id="185" w:name="Tc_Ppea6wrVYUSz45lCSONbhA_21_2"/>
      <w:bookmarkStart w:id="186" w:name="Tc_EBKjytpWkkmfwgUO-GFGew_21_0"/>
      <w:bookmarkStart w:id="187" w:name="Tc_eM2UuVZW2kymcPhQut_jow_18_7"/>
      <w:bookmarkStart w:id="188" w:name="Tc_iO0D6Qcn4kKzVjU4kVgH6g_18_4"/>
      <w:bookmarkStart w:id="189" w:name="Tc_ptBCVEbpWkSIh-5eYVPolw_18_0"/>
      <w:bookmarkStart w:id="190" w:name="Tc_J9ERUoaagU67LLeU6N6rgQ_16_2"/>
      <w:bookmarkStart w:id="191" w:name="Tc_3bjFmtY_bEe49t_JampNnA_16_0"/>
      <w:bookmarkStart w:id="192" w:name="Tc_lPRYKEVtWEurFSnEH4W3QA_15_0"/>
      <w:bookmarkStart w:id="193" w:name="Tc_ghCrY5vi6U-faDXGbHOaBw_14_2"/>
      <w:bookmarkStart w:id="194" w:name="Tc_TIL8_QZAx06T8jCTxFKsng_14_0"/>
      <w:bookmarkStart w:id="195" w:name="Tc_82dNJa1ex0mpqzhg3ZYdfg_13_0"/>
      <w:bookmarkStart w:id="196" w:name="Tc_2aKXxJ_8tkKGExwFLONJkQ_12_2"/>
      <w:bookmarkStart w:id="197" w:name="Tc_JisBA5S9WEOmlNXyBQNcQg_12_0"/>
      <w:bookmarkStart w:id="198" w:name="Tc_CAfwo0CtkE-_djvk6nyRKg_11_2"/>
      <w:bookmarkStart w:id="199" w:name="Tc_8pSS7h6HmkWVo_lSMCbwXg_11_0"/>
      <w:bookmarkStart w:id="200" w:name="Tc_GkLgVH1ZIUaGS_nuniveLw_10_0"/>
      <w:bookmarkStart w:id="201" w:name="Tc_0bebIexcAEWM7vxzxv6Fww_8_0"/>
      <w:bookmarkStart w:id="202" w:name="Tc_pP9jcPo9k0yndGgJ-a0eFQ_7_0"/>
      <w:bookmarkStart w:id="203" w:name="Tc_ZiaIqq3d9kCFV4YAcxftTA_6_7"/>
      <w:bookmarkStart w:id="204" w:name="Tc_9zhi36wtuEWZcurPWa5qTw_6_4"/>
      <w:bookmarkStart w:id="205" w:name="Tc_fPkdBkdLzEqehSPdJfCWHw_6_2"/>
      <w:bookmarkStart w:id="206" w:name="Tc_ibSCW_zyXkCRPxgLTQC-mA_6_0"/>
      <w:bookmarkStart w:id="207" w:name="Tc_Qw7k2_8XK0eMNRVeiWZJQg_5_0"/>
      <w:bookmarkStart w:id="208" w:name="Tc_za3OHy-tREGrULHTTkxQ2A_3_7"/>
      <w:bookmarkStart w:id="209" w:name="Tc_Gu7Vv-fgK02nw5ds5gDH2w_3_4"/>
      <w:bookmarkStart w:id="210" w:name="Tc_sjoQLoFaN0mRHmQ52LDYRw_3_2"/>
      <w:bookmarkStart w:id="211" w:name="Tc_M1m7JcjLUUas9M44hcUzXg_2_7"/>
      <w:bookmarkStart w:id="212" w:name="Tc_KDTDuZOfvUqtTCbdoATx_w_2_4"/>
      <w:bookmarkStart w:id="213" w:name="Tc_gX54cV4Rjk-UNckD7zH-Qg_1_7"/>
      <w:bookmarkStart w:id="214" w:name="Tc_1euXor3cPUywP-sycb0-Ow_1_4"/>
      <w:bookmarkStart w:id="215" w:name="_3c378384_f80d_45b6_817c_5d7d2d2c0dc6"/>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tbl>
      <w:tblPr>
        <w:tblW w:w="10205" w:type="dxa"/>
        <w:jc w:val="left"/>
        <w:tblInd w:w="0" w:type="dxa"/>
        <w:tblLayout w:type="fixed"/>
        <w:tblCellMar>
          <w:top w:w="0" w:type="dxa"/>
          <w:left w:w="0" w:type="dxa"/>
          <w:bottom w:w="0" w:type="dxa"/>
          <w:right w:w="0" w:type="dxa"/>
        </w:tblCellMar>
      </w:tblPr>
      <w:tblGrid>
        <w:gridCol w:w="5552"/>
        <w:gridCol w:w="326"/>
        <w:gridCol w:w="451"/>
        <w:gridCol w:w="326"/>
        <w:gridCol w:w="247"/>
        <w:gridCol w:w="1340"/>
        <w:gridCol w:w="326"/>
        <w:gridCol w:w="237"/>
        <w:gridCol w:w="1400"/>
      </w:tblGrid>
      <w:tr>
        <w:trPr/>
        <w:tc>
          <w:tcPr>
            <w:tcW w:w="5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525520" cy="175260"/>
                      <wp:effectExtent l="0" t="0" r="0" b="0"/>
                      <wp:wrapNone/>
                      <wp:docPr id="15" name="Frame15"/>
                      <a:graphic xmlns:a="http://schemas.openxmlformats.org/drawingml/2006/main">
                        <a:graphicData uri="http://schemas.microsoft.com/office/word/2010/wordprocessingShape">
                          <wps:wsp>
                            <wps:cNvSpPr txBox="1"/>
                            <wps:spPr>
                              <a:xfrm>
                                <a:off x="0" y="0"/>
                                <a:ext cx="3525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86385" cy="175260"/>
                      <wp:effectExtent l="0" t="0" r="0" b="0"/>
                      <wp:wrapNone/>
                      <wp:docPr id="17" name="Frame1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56845" cy="175260"/>
                      <wp:effectExtent l="0" t="0" r="0" b="0"/>
                      <wp:wrapNone/>
                      <wp:docPr id="19" name="Frame1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50900" cy="175260"/>
                      <wp:effectExtent l="0" t="0" r="0" b="0"/>
                      <wp:wrapNone/>
                      <wp:docPr id="20" name="Frame20"/>
                      <a:graphic xmlns:a="http://schemas.openxmlformats.org/drawingml/2006/main">
                        <a:graphicData uri="http://schemas.microsoft.com/office/word/2010/wordprocessingShape">
                          <wps:wsp>
                            <wps:cNvSpPr txBox="1"/>
                            <wps:spPr>
                              <a:xfrm>
                                <a:off x="0" y="0"/>
                                <a:ext cx="850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0495" cy="175260"/>
                      <wp:effectExtent l="0" t="0" r="0" b="0"/>
                      <wp:wrapNone/>
                      <wp:docPr id="22" name="Frame2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889000" cy="175260"/>
                      <wp:effectExtent l="0" t="0" r="0" b="0"/>
                      <wp:wrapNone/>
                      <wp:docPr id="23" name="Frame23"/>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63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5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w:t>
            </w:r>
          </w:p>
        </w:tc>
        <w:tc>
          <w:tcPr>
            <w:tcW w:w="163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55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left"/>
              <w:rPr/>
            </w:pPr>
            <w:r>
              <w:rPr/>
              <w:t>    </w:t>
            </w:r>
          </w:p>
        </w:tc>
        <w:tc>
          <w:tcPr>
            <w:tcW w:w="15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63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Times New Roman;Times;serif" w:hAnsi="Times New Roman;Times;serif"/>
                <w:sz w:val="16"/>
              </w:rPr>
            </w:pPr>
            <w:r>
              <w:rPr>
                <w:rFonts w:ascii="Times New Roman;Times;serif" w:hAnsi="Times New Roman;Times;serif"/>
                <w:b/>
                <w:sz w:val="16"/>
              </w:rPr>
              <w:t>2022</w:t>
            </w:r>
            <w:r>
              <w:rPr>
                <w:rFonts w:ascii="Times New Roman;Times;serif" w:hAnsi="Times New Roman;Times;serif"/>
                <w:b/>
                <w:sz w:val="12"/>
              </w:rPr>
              <w:t>(1)</w:t>
            </w:r>
          </w:p>
        </w:tc>
      </w:tr>
      <w:tr>
        <w:trPr/>
        <w:tc>
          <w:tcPr>
            <w:tcW w:w="55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right"/>
              <w:rPr/>
            </w:pPr>
            <w:r>
              <w:rPr/>
              <w:t>​</w:t>
            </w:r>
          </w:p>
        </w:tc>
        <w:tc>
          <w:tcPr>
            <w:tcW w:w="13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637" w:type="dxa"/>
            <w:gridSpan w:val="2"/>
            <w:tcBorders/>
            <w:vAlign w:val="center"/>
          </w:tcPr>
          <w:p>
            <w:pPr>
              <w:pStyle w:val="TableContents"/>
              <w:bidi w:val="0"/>
              <w:spacing w:before="0" w:after="0"/>
              <w:ind w:left="0" w:right="0" w:hanging="0"/>
              <w:jc w:val="right"/>
              <w:rPr/>
            </w:pPr>
            <w:r>
              <w:rPr/>
              <w:t>​</w:t>
            </w:r>
          </w:p>
        </w:tc>
      </w:tr>
      <w:tr>
        <w:trPr/>
        <w:tc>
          <w:tcPr>
            <w:tcW w:w="55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left"/>
              <w:rPr/>
            </w:pPr>
            <w:r>
              <w:rPr/>
              <w:t>​</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7,169</w:t>
            </w:r>
          </w:p>
        </w:tc>
        <w:tc>
          <w:tcPr>
            <w:tcW w:w="32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r>
      <w:tr>
        <w:trPr/>
        <w:tc>
          <w:tcPr>
            <w:tcW w:w="55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c>
          <w:tcPr>
            <w:tcW w:w="326"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13,383</w:t>
            </w:r>
          </w:p>
        </w:tc>
        <w:tc>
          <w:tcPr>
            <w:tcW w:w="32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15,907</w:t>
            </w:r>
          </w:p>
        </w:tc>
      </w:tr>
      <w:tr>
        <w:trPr/>
        <w:tc>
          <w:tcPr>
            <w:tcW w:w="55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pPr>
            <w:r>
              <w:rPr/>
              <w:t>​</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pPr>
            <w:r>
              <w:rPr/>
              <w:t>​</w:t>
            </w:r>
          </w:p>
        </w:tc>
      </w:tr>
      <w:tr>
        <w:trPr/>
        <w:tc>
          <w:tcPr>
            <w:tcW w:w="55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pPr>
            <w:r>
              <w:rPr/>
              <w:t>—</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pPr>
            <w:r>
              <w:rPr/>
              <w:t>—</w:t>
            </w:r>
          </w:p>
        </w:tc>
      </w:tr>
      <w:tr>
        <w:trPr/>
        <w:tc>
          <w:tcPr>
            <w:tcW w:w="55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pPr>
            <w:r>
              <w:rPr/>
              <w:t>—</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private warrants liability</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r>
      <w:tr>
        <w:trPr/>
        <w:tc>
          <w:tcPr>
            <w:tcW w:w="55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credit facility</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 </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5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pPr>
            <w:r>
              <w:rPr/>
              <w:t>​</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(Income) and Comprehensive Loss (Income) for the period</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26" w:type="dxa"/>
            <w:tcBorders/>
            <w:vAlign w:val="center"/>
          </w:tcPr>
          <w:p>
            <w:pPr>
              <w:pStyle w:val="TableContents"/>
              <w:bidi w:val="0"/>
              <w:spacing w:before="0" w:after="0"/>
              <w:ind w:left="0" w:right="0" w:hanging="0"/>
              <w:jc w:val="left"/>
              <w:rPr/>
            </w:pPr>
            <w:r>
              <w:rPr/>
              <w:t> </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21,117</w:t>
            </w:r>
          </w:p>
        </w:tc>
      </w:tr>
      <w:tr>
        <w:trPr/>
        <w:tc>
          <w:tcPr>
            <w:tcW w:w="55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pPr>
            <w:r>
              <w:rPr/>
              <w:t>​</w:t>
            </w:r>
          </w:p>
        </w:tc>
      </w:tr>
      <w:tr>
        <w:trPr/>
        <w:tc>
          <w:tcPr>
            <w:tcW w:w="55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pPr>
            <w:r>
              <w:rPr/>
              <w:t>​</w:t>
            </w:r>
          </w:p>
        </w:tc>
      </w:tr>
      <w:tr>
        <w:trPr/>
        <w:tc>
          <w:tcPr>
            <w:tcW w:w="55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(Income) per share - basic and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0.09</w:t>
            </w:r>
          </w:p>
        </w:tc>
      </w:tr>
      <w:tr>
        <w:trPr/>
        <w:tc>
          <w:tcPr>
            <w:tcW w:w="55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right"/>
              <w:rPr/>
            </w:pPr>
            <w:r>
              <w:rPr/>
              <w:t>​</w:t>
            </w:r>
          </w:p>
        </w:tc>
      </w:tr>
      <w:tr>
        <w:trPr/>
        <w:tc>
          <w:tcPr>
            <w:tcW w:w="55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Weighted average number of common shares outstanding </w:t>
            </w:r>
            <w:r>
              <w:rPr>
                <w:rFonts w:ascii="Times New Roman;Times;serif" w:hAnsi="Times New Roman;Times;serif"/>
                <w:sz w:val="20"/>
              </w:rPr>
              <w:t xml:space="preserve">— </w:t>
            </w:r>
            <w:r>
              <w:rPr>
                <w:rFonts w:ascii="Times New Roman;Times;serif" w:hAnsi="Times New Roman;Times;serif"/>
                <w:b/>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272,029,603</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226,075,389</w:t>
            </w:r>
          </w:p>
        </w:tc>
      </w:tr>
      <w:tr>
        <w:trPr/>
        <w:tc>
          <w:tcPr>
            <w:tcW w:w="55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Weighted average number of common shares outstanding </w:t>
            </w:r>
            <w:r>
              <w:rPr>
                <w:rFonts w:ascii="Times New Roman;Times;serif" w:hAnsi="Times New Roman;Times;serif"/>
                <w:sz w:val="20"/>
              </w:rPr>
              <w:t xml:space="preserve">— </w:t>
            </w:r>
            <w:r>
              <w:rPr>
                <w:rFonts w:ascii="Times New Roman;Times;serif" w:hAnsi="Times New Roman;Times;serif"/>
                <w:b/>
                <w:sz w:val="20"/>
              </w:rPr>
              <w:t>diluted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300,376,133</w:t>
            </w:r>
          </w:p>
        </w:tc>
        <w:tc>
          <w:tcPr>
            <w:tcW w:w="326" w:type="dxa"/>
            <w:tcBorders/>
            <w:vAlign w:val="center"/>
          </w:tcPr>
          <w:p>
            <w:pPr>
              <w:pStyle w:val="TableContents"/>
              <w:bidi w:val="0"/>
              <w:spacing w:before="0" w:after="0"/>
              <w:ind w:left="0" w:right="0" w:hanging="0"/>
              <w:jc w:val="left"/>
              <w:rPr/>
            </w:pPr>
            <w:r>
              <w:rPr/>
              <w:t> </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0"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226,075,389</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The comparative figures in exploration and evaluation expenses and general and administrative expenses have been adjusted to conform to the current period’s presentation.</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6" w:name="_b63dcd7c_dc71_45de_95c1_2dfb77c2ed0a"/>
      <w:bookmarkEnd w:id="216"/>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217" w:name="CondensedConsolidatedStatementsofChanges"/>
      <w:bookmarkEnd w:id="217"/>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8" w:name="Tc_I1J13PXVMkqLxJbpzrYWkg_12_22"/>
      <w:bookmarkStart w:id="219" w:name="Tc_-xycAvOlok-D5-t7C0OE_w_12_19"/>
      <w:bookmarkStart w:id="220" w:name="Tc_a3Dw_KIddUue5pCBUnsgCg_12_16"/>
      <w:bookmarkStart w:id="221" w:name="Tc_z7MEhQYPWkKzWeKM_yRqrA_12_13"/>
      <w:bookmarkStart w:id="222" w:name="Tc_NQXhWnxh3UakTNYTqKuBHA_12_11"/>
      <w:bookmarkStart w:id="223" w:name="Tc_btoDsQT3xEmyiZ0mV1s4QA_12_10"/>
      <w:bookmarkStart w:id="224" w:name="Tc_U4B7KnnfwEK7YAMeonGJSg_12_8"/>
      <w:bookmarkStart w:id="225" w:name="Tc_jW7iouehSEqjxq41sbnMrQ_12_7"/>
      <w:bookmarkStart w:id="226" w:name="Tc_zT8Q_yCBUkmucqLT5K8orA_12_4"/>
      <w:bookmarkStart w:id="227" w:name="Tc_7sdu9IT6MESIZCiBS6eP2Q_12_0"/>
      <w:bookmarkStart w:id="228" w:name="Tc_ryj-kDwZBkO2hywkD7VEnQ_11_17"/>
      <w:bookmarkStart w:id="229" w:name="Tc_Quum9dgOO0yF5Gsb5QLOvg_11_14"/>
      <w:bookmarkStart w:id="230" w:name="Tc_MxvYbwCsKU6--UsqrSmOxQ_11_11"/>
      <w:bookmarkStart w:id="231" w:name="Tc_FhXrJiB86kC-J-GygtKo_A_11_8"/>
      <w:bookmarkStart w:id="232" w:name="Tc_3UEt7gW_oUGdSztH9yw-SQ_11_5"/>
      <w:bookmarkStart w:id="233" w:name="Tc__WCLJKuZc0WR9E4vzDWoBg_11_2"/>
      <w:bookmarkStart w:id="234" w:name="Tc_djvx0fclFEe0PKmtsmLGYg_11_0"/>
      <w:bookmarkStart w:id="235" w:name="Tc_RdQVIusdMU25Q6nqgAWZXw_10_20"/>
      <w:bookmarkStart w:id="236" w:name="Tc_s1PdiM7nwE6ZaD3bP0P4tA_10_17"/>
      <w:bookmarkStart w:id="237" w:name="Tc_4wd4Vx5Uz0WqbF3xQDSQeg_10_11"/>
      <w:bookmarkStart w:id="238" w:name="Tc_17QM91yJG0-e-pVPkxeo6A_10_8"/>
      <w:bookmarkStart w:id="239" w:name="Tc_ZMy_7ENhfES2oPtL5cKWYQ_10_5"/>
      <w:bookmarkStart w:id="240" w:name="Tc_Ik0Ck-hQMkiOGKRPAnndOQ_10_2"/>
      <w:bookmarkStart w:id="241" w:name="Tc_9dmsprmXd0iy-KcXyajDDA_10_0"/>
      <w:bookmarkStart w:id="242" w:name="Tc_qjxzjGLFLk-mNQeUW9bIKQ_9_20"/>
      <w:bookmarkStart w:id="243" w:name="Tc_zK-JvCOhfECnK6BnctAzCA_9_17"/>
      <w:bookmarkStart w:id="244" w:name="Tc_ZdELPcevZ02ZklEU1SdOZA_9_11"/>
      <w:bookmarkStart w:id="245" w:name="Tc_D2GdjCfIokqRUp1XLSKcQQ_9_8"/>
      <w:bookmarkStart w:id="246" w:name="Tc_cB5Zaw6RLUOUQTeZffqKRQ_9_5"/>
      <w:bookmarkStart w:id="247" w:name="Tc_GX9LuqfScU-lA8EothY1Mg_9_2"/>
      <w:bookmarkStart w:id="248" w:name="Tc_OnoMcOMKe0yOckAN0k6qKg_9_0"/>
      <w:bookmarkStart w:id="249" w:name="Tc_aaruahPfHkCRMnhn9uIiAg_8_20"/>
      <w:bookmarkStart w:id="250" w:name="Tc_XGohrFBLgEKEMNvV6XwhRQ_8_17"/>
      <w:bookmarkStart w:id="251" w:name="Tc_Ud4Hkn-sxEu5K3_N44BkRQ_8_11"/>
      <w:bookmarkStart w:id="252" w:name="Tc_-7KwhlNGj0WW0PsBsJ_1wQ_8_8"/>
      <w:bookmarkStart w:id="253" w:name="Tc_R3zUpUXcc0qAbQj0GJjqXw_8_5"/>
      <w:bookmarkStart w:id="254" w:name="Tc_9hYVRz2EFEmG08-mvWlnYg_8_2"/>
      <w:bookmarkStart w:id="255" w:name="Tc_1hb_SxXQ-kavdaZ-eZK1jQ_8_0"/>
      <w:bookmarkStart w:id="256" w:name="Tc_mmRTXy5VmUy4BsRXq_PviA_7_20"/>
      <w:bookmarkStart w:id="257" w:name="Tc_DOyzhvJ_fECZf8aeLG994A_7_17"/>
      <w:bookmarkStart w:id="258" w:name="Tc_JJGgHK_1gkKNfAOmWTc-Bw_7_14"/>
      <w:bookmarkStart w:id="259" w:name="Tc_44QPpLdHnUKKCcnv2EqS5g_7_11"/>
      <w:bookmarkStart w:id="260" w:name="Tc_XltUajnl8kyHLUJ34l4gfA_7_8"/>
      <w:bookmarkStart w:id="261" w:name="Tc_FkgdPvv_LEyOTf8U-6Z47A_7_0"/>
      <w:bookmarkStart w:id="262" w:name="Tc_YBxq_T93a0CWqX-lztp1fQ_6_23"/>
      <w:bookmarkStart w:id="263" w:name="Tc_ldHzEdYDhEqT8hQhtgXNqA_6_20"/>
      <w:bookmarkStart w:id="264" w:name="Tc_-FSnxWkd4kKTzjUJ1_MkLA_6_17"/>
      <w:bookmarkStart w:id="265" w:name="Tc_ur03OTUJHU6_iFP8MfBxdA_6_11"/>
      <w:bookmarkStart w:id="266" w:name="Tc_GqN6FYJ-qESDTxPUcLWkWg_6_8"/>
      <w:bookmarkStart w:id="267" w:name="Tc_J7d6ddVCGUKmwznVxvgPJw_6_0"/>
      <w:bookmarkStart w:id="268" w:name="Tc_2dwT1zhWaUWKWMu3TEUhLg_5_22"/>
      <w:bookmarkStart w:id="269" w:name="Tc_vHFaDABQvkaxUWzSI_pDWg_5_19"/>
      <w:bookmarkStart w:id="270" w:name="Tc_RDuYF02fCku77ogeDSxSqA_5_16"/>
      <w:bookmarkStart w:id="271" w:name="Tc_Kve35ecRnki-z5OAiCEnrw_5_13"/>
      <w:bookmarkStart w:id="272" w:name="Tc_7nxdO2g1o0aGBrysR9MO7A_5_11"/>
      <w:bookmarkStart w:id="273" w:name="Tc_-RmFKIAgP0Kkn9jZg7iFDQ_5_10"/>
      <w:bookmarkStart w:id="274" w:name="Tc_fVqe-YrJl0uzFomStif0eQ_5_8"/>
      <w:bookmarkStart w:id="275" w:name="Tc_4c48l_LsUU2lDoPaHLPYWQ_5_7"/>
      <w:bookmarkStart w:id="276" w:name="Tc_JyXt5ljuxECXwutQub9ZKQ_5_4"/>
      <w:bookmarkStart w:id="277" w:name="Tc_J-eqslz6iU60HOfIoFE2ng_5_0"/>
      <w:bookmarkStart w:id="278" w:name="Tc_SZbfFl-ueUOK_G1fCKxJgQ_4_22"/>
      <w:bookmarkStart w:id="279" w:name="Tc_qgTkh2eEL0-gn7wQVa7Pvg_4_19"/>
      <w:bookmarkStart w:id="280" w:name="Tc_8h_vR6u4IkSJjWCW7xShrQ_4_16"/>
      <w:bookmarkStart w:id="281" w:name="Tc_0XBhh13K1EOUh02pGjlmQg_4_13"/>
      <w:bookmarkStart w:id="282" w:name="Tc_4tZ4GGkEOUWele4RArkhEw_4_10"/>
      <w:bookmarkStart w:id="283" w:name="Tc_k4H2edk3rkGkRbUwbmSm4g_4_7"/>
      <w:bookmarkStart w:id="284" w:name="Tc_ZCt8TpMpnkmiboEk7hj9yQ_4_4"/>
      <w:bookmarkStart w:id="285" w:name="Tc_Lw5Zr9_-z0enGNsgDDZ8zQ_4_2"/>
      <w:bookmarkStart w:id="286" w:name="Tc_gHE-gtp1bky5SKXyVaGCKg_4_0"/>
      <w:bookmarkStart w:id="287" w:name="Tc_uEnEpFSfpEycI69u5eoe1g_3_16"/>
      <w:bookmarkStart w:id="288" w:name="Tc_FqeIql-I6USXi3d9iwUvXA_3_13"/>
      <w:bookmarkStart w:id="289" w:name="Tc_O8pufxEH1kmGin1BP-FR5A_3_10"/>
      <w:bookmarkStart w:id="290" w:name="Tc_HutdCGdC_k6jI1F_qB0yRA_3_7"/>
      <w:bookmarkStart w:id="291" w:name="Tc_t_wpypDGFUiA5jOKbtTkjQ_3_2"/>
      <w:bookmarkStart w:id="292" w:name="Tc_AXXK63gSvUOl6BxmyE4BjA_2_16"/>
      <w:bookmarkStart w:id="293" w:name="Tc_0O-Cpi6PfUGD0k6QnZfBtw_2_13"/>
      <w:bookmarkStart w:id="294" w:name="Tc_bqPgs0fsp0-N8T0JCaCx-Q_1_16"/>
      <w:bookmarkStart w:id="295" w:name="_235fe388_961f_436e_a383_8527e296a024"/>
      <w:bookmarkStart w:id="296" w:name="Tc_I1J13PXVMkqLxJbpzrYWkg_12_22"/>
      <w:bookmarkStart w:id="297" w:name="Tc_-xycAvOlok-D5-t7C0OE_w_12_19"/>
      <w:bookmarkStart w:id="298" w:name="Tc_a3Dw_KIddUue5pCBUnsgCg_12_16"/>
      <w:bookmarkStart w:id="299" w:name="Tc_z7MEhQYPWkKzWeKM_yRqrA_12_13"/>
      <w:bookmarkStart w:id="300" w:name="Tc_NQXhWnxh3UakTNYTqKuBHA_12_11"/>
      <w:bookmarkStart w:id="301" w:name="Tc_btoDsQT3xEmyiZ0mV1s4QA_12_10"/>
      <w:bookmarkStart w:id="302" w:name="Tc_U4B7KnnfwEK7YAMeonGJSg_12_8"/>
      <w:bookmarkStart w:id="303" w:name="Tc_jW7iouehSEqjxq41sbnMrQ_12_7"/>
      <w:bookmarkStart w:id="304" w:name="Tc_zT8Q_yCBUkmucqLT5K8orA_12_4"/>
      <w:bookmarkStart w:id="305" w:name="Tc_7sdu9IT6MESIZCiBS6eP2Q_12_0"/>
      <w:bookmarkStart w:id="306" w:name="Tc_ryj-kDwZBkO2hywkD7VEnQ_11_17"/>
      <w:bookmarkStart w:id="307" w:name="Tc_Quum9dgOO0yF5Gsb5QLOvg_11_14"/>
      <w:bookmarkStart w:id="308" w:name="Tc_MxvYbwCsKU6--UsqrSmOxQ_11_11"/>
      <w:bookmarkStart w:id="309" w:name="Tc_FhXrJiB86kC-J-GygtKo_A_11_8"/>
      <w:bookmarkStart w:id="310" w:name="Tc_3UEt7gW_oUGdSztH9yw-SQ_11_5"/>
      <w:bookmarkStart w:id="311" w:name="Tc__WCLJKuZc0WR9E4vzDWoBg_11_2"/>
      <w:bookmarkStart w:id="312" w:name="Tc_djvx0fclFEe0PKmtsmLGYg_11_0"/>
      <w:bookmarkStart w:id="313" w:name="Tc_RdQVIusdMU25Q6nqgAWZXw_10_20"/>
      <w:bookmarkStart w:id="314" w:name="Tc_s1PdiM7nwE6ZaD3bP0P4tA_10_17"/>
      <w:bookmarkStart w:id="315" w:name="Tc_4wd4Vx5Uz0WqbF3xQDSQeg_10_11"/>
      <w:bookmarkStart w:id="316" w:name="Tc_17QM91yJG0-e-pVPkxeo6A_10_8"/>
      <w:bookmarkStart w:id="317" w:name="Tc_ZMy_7ENhfES2oPtL5cKWYQ_10_5"/>
      <w:bookmarkStart w:id="318" w:name="Tc_Ik0Ck-hQMkiOGKRPAnndOQ_10_2"/>
      <w:bookmarkStart w:id="319" w:name="Tc_9dmsprmXd0iy-KcXyajDDA_10_0"/>
      <w:bookmarkStart w:id="320" w:name="Tc_qjxzjGLFLk-mNQeUW9bIKQ_9_20"/>
      <w:bookmarkStart w:id="321" w:name="Tc_zK-JvCOhfECnK6BnctAzCA_9_17"/>
      <w:bookmarkStart w:id="322" w:name="Tc_ZdELPcevZ02ZklEU1SdOZA_9_11"/>
      <w:bookmarkStart w:id="323" w:name="Tc_D2GdjCfIokqRUp1XLSKcQQ_9_8"/>
      <w:bookmarkStart w:id="324" w:name="Tc_cB5Zaw6RLUOUQTeZffqKRQ_9_5"/>
      <w:bookmarkStart w:id="325" w:name="Tc_GX9LuqfScU-lA8EothY1Mg_9_2"/>
      <w:bookmarkStart w:id="326" w:name="Tc_OnoMcOMKe0yOckAN0k6qKg_9_0"/>
      <w:bookmarkStart w:id="327" w:name="Tc_aaruahPfHkCRMnhn9uIiAg_8_20"/>
      <w:bookmarkStart w:id="328" w:name="Tc_XGohrFBLgEKEMNvV6XwhRQ_8_17"/>
      <w:bookmarkStart w:id="329" w:name="Tc_Ud4Hkn-sxEu5K3_N44BkRQ_8_11"/>
      <w:bookmarkStart w:id="330" w:name="Tc_-7KwhlNGj0WW0PsBsJ_1wQ_8_8"/>
      <w:bookmarkStart w:id="331" w:name="Tc_R3zUpUXcc0qAbQj0GJjqXw_8_5"/>
      <w:bookmarkStart w:id="332" w:name="Tc_9hYVRz2EFEmG08-mvWlnYg_8_2"/>
      <w:bookmarkStart w:id="333" w:name="Tc_1hb_SxXQ-kavdaZ-eZK1jQ_8_0"/>
      <w:bookmarkStart w:id="334" w:name="Tc_mmRTXy5VmUy4BsRXq_PviA_7_20"/>
      <w:bookmarkStart w:id="335" w:name="Tc_DOyzhvJ_fECZf8aeLG994A_7_17"/>
      <w:bookmarkStart w:id="336" w:name="Tc_JJGgHK_1gkKNfAOmWTc-Bw_7_14"/>
      <w:bookmarkStart w:id="337" w:name="Tc_44QPpLdHnUKKCcnv2EqS5g_7_11"/>
      <w:bookmarkStart w:id="338" w:name="Tc_XltUajnl8kyHLUJ34l4gfA_7_8"/>
      <w:bookmarkStart w:id="339" w:name="Tc_FkgdPvv_LEyOTf8U-6Z47A_7_0"/>
      <w:bookmarkStart w:id="340" w:name="Tc_YBxq_T93a0CWqX-lztp1fQ_6_23"/>
      <w:bookmarkStart w:id="341" w:name="Tc_ldHzEdYDhEqT8hQhtgXNqA_6_20"/>
      <w:bookmarkStart w:id="342" w:name="Tc_-FSnxWkd4kKTzjUJ1_MkLA_6_17"/>
      <w:bookmarkStart w:id="343" w:name="Tc_ur03OTUJHU6_iFP8MfBxdA_6_11"/>
      <w:bookmarkStart w:id="344" w:name="Tc_GqN6FYJ-qESDTxPUcLWkWg_6_8"/>
      <w:bookmarkStart w:id="345" w:name="Tc_J7d6ddVCGUKmwznVxvgPJw_6_0"/>
      <w:bookmarkStart w:id="346" w:name="Tc_2dwT1zhWaUWKWMu3TEUhLg_5_22"/>
      <w:bookmarkStart w:id="347" w:name="Tc_vHFaDABQvkaxUWzSI_pDWg_5_19"/>
      <w:bookmarkStart w:id="348" w:name="Tc_RDuYF02fCku77ogeDSxSqA_5_16"/>
      <w:bookmarkStart w:id="349" w:name="Tc_Kve35ecRnki-z5OAiCEnrw_5_13"/>
      <w:bookmarkStart w:id="350" w:name="Tc_7nxdO2g1o0aGBrysR9MO7A_5_11"/>
      <w:bookmarkStart w:id="351" w:name="Tc_-RmFKIAgP0Kkn9jZg7iFDQ_5_10"/>
      <w:bookmarkStart w:id="352" w:name="Tc_fVqe-YrJl0uzFomStif0eQ_5_8"/>
      <w:bookmarkStart w:id="353" w:name="Tc_4c48l_LsUU2lDoPaHLPYWQ_5_7"/>
      <w:bookmarkStart w:id="354" w:name="Tc_JyXt5ljuxECXwutQub9ZKQ_5_4"/>
      <w:bookmarkStart w:id="355" w:name="Tc_J-eqslz6iU60HOfIoFE2ng_5_0"/>
      <w:bookmarkStart w:id="356" w:name="Tc_SZbfFl-ueUOK_G1fCKxJgQ_4_22"/>
      <w:bookmarkStart w:id="357" w:name="Tc_qgTkh2eEL0-gn7wQVa7Pvg_4_19"/>
      <w:bookmarkStart w:id="358" w:name="Tc_8h_vR6u4IkSJjWCW7xShrQ_4_16"/>
      <w:bookmarkStart w:id="359" w:name="Tc_0XBhh13K1EOUh02pGjlmQg_4_13"/>
      <w:bookmarkStart w:id="360" w:name="Tc_4tZ4GGkEOUWele4RArkhEw_4_10"/>
      <w:bookmarkStart w:id="361" w:name="Tc_k4H2edk3rkGkRbUwbmSm4g_4_7"/>
      <w:bookmarkStart w:id="362" w:name="Tc_ZCt8TpMpnkmiboEk7hj9yQ_4_4"/>
      <w:bookmarkStart w:id="363" w:name="Tc_Lw5Zr9_-z0enGNsgDDZ8zQ_4_2"/>
      <w:bookmarkStart w:id="364" w:name="Tc_gHE-gtp1bky5SKXyVaGCKg_4_0"/>
      <w:bookmarkStart w:id="365" w:name="Tc_uEnEpFSfpEycI69u5eoe1g_3_16"/>
      <w:bookmarkStart w:id="366" w:name="Tc_FqeIql-I6USXi3d9iwUvXA_3_13"/>
      <w:bookmarkStart w:id="367" w:name="Tc_O8pufxEH1kmGin1BP-FR5A_3_10"/>
      <w:bookmarkStart w:id="368" w:name="Tc_HutdCGdC_k6jI1F_qB0yRA_3_7"/>
      <w:bookmarkStart w:id="369" w:name="Tc_t_wpypDGFUiA5jOKbtTkjQ_3_2"/>
      <w:bookmarkStart w:id="370" w:name="Tc_AXXK63gSvUOl6BxmyE4BjA_2_16"/>
      <w:bookmarkStart w:id="371" w:name="Tc_0O-Cpi6PfUGD0k6QnZfBtw_2_13"/>
      <w:bookmarkStart w:id="372" w:name="Tc_bqPgs0fsp0-N8T0JCaCx-Q_1_16"/>
      <w:bookmarkStart w:id="373" w:name="_235fe388_961f_436e_a383_8527e296a024"/>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tbl>
      <w:tblPr>
        <w:tblW w:w="11080" w:type="dxa"/>
        <w:jc w:val="left"/>
        <w:tblInd w:w="0" w:type="dxa"/>
        <w:tblLayout w:type="fixed"/>
        <w:tblCellMar>
          <w:top w:w="0" w:type="dxa"/>
          <w:left w:w="0" w:type="dxa"/>
          <w:bottom w:w="0" w:type="dxa"/>
          <w:right w:w="0" w:type="dxa"/>
        </w:tblCellMar>
      </w:tblPr>
      <w:tblGrid>
        <w:gridCol w:w="1081"/>
        <w:gridCol w:w="326"/>
        <w:gridCol w:w="1006"/>
        <w:gridCol w:w="326"/>
        <w:gridCol w:w="196"/>
        <w:gridCol w:w="691"/>
        <w:gridCol w:w="326"/>
        <w:gridCol w:w="309"/>
        <w:gridCol w:w="547"/>
        <w:gridCol w:w="326"/>
        <w:gridCol w:w="239"/>
        <w:gridCol w:w="422"/>
        <w:gridCol w:w="326"/>
        <w:gridCol w:w="202"/>
        <w:gridCol w:w="714"/>
        <w:gridCol w:w="326"/>
        <w:gridCol w:w="310"/>
        <w:gridCol w:w="906"/>
        <w:gridCol w:w="326"/>
        <w:gridCol w:w="196"/>
        <w:gridCol w:w="751"/>
        <w:gridCol w:w="326"/>
        <w:gridCol w:w="196"/>
        <w:gridCol w:w="706"/>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38810" cy="175260"/>
                      <wp:effectExtent l="0" t="0" r="0" b="0"/>
                      <wp:wrapNone/>
                      <wp:docPr id="25" name="Frame2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96215" cy="175260"/>
                      <wp:effectExtent l="0" t="0" r="0" b="0"/>
                      <wp:wrapNone/>
                      <wp:docPr id="30" name="Frame30"/>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47345" cy="175260"/>
                      <wp:effectExtent l="0" t="0" r="0" b="0"/>
                      <wp:wrapNone/>
                      <wp:docPr id="31" name="Frame31"/>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1765" cy="175260"/>
                      <wp:effectExtent l="0" t="0" r="0" b="0"/>
                      <wp:wrapNone/>
                      <wp:docPr id="33" name="Frame3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67970" cy="175260"/>
                      <wp:effectExtent l="0" t="0" r="0" b="0"/>
                      <wp:wrapNone/>
                      <wp:docPr id="34" name="Frame3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8270" cy="175260"/>
                      <wp:effectExtent l="0" t="0" r="0" b="0"/>
                      <wp:wrapNone/>
                      <wp:docPr id="36" name="Frame36"/>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3390" cy="175260"/>
                      <wp:effectExtent l="0" t="0" r="0" b="0"/>
                      <wp:wrapNone/>
                      <wp:docPr id="37" name="Frame37"/>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96850" cy="175260"/>
                      <wp:effectExtent l="0" t="0" r="0" b="0"/>
                      <wp:wrapNone/>
                      <wp:docPr id="39" name="Frame3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75310" cy="175260"/>
                      <wp:effectExtent l="0" t="0" r="0" b="0"/>
                      <wp:wrapNone/>
                      <wp:docPr id="40" name="Frame40"/>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76885" cy="175260"/>
                      <wp:effectExtent l="0" t="0" r="0" b="0"/>
                      <wp:wrapNone/>
                      <wp:docPr id="43" name="Frame4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48310" cy="175260"/>
                      <wp:effectExtent l="0" t="0" r="0" b="0"/>
                      <wp:wrapNone/>
                      <wp:docPr id="46" name="Frame4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Preferred </w:t>
            </w:r>
          </w:p>
        </w:tc>
        <w:tc>
          <w:tcPr>
            <w:tcW w:w="326" w:type="dxa"/>
            <w:tcBorders/>
            <w:vAlign w:val="center"/>
          </w:tcPr>
          <w:p>
            <w:pPr>
              <w:pStyle w:val="TableContents"/>
              <w:bidi w:val="0"/>
              <w:spacing w:before="0" w:after="0"/>
              <w:ind w:left="0" w:right="0" w:hanging="0"/>
              <w:jc w:val="center"/>
              <w:rPr/>
            </w:pPr>
            <w:r>
              <w:rPr/>
              <w:t>​</w:t>
            </w:r>
          </w:p>
        </w:tc>
        <w:tc>
          <w:tcPr>
            <w:tcW w:w="66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 </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2023</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266,812,131</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332,882</w:t>
            </w:r>
          </w:p>
        </w:tc>
        <w:tc>
          <w:tcPr>
            <w:tcW w:w="326" w:type="dxa"/>
            <w:tcBorders/>
            <w:shd w:fill="CCEEFF" w:val="clear"/>
            <w:vAlign w:val="center"/>
          </w:tcPr>
          <w:p>
            <w:pPr>
              <w:pStyle w:val="TableContents"/>
              <w:bidi w:val="0"/>
              <w:spacing w:before="0" w:after="0"/>
              <w:ind w:left="0" w:right="0" w:hanging="0"/>
              <w:jc w:val="center"/>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184,960</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(475,121)</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41,505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(Note 9)</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2,956,154</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2,814</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(2,814)</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to Allseas (Note 6)</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10,850,000</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9,394</w:t>
            </w:r>
          </w:p>
        </w:tc>
        <w:tc>
          <w:tcPr>
            <w:tcW w:w="326" w:type="dxa"/>
            <w:tcBorders/>
            <w:shd w:fill="CCEEFF" w:val="clear"/>
            <w:vAlign w:val="center"/>
          </w:tcPr>
          <w:p>
            <w:pPr>
              <w:pStyle w:val="TableContents"/>
              <w:bidi w:val="0"/>
              <w:spacing w:before="0" w:after="0"/>
              <w:ind w:left="0" w:right="0" w:hanging="0"/>
              <w:jc w:val="center"/>
              <w:rPr/>
            </w:pPr>
            <w:r>
              <w:rPr/>
              <w:t>​</w:t>
            </w:r>
          </w:p>
        </w:tc>
        <w:tc>
          <w:tcPr>
            <w:tcW w:w="309" w:type="dxa"/>
            <w:tcBorders/>
            <w:shd w:fill="CCEEFF" w:val="clear"/>
            <w:vAlign w:val="center"/>
          </w:tcPr>
          <w:p>
            <w:pPr>
              <w:pStyle w:val="TableContents"/>
              <w:bidi w:val="0"/>
              <w:spacing w:before="0" w:after="0"/>
              <w:ind w:left="0" w:right="0" w:hanging="0"/>
              <w:jc w:val="center"/>
              <w:rPr/>
            </w:pPr>
            <w:r>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2" w:type="dxa"/>
            <w:tcBorders/>
            <w:shd w:fill="CCEEFF" w:val="clear"/>
            <w:vAlign w:val="center"/>
          </w:tcPr>
          <w:p>
            <w:pPr>
              <w:pStyle w:val="TableContents"/>
              <w:bidi w:val="0"/>
              <w:spacing w:before="0" w:after="0"/>
              <w:ind w:left="0" w:right="0" w:hanging="0"/>
              <w:jc w:val="center"/>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Expenses to be settled with share-based payments</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Expenses settled with share-based payments</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09" w:type="dxa"/>
            <w:tcBorders/>
            <w:shd w:fill="CCEEFF" w:val="clear"/>
            <w:vAlign w:val="center"/>
          </w:tcPr>
          <w:p>
            <w:pPr>
              <w:pStyle w:val="TableContents"/>
              <w:bidi w:val="0"/>
              <w:spacing w:before="0" w:after="0"/>
              <w:ind w:left="0" w:right="0" w:hanging="0"/>
              <w:jc w:val="center"/>
              <w:rPr/>
            </w:pPr>
            <w:r>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2" w:type="dxa"/>
            <w:tcBorders/>
            <w:shd w:fill="CCEEFF" w:val="clear"/>
            <w:vAlign w:val="center"/>
          </w:tcPr>
          <w:p>
            <w:pPr>
              <w:pStyle w:val="TableContents"/>
              <w:bidi w:val="0"/>
              <w:spacing w:before="0" w:after="0"/>
              <w:ind w:left="0" w:right="0" w:hanging="0"/>
              <w:jc w:val="center"/>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2,860</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2,860</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(Note 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for the period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280,618,285</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345,090</w:t>
            </w:r>
          </w:p>
        </w:tc>
        <w:tc>
          <w:tcPr>
            <w:tcW w:w="326" w:type="dxa"/>
            <w:tcBorders/>
            <w:vAlign w:val="center"/>
          </w:tcPr>
          <w:p>
            <w:pPr>
              <w:pStyle w:val="TableContents"/>
              <w:bidi w:val="0"/>
              <w:spacing w:before="0" w:after="0"/>
              <w:ind w:left="0" w:right="0" w:hanging="0"/>
              <w:jc w:val="left"/>
              <w:rPr/>
            </w:pPr>
            <w:r>
              <w:rPr/>
              <w:t> </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186,796</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(475,119)</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55,551</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4" w:name="Tc_Nl6LUEluaEKHyjdsqB2Wwg_10_22"/>
      <w:bookmarkStart w:id="375" w:name="Tc_1nlUHG5PuU-LCIs2aNHcSA_10_19"/>
      <w:bookmarkStart w:id="376" w:name="Tc_4w9t0Opc00e-oPXlJAoHWw_10_16"/>
      <w:bookmarkStart w:id="377" w:name="Tc_q_xeOAP9H0uv36PqcFn4Zg_10_13"/>
      <w:bookmarkStart w:id="378" w:name="Tc_Jj64RM-R30-WYnYCtwRjcQ_10_11"/>
      <w:bookmarkStart w:id="379" w:name="Tc_OhmdcImLokCoydSwpU4ipw_10_10"/>
      <w:bookmarkStart w:id="380" w:name="Tc_FpENKTTr2UmVDMZ_5f0-oA_10_8"/>
      <w:bookmarkStart w:id="381" w:name="Tc_A8WKdF6VqkixZWjJTDlS0Q_10_7"/>
      <w:bookmarkStart w:id="382" w:name="Tc_xYcFT-81vEC1xVD_SKnWeg_10_4"/>
      <w:bookmarkStart w:id="383" w:name="Tc_Kjo-Y5Po9km25QwGIc2o6Q_10_0"/>
      <w:bookmarkStart w:id="384" w:name="Tc_w-_I09SHak6KK3Xq4e4wMg_9_17"/>
      <w:bookmarkStart w:id="385" w:name="Tc_G8s36yHV1E2oHXO9TvCSSg_9_14"/>
      <w:bookmarkStart w:id="386" w:name="Tc_7Lg0JVEzgkOEJJTvSEdhMA_9_11"/>
      <w:bookmarkStart w:id="387" w:name="Tc_DerJQuf0qkS4yqRxTX_88A_9_8"/>
      <w:bookmarkStart w:id="388" w:name="Tc_A66rmKcsn0qf9XseTka6NA_9_5"/>
      <w:bookmarkStart w:id="389" w:name="Tc_rObs7bB0fE2Q8ji4dILjPg_9_2"/>
      <w:bookmarkStart w:id="390" w:name="Tc_q2Ptrq1JB0GE8trWcvuwxw_9_0"/>
      <w:bookmarkStart w:id="391" w:name="Tc_KKNoGbwlhUOqxphrkF1lSg_8_20"/>
      <w:bookmarkStart w:id="392" w:name="Tc_SjZea0Pi6U2F1SrNnyYO7Q_8_17"/>
      <w:bookmarkStart w:id="393" w:name="Tc_BOUt-DX1_UCcCRR_5iPBPw_8_11"/>
      <w:bookmarkStart w:id="394" w:name="Tc_ssWW6PN3vUeB-z7kLiiyeA_8_8"/>
      <w:bookmarkStart w:id="395" w:name="Tc_sFxDPljOw0-cUYhgPv-MuA_8_5"/>
      <w:bookmarkStart w:id="396" w:name="Tc_xodGTvQaEUKmV-OV-glJaQ_8_2"/>
      <w:bookmarkStart w:id="397" w:name="Tc_pwj9IRQHTk6gtLFYVUFjZw_8_0"/>
      <w:bookmarkStart w:id="398" w:name="Tc_ylKFZhr1rkKkN2QKEHA_Hw_7_20"/>
      <w:bookmarkStart w:id="399" w:name="Tc_WA83gtI3N0KDItjadT-b2w_7_17"/>
      <w:bookmarkStart w:id="400" w:name="Tc_EYURhf5_gkCkZXIymZP3yw_7_11"/>
      <w:bookmarkStart w:id="401" w:name="Tc_tT_7nfZWZEeBpfigGuuAgA_7_8"/>
      <w:bookmarkStart w:id="402" w:name="Tc_GfQzxQlILku7uWEXHNY_lw_7_5"/>
      <w:bookmarkStart w:id="403" w:name="Tc_hioocGC7UEO9v7tBqI06_Q_7_2"/>
      <w:bookmarkStart w:id="404" w:name="Tc_4g3gsyH2S0ClHRHirSPDCQ_7_0"/>
      <w:bookmarkStart w:id="405" w:name="Tc_BvqEa15xMkmjKU--osnG-A_6_20"/>
      <w:bookmarkStart w:id="406" w:name="Tc_M1AYe7GKpEOywp68jSB5-Q_6_17"/>
      <w:bookmarkStart w:id="407" w:name="Tc_BPhgYFNpgU-EdYAAoUsIVg_6_11"/>
      <w:bookmarkStart w:id="408" w:name="Tc_JQNsrBwX7kWt2DeyBc0uAw_6_8"/>
      <w:bookmarkStart w:id="409" w:name="Tc_-xCoUmgEhkONjmThvEGAPg_6_0"/>
      <w:bookmarkStart w:id="410" w:name="Tc_Oh97OlIyFUWnhPWmuWZKcQ_5_22"/>
      <w:bookmarkStart w:id="411" w:name="Tc_3XZcEEb95EqJbVS4mk_9Dw_5_19"/>
      <w:bookmarkStart w:id="412" w:name="Tc_c5K7gPTT3km4wdG6ysL5_g_5_16"/>
      <w:bookmarkStart w:id="413" w:name="Tc_ypqwxGivf0O4BjWQBpOvEQ_5_13"/>
      <w:bookmarkStart w:id="414" w:name="Tc_HIAT_Xmc9UiBAHY43U5LHA_5_11"/>
      <w:bookmarkStart w:id="415" w:name="Tc_yuLqocInx0-9svOBFnY-Yg_5_10"/>
      <w:bookmarkStart w:id="416" w:name="Tc_NskFTbkVjU-ZWj4atrxHVg_5_8"/>
      <w:bookmarkStart w:id="417" w:name="Tc_A-GopIRFqkKZ4cybNqtymQ_5_7"/>
      <w:bookmarkStart w:id="418" w:name="Tc_wZk1U8MQ20-NR4Au5P7HGQ_5_4"/>
      <w:bookmarkStart w:id="419" w:name="Tc_j8UG17dZGkWBtKcpazN5Gg_5_0"/>
      <w:bookmarkStart w:id="420" w:name="Tc_i8gPEEzIvUK0vY-3mwtNOQ_4_22"/>
      <w:bookmarkStart w:id="421" w:name="Tc_sS-uJO6qwU2xlyyER9rWnQ_4_19"/>
      <w:bookmarkStart w:id="422" w:name="Tc_jnnnLDDWp0Wod9sc9Xk_0g_4_16"/>
      <w:bookmarkStart w:id="423" w:name="Tc_KPIpVSz4j0WOFlNiHDivIg_4_13"/>
      <w:bookmarkStart w:id="424" w:name="Tc_LrYugSXkc0u_7G_Lq_IWKg_4_10"/>
      <w:bookmarkStart w:id="425" w:name="Tc_YbMmC_j5D0OHdSMCPt95-w_4_7"/>
      <w:bookmarkStart w:id="426" w:name="Tc_tJ9xw5wFckS8bB5q63dB2Q_4_4"/>
      <w:bookmarkStart w:id="427" w:name="Tc_N10O6e0USEaRoiaEEvvcZQ_4_2"/>
      <w:bookmarkStart w:id="428" w:name="Tc_rD7mLzb9GkyBZYbRscUglw_4_0"/>
      <w:bookmarkStart w:id="429" w:name="Tc_SU5bQMK--k6ZRpdhR1I4WQ_3_16"/>
      <w:bookmarkStart w:id="430" w:name="Tc_UQvrCa7OwUiMij-Otg-5iQ_3_13"/>
      <w:bookmarkStart w:id="431" w:name="Tc_rwf2OM_OV0Ghpwv4KH7xFw_3_10"/>
      <w:bookmarkStart w:id="432" w:name="Tc_rHqSoI-m0UevVpuwCBpWMg_3_7"/>
      <w:bookmarkStart w:id="433" w:name="Tc_TeiyQ0ozq0isBBlfZU96ig_3_2"/>
      <w:bookmarkStart w:id="434" w:name="Tc_AGpZrqIRcUCOqIaXcdRkYg_2_16"/>
      <w:bookmarkStart w:id="435" w:name="Tc_vlnpofNzk0yhnqVdjZodXQ_2_13"/>
      <w:bookmarkStart w:id="436" w:name="Tc_7bekwqlAdEiU8KB-MRnP3Q_1_16"/>
      <w:bookmarkStart w:id="437" w:name="_2e725cc5_b316_4a1c_b8ed_4404f299e344"/>
      <w:bookmarkStart w:id="438" w:name="_fca88015_dddd_4858_a633_c60ac3f6b291"/>
      <w:bookmarkStart w:id="439" w:name="Tc_Nl6LUEluaEKHyjdsqB2Wwg_10_22"/>
      <w:bookmarkStart w:id="440" w:name="Tc_1nlUHG5PuU-LCIs2aNHcSA_10_19"/>
      <w:bookmarkStart w:id="441" w:name="Tc_4w9t0Opc00e-oPXlJAoHWw_10_16"/>
      <w:bookmarkStart w:id="442" w:name="Tc_q_xeOAP9H0uv36PqcFn4Zg_10_13"/>
      <w:bookmarkStart w:id="443" w:name="Tc_Jj64RM-R30-WYnYCtwRjcQ_10_11"/>
      <w:bookmarkStart w:id="444" w:name="Tc_OhmdcImLokCoydSwpU4ipw_10_10"/>
      <w:bookmarkStart w:id="445" w:name="Tc_FpENKTTr2UmVDMZ_5f0-oA_10_8"/>
      <w:bookmarkStart w:id="446" w:name="Tc_A8WKdF6VqkixZWjJTDlS0Q_10_7"/>
      <w:bookmarkStart w:id="447" w:name="Tc_xYcFT-81vEC1xVD_SKnWeg_10_4"/>
      <w:bookmarkStart w:id="448" w:name="Tc_Kjo-Y5Po9km25QwGIc2o6Q_10_0"/>
      <w:bookmarkStart w:id="449" w:name="Tc_w-_I09SHak6KK3Xq4e4wMg_9_17"/>
      <w:bookmarkStart w:id="450" w:name="Tc_G8s36yHV1E2oHXO9TvCSSg_9_14"/>
      <w:bookmarkStart w:id="451" w:name="Tc_7Lg0JVEzgkOEJJTvSEdhMA_9_11"/>
      <w:bookmarkStart w:id="452" w:name="Tc_DerJQuf0qkS4yqRxTX_88A_9_8"/>
      <w:bookmarkStart w:id="453" w:name="Tc_A66rmKcsn0qf9XseTka6NA_9_5"/>
      <w:bookmarkStart w:id="454" w:name="Tc_rObs7bB0fE2Q8ji4dILjPg_9_2"/>
      <w:bookmarkStart w:id="455" w:name="Tc_q2Ptrq1JB0GE8trWcvuwxw_9_0"/>
      <w:bookmarkStart w:id="456" w:name="Tc_KKNoGbwlhUOqxphrkF1lSg_8_20"/>
      <w:bookmarkStart w:id="457" w:name="Tc_SjZea0Pi6U2F1SrNnyYO7Q_8_17"/>
      <w:bookmarkStart w:id="458" w:name="Tc_BOUt-DX1_UCcCRR_5iPBPw_8_11"/>
      <w:bookmarkStart w:id="459" w:name="Tc_ssWW6PN3vUeB-z7kLiiyeA_8_8"/>
      <w:bookmarkStart w:id="460" w:name="Tc_sFxDPljOw0-cUYhgPv-MuA_8_5"/>
      <w:bookmarkStart w:id="461" w:name="Tc_xodGTvQaEUKmV-OV-glJaQ_8_2"/>
      <w:bookmarkStart w:id="462" w:name="Tc_pwj9IRQHTk6gtLFYVUFjZw_8_0"/>
      <w:bookmarkStart w:id="463" w:name="Tc_ylKFZhr1rkKkN2QKEHA_Hw_7_20"/>
      <w:bookmarkStart w:id="464" w:name="Tc_WA83gtI3N0KDItjadT-b2w_7_17"/>
      <w:bookmarkStart w:id="465" w:name="Tc_EYURhf5_gkCkZXIymZP3yw_7_11"/>
      <w:bookmarkStart w:id="466" w:name="Tc_tT_7nfZWZEeBpfigGuuAgA_7_8"/>
      <w:bookmarkStart w:id="467" w:name="Tc_GfQzxQlILku7uWEXHNY_lw_7_5"/>
      <w:bookmarkStart w:id="468" w:name="Tc_hioocGC7UEO9v7tBqI06_Q_7_2"/>
      <w:bookmarkStart w:id="469" w:name="Tc_4g3gsyH2S0ClHRHirSPDCQ_7_0"/>
      <w:bookmarkStart w:id="470" w:name="Tc_BvqEa15xMkmjKU--osnG-A_6_20"/>
      <w:bookmarkStart w:id="471" w:name="Tc_M1AYe7GKpEOywp68jSB5-Q_6_17"/>
      <w:bookmarkStart w:id="472" w:name="Tc_BPhgYFNpgU-EdYAAoUsIVg_6_11"/>
      <w:bookmarkStart w:id="473" w:name="Tc_JQNsrBwX7kWt2DeyBc0uAw_6_8"/>
      <w:bookmarkStart w:id="474" w:name="Tc_-xCoUmgEhkONjmThvEGAPg_6_0"/>
      <w:bookmarkStart w:id="475" w:name="Tc_Oh97OlIyFUWnhPWmuWZKcQ_5_22"/>
      <w:bookmarkStart w:id="476" w:name="Tc_3XZcEEb95EqJbVS4mk_9Dw_5_19"/>
      <w:bookmarkStart w:id="477" w:name="Tc_c5K7gPTT3km4wdG6ysL5_g_5_16"/>
      <w:bookmarkStart w:id="478" w:name="Tc_ypqwxGivf0O4BjWQBpOvEQ_5_13"/>
      <w:bookmarkStart w:id="479" w:name="Tc_HIAT_Xmc9UiBAHY43U5LHA_5_11"/>
      <w:bookmarkStart w:id="480" w:name="Tc_yuLqocInx0-9svOBFnY-Yg_5_10"/>
      <w:bookmarkStart w:id="481" w:name="Tc_NskFTbkVjU-ZWj4atrxHVg_5_8"/>
      <w:bookmarkStart w:id="482" w:name="Tc_A-GopIRFqkKZ4cybNqtymQ_5_7"/>
      <w:bookmarkStart w:id="483" w:name="Tc_wZk1U8MQ20-NR4Au5P7HGQ_5_4"/>
      <w:bookmarkStart w:id="484" w:name="Tc_j8UG17dZGkWBtKcpazN5Gg_5_0"/>
      <w:bookmarkStart w:id="485" w:name="Tc_i8gPEEzIvUK0vY-3mwtNOQ_4_22"/>
      <w:bookmarkStart w:id="486" w:name="Tc_sS-uJO6qwU2xlyyER9rWnQ_4_19"/>
      <w:bookmarkStart w:id="487" w:name="Tc_jnnnLDDWp0Wod9sc9Xk_0g_4_16"/>
      <w:bookmarkStart w:id="488" w:name="Tc_KPIpVSz4j0WOFlNiHDivIg_4_13"/>
      <w:bookmarkStart w:id="489" w:name="Tc_LrYugSXkc0u_7G_Lq_IWKg_4_10"/>
      <w:bookmarkStart w:id="490" w:name="Tc_YbMmC_j5D0OHdSMCPt95-w_4_7"/>
      <w:bookmarkStart w:id="491" w:name="Tc_tJ9xw5wFckS8bB5q63dB2Q_4_4"/>
      <w:bookmarkStart w:id="492" w:name="Tc_N10O6e0USEaRoiaEEvvcZQ_4_2"/>
      <w:bookmarkStart w:id="493" w:name="Tc_rD7mLzb9GkyBZYbRscUglw_4_0"/>
      <w:bookmarkStart w:id="494" w:name="Tc_SU5bQMK--k6ZRpdhR1I4WQ_3_16"/>
      <w:bookmarkStart w:id="495" w:name="Tc_UQvrCa7OwUiMij-Otg-5iQ_3_13"/>
      <w:bookmarkStart w:id="496" w:name="Tc_rwf2OM_OV0Ghpwv4KH7xFw_3_10"/>
      <w:bookmarkStart w:id="497" w:name="Tc_rHqSoI-m0UevVpuwCBpWMg_3_7"/>
      <w:bookmarkStart w:id="498" w:name="Tc_TeiyQ0ozq0isBBlfZU96ig_3_2"/>
      <w:bookmarkStart w:id="499" w:name="Tc_AGpZrqIRcUCOqIaXcdRkYg_2_16"/>
      <w:bookmarkStart w:id="500" w:name="Tc_vlnpofNzk0yhnqVdjZodXQ_2_13"/>
      <w:bookmarkStart w:id="501" w:name="Tc_7bekwqlAdEiU8KB-MRnP3Q_1_16"/>
      <w:bookmarkStart w:id="502" w:name="_2e725cc5_b316_4a1c_b8ed_4404f299e344"/>
      <w:bookmarkStart w:id="503" w:name="_fca88015_dddd_4858_a633_c60ac3f6b291"/>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tbl>
      <w:tblPr>
        <w:tblW w:w="11080" w:type="dxa"/>
        <w:jc w:val="left"/>
        <w:tblInd w:w="0" w:type="dxa"/>
        <w:tblLayout w:type="fixed"/>
        <w:tblCellMar>
          <w:top w:w="0" w:type="dxa"/>
          <w:left w:w="0" w:type="dxa"/>
          <w:bottom w:w="0" w:type="dxa"/>
          <w:right w:w="0" w:type="dxa"/>
        </w:tblCellMar>
      </w:tblPr>
      <w:tblGrid>
        <w:gridCol w:w="1081"/>
        <w:gridCol w:w="326"/>
        <w:gridCol w:w="1006"/>
        <w:gridCol w:w="326"/>
        <w:gridCol w:w="196"/>
        <w:gridCol w:w="691"/>
        <w:gridCol w:w="326"/>
        <w:gridCol w:w="309"/>
        <w:gridCol w:w="547"/>
        <w:gridCol w:w="326"/>
        <w:gridCol w:w="239"/>
        <w:gridCol w:w="422"/>
        <w:gridCol w:w="326"/>
        <w:gridCol w:w="202"/>
        <w:gridCol w:w="714"/>
        <w:gridCol w:w="326"/>
        <w:gridCol w:w="310"/>
        <w:gridCol w:w="906"/>
        <w:gridCol w:w="326"/>
        <w:gridCol w:w="196"/>
        <w:gridCol w:w="751"/>
        <w:gridCol w:w="326"/>
        <w:gridCol w:w="196"/>
        <w:gridCol w:w="706"/>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38810" cy="175260"/>
                      <wp:effectExtent l="0" t="0" r="0" b="0"/>
                      <wp:wrapNone/>
                      <wp:docPr id="48" name="Frame4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1" name="Frame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96215" cy="175260"/>
                      <wp:effectExtent l="0" t="0" r="0" b="0"/>
                      <wp:wrapNone/>
                      <wp:docPr id="53" name="Frame53"/>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47345" cy="175260"/>
                      <wp:effectExtent l="0" t="0" r="0" b="0"/>
                      <wp:wrapNone/>
                      <wp:docPr id="54" name="Frame54"/>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1765" cy="175260"/>
                      <wp:effectExtent l="0" t="0" r="0" b="0"/>
                      <wp:wrapNone/>
                      <wp:docPr id="56" name="Frame5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67970" cy="175260"/>
                      <wp:effectExtent l="0" t="0" r="0" b="0"/>
                      <wp:wrapNone/>
                      <wp:docPr id="57" name="Frame57"/>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8270" cy="175260"/>
                      <wp:effectExtent l="0" t="0" r="0" b="0"/>
                      <wp:wrapNone/>
                      <wp:docPr id="59" name="Frame59"/>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53390" cy="175260"/>
                      <wp:effectExtent l="0" t="0" r="0" b="0"/>
                      <wp:wrapNone/>
                      <wp:docPr id="60" name="Frame60"/>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6850" cy="175260"/>
                      <wp:effectExtent l="0" t="0" r="0" b="0"/>
                      <wp:wrapNone/>
                      <wp:docPr id="62" name="Frame6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75310" cy="175260"/>
                      <wp:effectExtent l="0" t="0" r="0" b="0"/>
                      <wp:wrapNone/>
                      <wp:docPr id="63" name="Frame6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76885" cy="175260"/>
                      <wp:effectExtent l="0" t="0" r="0" b="0"/>
                      <wp:wrapNone/>
                      <wp:docPr id="66" name="Frame6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48310" cy="175260"/>
                      <wp:effectExtent l="0" t="0" r="0" b="0"/>
                      <wp:wrapNone/>
                      <wp:docPr id="69" name="Frame6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Preferred </w:t>
            </w:r>
          </w:p>
        </w:tc>
        <w:tc>
          <w:tcPr>
            <w:tcW w:w="326" w:type="dxa"/>
            <w:tcBorders/>
            <w:vAlign w:val="center"/>
          </w:tcPr>
          <w:p>
            <w:pPr>
              <w:pStyle w:val="TableContents"/>
              <w:bidi w:val="0"/>
              <w:spacing w:before="0" w:after="0"/>
              <w:ind w:left="0" w:right="0" w:hanging="0"/>
              <w:jc w:val="center"/>
              <w:rPr/>
            </w:pPr>
            <w:r>
              <w:rPr/>
              <w:t>​</w:t>
            </w:r>
          </w:p>
        </w:tc>
        <w:tc>
          <w:tcPr>
            <w:tcW w:w="66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 </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 2021</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225,432,493</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296,051</w:t>
            </w:r>
          </w:p>
        </w:tc>
        <w:tc>
          <w:tcPr>
            <w:tcW w:w="326" w:type="dxa"/>
            <w:tcBorders/>
            <w:shd w:fill="CCEEFF" w:val="clear"/>
            <w:vAlign w:val="center"/>
          </w:tcPr>
          <w:p>
            <w:pPr>
              <w:pStyle w:val="TableContents"/>
              <w:bidi w:val="0"/>
              <w:spacing w:before="0" w:after="0"/>
              <w:ind w:left="0" w:right="0" w:hanging="0"/>
              <w:jc w:val="center"/>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102,073</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(304,157)</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92,751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(Note 9)</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1,348,350</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2,212</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center"/>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(2,290)</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(Note 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9" w:type="dxa"/>
            <w:tcBorders/>
            <w:shd w:fill="CCEEFF" w:val="clear"/>
            <w:vAlign w:val="center"/>
          </w:tcPr>
          <w:p>
            <w:pPr>
              <w:pStyle w:val="TableContents"/>
              <w:bidi w:val="0"/>
              <w:spacing w:before="0" w:after="0"/>
              <w:ind w:left="0" w:right="0" w:hanging="0"/>
              <w:jc w:val="right"/>
              <w:rPr/>
            </w:pPr>
            <w:r>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righ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8,124</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righ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Expenses to be settled with share-based payments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right"/>
              <w:rPr/>
            </w:pPr>
            <w:r>
              <w:rPr/>
              <w:t>​</w:t>
            </w:r>
          </w:p>
        </w:tc>
        <w:tc>
          <w:tcPr>
            <w:tcW w:w="5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righ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(21,117)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(21,117)</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2022</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226,780,843</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298,263</w:t>
            </w:r>
          </w:p>
        </w:tc>
        <w:tc>
          <w:tcPr>
            <w:tcW w:w="326" w:type="dxa"/>
            <w:tcBorders/>
            <w:vAlign w:val="center"/>
          </w:tcPr>
          <w:p>
            <w:pPr>
              <w:pStyle w:val="TableContents"/>
              <w:bidi w:val="0"/>
              <w:spacing w:before="0" w:after="0"/>
              <w:ind w:left="0" w:right="0" w:hanging="0"/>
              <w:jc w:val="left"/>
              <w:rPr/>
            </w:pPr>
            <w:r>
              <w:rPr/>
              <w:t> </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107,952</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(325,274)</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79,725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4" w:name="_e464dcbb_5dab_4e45_ace4_a259619764ca"/>
      <w:bookmarkEnd w:id="504"/>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05" w:name="CondensedConsolidatedStatementsofCashFlo"/>
      <w:bookmarkEnd w:id="505"/>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06" w:name="Tc_uyCXNeBZLUe_iyeHHz7hvw_33_7"/>
      <w:bookmarkStart w:id="507" w:name="Tc_fxhuE_4Xi0qWJk2FvGMuYg_33_4"/>
      <w:bookmarkStart w:id="508" w:name="Tc_0KYTDcmCokOiQBBXImWPXA_33_0"/>
      <w:bookmarkStart w:id="509" w:name="Tc_0GS_qT8YkEW9BrggMJ4A9Q_32_0"/>
      <w:bookmarkStart w:id="510" w:name="Tc_sDjr5-EVoEmJEAH0IUhN6A_31_0"/>
      <w:bookmarkStart w:id="511" w:name="Tc_VjBn_aTCfkeALjMEJ97vNA_30_0"/>
      <w:bookmarkStart w:id="512" w:name="Tc_0bzF7offr0SOAbcpD9z-Bw_28_5"/>
      <w:bookmarkStart w:id="513" w:name="Tc_yuAtj59QXkySMo9RdHSovw_28_0"/>
      <w:bookmarkStart w:id="514" w:name="Tc_LvKe3SUw4kOiPj4QrUTE0g_27_5"/>
      <w:bookmarkStart w:id="515" w:name="Tc_FmsxX2xTtE2OD9WTrZR-yw_27_0"/>
      <w:bookmarkStart w:id="516" w:name="Tc_z1hy66vgB0OA8Tx04yi3Aw_26_0"/>
      <w:bookmarkStart w:id="517" w:name="Tc_bd1aArsIpkufZL_5ej4vLg_24_0"/>
      <w:bookmarkStart w:id="518" w:name="Tc_ZiXk23Aix0yw3gAfUdMz-Q_23_8"/>
      <w:bookmarkStart w:id="519" w:name="Tc_KhXky0P9V0KvgCJlTE7rjg_23_2"/>
      <w:bookmarkStart w:id="520" w:name="Tc_gNH-DgovBk-8nTQWLNO2SA_23_0"/>
      <w:bookmarkStart w:id="521" w:name="Tc_w9ciW7Pj1UyKRCRKVQa6cQ_22_5"/>
      <w:bookmarkStart w:id="522" w:name="Tc_9bmT1jVHZUeqCHSgUdvUNA_22_0"/>
      <w:bookmarkStart w:id="523" w:name="Tc_HOKjXubDJ0Wct2YJr0eklQ_21_0"/>
      <w:bookmarkStart w:id="524" w:name="Tc_dEIklGjB1UC1SxwHcr1i5A_19_0"/>
      <w:bookmarkStart w:id="525" w:name="Tc_Tmgdy_wDS0eWLWzBL3thCA_18_0"/>
      <w:bookmarkStart w:id="526" w:name="Tc_se0FdtkEQUi_-Oe_mDZ9iA_17_0"/>
      <w:bookmarkStart w:id="527" w:name="Tc_kB0IMZPhyEayOV2LMV-qIw_16_0"/>
      <w:bookmarkStart w:id="528" w:name="Tc_NV0QX8VkBU-osjhMIdjoew_15_0"/>
      <w:bookmarkStart w:id="529" w:name="Tc_LiS01qkPLUeknX_Sq6OE2A_14_2"/>
      <w:bookmarkStart w:id="530" w:name="Tc_NoHAaB9BBUeewFmrBNDpoA_14_0"/>
      <w:bookmarkStart w:id="531" w:name="Tc_ETd-27CnLkm5QQH2HP-RIg_13_0"/>
      <w:bookmarkStart w:id="532" w:name="Tc_H_chuFmFu0-RmLEQqzgT7g_12_2"/>
      <w:bookmarkStart w:id="533" w:name="Tc_JT1CE6rS_ECvtAUQoVqj-A_12_0"/>
      <w:bookmarkStart w:id="534" w:name="Tc_o7ib-TtlTEmxa2IhYIIorw_11_0"/>
      <w:bookmarkStart w:id="535" w:name="Tc_l7u84wkyOUOS1ST5zykmxA_10_8"/>
      <w:bookmarkStart w:id="536" w:name="Tc_4Xb7-Prhlkq9mxYqRDkkEw_10_2"/>
      <w:bookmarkStart w:id="537" w:name="Tc_3kUevXD-w0iXCgbmbT5Fxg_10_0"/>
      <w:bookmarkStart w:id="538" w:name="Tc__RsyRQuCl0-W6JDBLCIIQw_9_8"/>
      <w:bookmarkStart w:id="539" w:name="Tc_ofeFG8vP5E6kf69CfcAnsg_9_2"/>
      <w:bookmarkStart w:id="540" w:name="Tc_i7RgAveUhE-8XWl2UhiKdw_9_0"/>
      <w:bookmarkStart w:id="541" w:name="Tc_wsibsPiDPU6UwdH86J3i5A_8_0"/>
      <w:bookmarkStart w:id="542" w:name="Tc_nqeSIykmWkuytulLLQlwdQ_7_7"/>
      <w:bookmarkStart w:id="543" w:name="Tc_K4f7VfAieUq7AT6T3-chYA_7_4"/>
      <w:bookmarkStart w:id="544" w:name="Tc_vtZ7wfPyFUSvr39t3yxbDg_7_0"/>
      <w:bookmarkStart w:id="545" w:name="Tc_E-u_5YGFw0WJ44N7sz_6kw_6_0"/>
      <w:bookmarkStart w:id="546" w:name="Tc_Eqx1JqUQqEuAdctuR2Yruw_4_0"/>
      <w:bookmarkStart w:id="547" w:name="Tc_lKYUABQIAE2z-4pdooDlHw_3_7"/>
      <w:bookmarkStart w:id="548" w:name="Tc_DlC5BLf3JUysmbtOCY_9fQ_3_4"/>
      <w:bookmarkStart w:id="549" w:name="Tc_y7ixIzpFKEGWbUdZw2ZL3w_3_2"/>
      <w:bookmarkStart w:id="550" w:name="Tc_6J9qo69n90ejzuNqTH0aTg_2_7"/>
      <w:bookmarkStart w:id="551" w:name="Tc_TRu8Ata0AE2ZuM0qCC2NFg_2_4"/>
      <w:bookmarkStart w:id="552" w:name="Tc_0lIvs3usBUKgi6uib7vqPA_1_7"/>
      <w:bookmarkStart w:id="553" w:name="Tc_cx2tn3DYAE-92FiwPxgbng_1_4"/>
      <w:bookmarkStart w:id="554" w:name="_a3886705_20ae_4cc1_bf7f_1fb3bb61d2e3"/>
      <w:bookmarkStart w:id="555" w:name="Tc_uyCXNeBZLUe_iyeHHz7hvw_33_7"/>
      <w:bookmarkStart w:id="556" w:name="Tc_fxhuE_4Xi0qWJk2FvGMuYg_33_4"/>
      <w:bookmarkStart w:id="557" w:name="Tc_0KYTDcmCokOiQBBXImWPXA_33_0"/>
      <w:bookmarkStart w:id="558" w:name="Tc_0GS_qT8YkEW9BrggMJ4A9Q_32_0"/>
      <w:bookmarkStart w:id="559" w:name="Tc_sDjr5-EVoEmJEAH0IUhN6A_31_0"/>
      <w:bookmarkStart w:id="560" w:name="Tc_VjBn_aTCfkeALjMEJ97vNA_30_0"/>
      <w:bookmarkStart w:id="561" w:name="Tc_0bzF7offr0SOAbcpD9z-Bw_28_5"/>
      <w:bookmarkStart w:id="562" w:name="Tc_yuAtj59QXkySMo9RdHSovw_28_0"/>
      <w:bookmarkStart w:id="563" w:name="Tc_LvKe3SUw4kOiPj4QrUTE0g_27_5"/>
      <w:bookmarkStart w:id="564" w:name="Tc_FmsxX2xTtE2OD9WTrZR-yw_27_0"/>
      <w:bookmarkStart w:id="565" w:name="Tc_z1hy66vgB0OA8Tx04yi3Aw_26_0"/>
      <w:bookmarkStart w:id="566" w:name="Tc_bd1aArsIpkufZL_5ej4vLg_24_0"/>
      <w:bookmarkStart w:id="567" w:name="Tc_ZiXk23Aix0yw3gAfUdMz-Q_23_8"/>
      <w:bookmarkStart w:id="568" w:name="Tc_KhXky0P9V0KvgCJlTE7rjg_23_2"/>
      <w:bookmarkStart w:id="569" w:name="Tc_gNH-DgovBk-8nTQWLNO2SA_23_0"/>
      <w:bookmarkStart w:id="570" w:name="Tc_w9ciW7Pj1UyKRCRKVQa6cQ_22_5"/>
      <w:bookmarkStart w:id="571" w:name="Tc_9bmT1jVHZUeqCHSgUdvUNA_22_0"/>
      <w:bookmarkStart w:id="572" w:name="Tc_HOKjXubDJ0Wct2YJr0eklQ_21_0"/>
      <w:bookmarkStart w:id="573" w:name="Tc_dEIklGjB1UC1SxwHcr1i5A_19_0"/>
      <w:bookmarkStart w:id="574" w:name="Tc_Tmgdy_wDS0eWLWzBL3thCA_18_0"/>
      <w:bookmarkStart w:id="575" w:name="Tc_se0FdtkEQUi_-Oe_mDZ9iA_17_0"/>
      <w:bookmarkStart w:id="576" w:name="Tc_kB0IMZPhyEayOV2LMV-qIw_16_0"/>
      <w:bookmarkStart w:id="577" w:name="Tc_NV0QX8VkBU-osjhMIdjoew_15_0"/>
      <w:bookmarkStart w:id="578" w:name="Tc_LiS01qkPLUeknX_Sq6OE2A_14_2"/>
      <w:bookmarkStart w:id="579" w:name="Tc_NoHAaB9BBUeewFmrBNDpoA_14_0"/>
      <w:bookmarkStart w:id="580" w:name="Tc_ETd-27CnLkm5QQH2HP-RIg_13_0"/>
      <w:bookmarkStart w:id="581" w:name="Tc_H_chuFmFu0-RmLEQqzgT7g_12_2"/>
      <w:bookmarkStart w:id="582" w:name="Tc_JT1CE6rS_ECvtAUQoVqj-A_12_0"/>
      <w:bookmarkStart w:id="583" w:name="Tc_o7ib-TtlTEmxa2IhYIIorw_11_0"/>
      <w:bookmarkStart w:id="584" w:name="Tc_l7u84wkyOUOS1ST5zykmxA_10_8"/>
      <w:bookmarkStart w:id="585" w:name="Tc_4Xb7-Prhlkq9mxYqRDkkEw_10_2"/>
      <w:bookmarkStart w:id="586" w:name="Tc_3kUevXD-w0iXCgbmbT5Fxg_10_0"/>
      <w:bookmarkStart w:id="587" w:name="Tc__RsyRQuCl0-W6JDBLCIIQw_9_8"/>
      <w:bookmarkStart w:id="588" w:name="Tc_ofeFG8vP5E6kf69CfcAnsg_9_2"/>
      <w:bookmarkStart w:id="589" w:name="Tc_i7RgAveUhE-8XWl2UhiKdw_9_0"/>
      <w:bookmarkStart w:id="590" w:name="Tc_wsibsPiDPU6UwdH86J3i5A_8_0"/>
      <w:bookmarkStart w:id="591" w:name="Tc_nqeSIykmWkuytulLLQlwdQ_7_7"/>
      <w:bookmarkStart w:id="592" w:name="Tc_K4f7VfAieUq7AT6T3-chYA_7_4"/>
      <w:bookmarkStart w:id="593" w:name="Tc_vtZ7wfPyFUSvr39t3yxbDg_7_0"/>
      <w:bookmarkStart w:id="594" w:name="Tc_E-u_5YGFw0WJ44N7sz_6kw_6_0"/>
      <w:bookmarkStart w:id="595" w:name="Tc_Eqx1JqUQqEuAdctuR2Yruw_4_0"/>
      <w:bookmarkStart w:id="596" w:name="Tc_lKYUABQIAE2z-4pdooDlHw_3_7"/>
      <w:bookmarkStart w:id="597" w:name="Tc_DlC5BLf3JUysmbtOCY_9fQ_3_4"/>
      <w:bookmarkStart w:id="598" w:name="Tc_y7ixIzpFKEGWbUdZw2ZL3w_3_2"/>
      <w:bookmarkStart w:id="599" w:name="Tc_6J9qo69n90ejzuNqTH0aTg_2_7"/>
      <w:bookmarkStart w:id="600" w:name="Tc_TRu8Ata0AE2ZuM0qCC2NFg_2_4"/>
      <w:bookmarkStart w:id="601" w:name="Tc_0lIvs3usBUKgi6uib7vqPA_1_7"/>
      <w:bookmarkStart w:id="602" w:name="Tc_cx2tn3DYAE-92FiwPxgbng_1_4"/>
      <w:bookmarkStart w:id="603" w:name="_a3886705_20ae_4cc1_bf7f_1fb3bb61d2e3"/>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tbl>
      <w:tblPr>
        <w:tblW w:w="9305" w:type="dxa"/>
        <w:jc w:val="left"/>
        <w:tblInd w:w="0" w:type="dxa"/>
        <w:tblLayout w:type="fixed"/>
        <w:tblCellMar>
          <w:top w:w="0" w:type="dxa"/>
          <w:left w:w="0" w:type="dxa"/>
          <w:bottom w:w="0" w:type="dxa"/>
          <w:right w:w="0" w:type="dxa"/>
        </w:tblCellMar>
      </w:tblPr>
      <w:tblGrid>
        <w:gridCol w:w="4711"/>
        <w:gridCol w:w="326"/>
        <w:gridCol w:w="451"/>
        <w:gridCol w:w="326"/>
        <w:gridCol w:w="327"/>
        <w:gridCol w:w="1233"/>
        <w:gridCol w:w="326"/>
        <w:gridCol w:w="322"/>
        <w:gridCol w:w="1283"/>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991485" cy="175260"/>
                      <wp:effectExtent l="0" t="0" r="0" b="0"/>
                      <wp:wrapNone/>
                      <wp:docPr id="70" name="Frame70"/>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86385" cy="175260"/>
                      <wp:effectExtent l="0" t="0" r="0" b="0"/>
                      <wp:wrapNone/>
                      <wp:docPr id="72" name="Frame7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645" cy="175260"/>
                      <wp:effectExtent l="0" t="0" r="0" b="0"/>
                      <wp:wrapNone/>
                      <wp:docPr id="74" name="Frame74"/>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82955" cy="175260"/>
                      <wp:effectExtent l="0" t="0" r="0" b="0"/>
                      <wp:wrapNone/>
                      <wp:docPr id="75" name="Frame75"/>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4470" cy="175260"/>
                      <wp:effectExtent l="0" t="0" r="0" b="0"/>
                      <wp:wrapNone/>
                      <wp:docPr id="77" name="Frame7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14705" cy="175260"/>
                      <wp:effectExtent l="0" t="0" r="0" b="0"/>
                      <wp:wrapNone/>
                      <wp:docPr id="78" name="Frame78"/>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56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right"/>
              <w:rPr/>
            </w:pPr>
            <w:r>
              <w:rPr/>
              <w:t>​</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r>
      <w:tr>
        <w:trPr/>
        <w:tc>
          <w:tcPr>
            <w:tcW w:w="4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    </w:t>
            </w:r>
          </w:p>
        </w:tc>
        <w:tc>
          <w:tcPr>
            <w:tcW w:w="156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4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righ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righ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resources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for the period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(21,117)</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not affecting cash:</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settled with share-based 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to be settled with share-based payments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working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(11,877)</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(23,472)</w:t>
            </w:r>
          </w:p>
        </w:tc>
        <w:tc>
          <w:tcPr>
            <w:tcW w:w="32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(15,529)</w:t>
            </w:r>
          </w:p>
        </w:tc>
      </w:tr>
      <w:tr>
        <w:trPr/>
        <w:tc>
          <w:tcPr>
            <w:tcW w:w="47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from investment in Low Carbon Royalties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5,000</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withheld and paid on share-based compensation</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Decrease in cash </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(18,472)</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(15,817)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exchange rate changes on cash </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2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46,842</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84,873</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28,390</w:t>
            </w:r>
          </w:p>
        </w:tc>
        <w:tc>
          <w:tcPr>
            <w:tcW w:w="326" w:type="dxa"/>
            <w:tcBorders/>
            <w:vAlign w:val="center"/>
          </w:tcPr>
          <w:p>
            <w:pPr>
              <w:pStyle w:val="TableContents"/>
              <w:bidi w:val="0"/>
              <w:spacing w:before="0" w:after="0"/>
              <w:ind w:left="0" w:right="0" w:hanging="0"/>
              <w:jc w:val="left"/>
              <w:rPr/>
            </w:pPr>
            <w:r>
              <w:rPr/>
              <w:t> </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83"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69,048</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bookmarkStart w:id="604" w:name="_3d2e32c6_88f2_47d5_9f51_49c0a341401d"/>
        <w:bookmarkEnd w:id="604"/>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05" w:name="a1NatureofOperations_669125"/>
      <w:bookmarkEnd w:id="605"/>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TMC the metals company Inc. (“TMC” or the “Company”)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Times;serif" w:hAnsi="Times New Roman;Times;serif"/>
          <w:sz w:val="15"/>
        </w:rPr>
        <w:t>th</w:t>
      </w:r>
      <w:r>
        <w:rPr>
          <w:rFonts w:ascii="Times New Roman;Times;serif" w:hAnsi="Times New Roman;Times;serif"/>
          <w:sz w:val="20"/>
        </w:rPr>
        <w:t xml:space="preserve"> floor, 595 Howe Street, Vancouver, British Columbia, Canada, V6C 2T5. The Company’s common shares and warrants to purchase common shares are listed for trading on the Nasdaq Global Select Market (“Nasdaq”) under tickers “TMC” and “TMCWW”,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Times;serif" w:hAnsi="Times New Roman;Times;serif"/>
          <w:sz w:val="15"/>
        </w:rPr>
        <w:t>2</w:t>
      </w:r>
      <w:r>
        <w:rPr>
          <w:rFonts w:ascii="Times New Roman;Times;serif" w:hAnsi="Times New Roman;Times;serif"/>
          <w:sz w:val="20"/>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Times;serif" w:hAnsi="Times New Roman;Times;serif"/>
          <w:sz w:val="15"/>
        </w:rPr>
        <w:t>2</w:t>
      </w:r>
      <w:r>
        <w:rPr>
          <w:rFonts w:ascii="Times New Roman;Times;serif" w:hAnsi="Times New Roman;Times;serif"/>
          <w:sz w:val="20"/>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Times;serif" w:hAnsi="Times New Roman;Times;serif"/>
          <w:sz w:val="15"/>
        </w:rPr>
        <w:t>2</w:t>
      </w:r>
      <w:r>
        <w:rPr>
          <w:rFonts w:ascii="Times New Roman;Times;serif" w:hAnsi="Times New Roman;Times;serif"/>
          <w:sz w:val="20"/>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6).</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2023 or for any other period. These unaudited condensed consolidated interim financial statements should be read in conjunction with the audited annual consolidated financial statements for the year ended December 31, 2022. The Company has applied the same accounting policies as in the prior year, except as disclosed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comparative figures in Note 8 have been reclassified to conform to the current period’s presentation.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Use of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incentive stock options (Note 9), as well as the valuation of warrants liability (Note 8) and valuation of acquisition date investment in Low Carbon Royalties Inc. (“Low Carbon Royalties”) (Note 6). Actual results could differ materially from those estimates.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Fair Value of Financial Instruments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1</w:t>
            </w:r>
            <w:r>
              <w:rPr>
                <w:caps w:val="false"/>
                <w:smallCaps w:val="false"/>
              </w:rPr>
              <w:t> </w:t>
            </w:r>
            <w:r>
              <w:rPr>
                <w:rFonts w:ascii="Times New Roman;Times;serif" w:hAnsi="Times New Roman;Times;serif"/>
                <w:b w:val="false"/>
                <w:i w:val="false"/>
                <w:caps w:val="false"/>
                <w:smallCaps w:val="false"/>
                <w:sz w:val="20"/>
              </w:rPr>
              <w:t>- Valuations based on quoted prices in active markets for identical assets or liabilities that an entity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2</w:t>
            </w:r>
            <w:r>
              <w:rPr>
                <w:caps w:val="false"/>
                <w:smallCaps w:val="false"/>
              </w:rPr>
              <w:t> </w:t>
            </w:r>
            <w:r>
              <w:rPr>
                <w:rFonts w:ascii="Times New Roman;Times;serif" w:hAnsi="Times New Roman;Times;serif"/>
                <w:b w:val="false"/>
                <w:i w:val="false"/>
                <w:caps w:val="false"/>
                <w:smallCaps w:val="false"/>
                <w:sz w:val="20"/>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3</w:t>
            </w:r>
            <w:r>
              <w:rPr>
                <w:caps w:val="false"/>
                <w:smallCaps w:val="false"/>
              </w:rPr>
              <w:t> </w:t>
            </w:r>
            <w:r>
              <w:rPr>
                <w:rFonts w:ascii="Times New Roman;Times;serif" w:hAnsi="Times New Roman;Times;serif"/>
                <w:b w:val="false"/>
                <w:i w:val="false"/>
                <w:caps w:val="false"/>
                <w:smallCaps w:val="false"/>
                <w:sz w:val="20"/>
              </w:rPr>
              <w:t>- Valuations based on inputs that are supported by little or no market activity and that are significant to the fair value of the assets or liabilities.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transfers between fair value measurement levels during the three-month periods ended March 31, 2023, and 2022.</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and 2022, the carrying values of cash, receivables, accounts payable and accrued liabilities approximate their fair values due to the short-term nature of these instruments. The financial instruments also include public and private warrants issued by the Company. The warrants are valued at fair value, which is disclosed in Note 8.</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Significant Accounting Policies Adopted During the Period</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 xml:space="preserve">The Company consolidates investments over which it has control in accordance with Accounting Standards Codification (“ASC”) 810, </w:t>
      </w:r>
      <w:r>
        <w:rPr>
          <w:rFonts w:ascii="Times New Roman;Times;serif" w:hAnsi="Times New Roman;Times;serif"/>
          <w:i/>
          <w:sz w:val="20"/>
        </w:rPr>
        <w:t>Consolidation</w:t>
      </w:r>
      <w:r>
        <w:rPr>
          <w:rFonts w:ascii="Times New Roman;Times;serif" w:hAnsi="Times New Roman;Times;serif"/>
          <w:sz w:val="20"/>
        </w:rPr>
        <w:t xml:space="preserve"> (“ASC 810”). Where the Company does not have control over the investment, but has significant influence, the Company records the investment in accordance with ASC 323, </w:t>
      </w:r>
      <w:r>
        <w:rPr>
          <w:rFonts w:ascii="Times New Roman;Times;serif" w:hAnsi="Times New Roman;Times;serif"/>
          <w:i/>
          <w:sz w:val="20"/>
        </w:rPr>
        <w:t>Investments-Equity Method and Joint Ventures</w:t>
      </w:r>
      <w:r>
        <w:rPr>
          <w:rFonts w:ascii="Times New Roman;Times;serif" w:hAnsi="Times New Roman;Times;serif"/>
          <w:sz w:val="20"/>
        </w:rPr>
        <w:t xml:space="preserve"> (“ASC 323”) whereby, after recording the initial investment, the Company recognizes its proportional share of results of operations of the affiliate in its consolidated financial statements. The value of the equity method investments are impaired if it is determined that there is an other-than-temporary decline in value.  Investments over which the Company does not have control nor significant influence are recorded at cost.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Strategic Partnerships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Strategic Alliance with Allseas Pilot Mining Test Project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13, 2023, the Company entered into a Fifth Amendment to the Pilot Mining Test Agreement (the “PMTA”) and Third Amendment to SAA (“Fifth Amendment”), which was effective as of February 8, 2023, with DGE, DeepGreen Metals Inc. and Allseas. The Fifth Amendment relates to the Company’s settlement of the third and final payment of $10 million due to Allseas upon successful completion of the pilot trial of the pilot mining test system (the “PMTS”) in NORI Area D and certain other costs due to Allseas under the PMTA through the issuance of 10,850,000 common shares to Allseas, priced at $1.00 per share. On February 23, 2023, the Company settled the third milestone payment of $10 million and additional PMTS overage charges amounting to $0.9 million by issuing 10.9 million of its common shares to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Allseas owned 33.5 million TMC common shares (2022: 23.7 million TMC common shares) which constituted 12% (2022: 8.9%) of total common shares outstanding. The above-mentioned shareholding excludes 11,578,620 common shares issuable upon the exercise of the Allseas warrant (Note 8).</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Investment in Low Carbon Royalties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On February 21, 2023 (the “Closing Date”), the Company and its wholly-owned subsidiary, NORI, entered into an investment agreement (the “Agreement”) with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In connection with the Agreement, NORI contributed a 2% gross overriding royalty (the “NORI Royalty”) on the Company’s NORI project area in the Clarion Clipperton Zone of the Pacific Ocean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anniversaries of the Partnership. If both repurchase transactions are executed, the NORI Royalty will be reduced to 0.5%.  At Closing Date, Low Carbon Royalties also owned a 1.6%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606" w:name="Tc_fpBo-d3hU0G02W2Rj9HwCA_6_2"/>
      <w:bookmarkStart w:id="607" w:name="Tc_h0YDnMY_AE2BmhfGpiB1Hw_6_0"/>
      <w:bookmarkStart w:id="608" w:name="Tc_6heym8-BGUKJTV5xd6mndw_5_0"/>
      <w:bookmarkStart w:id="609" w:name="Tc_Jj6JOmJyKkq3i9dyrS4YNg_4_2"/>
      <w:bookmarkStart w:id="610" w:name="Tc_3YeFASrVAUSM-LlO3YuhPA_4_0"/>
      <w:bookmarkStart w:id="611" w:name="Tc_dvCJfvn64US6HvuWXBQXwg_3_2"/>
      <w:bookmarkStart w:id="612" w:name="Tc_KM-yfjb6QU2pqEB8pMAkgw_3_0"/>
      <w:bookmarkStart w:id="613" w:name="Tc_3Q8eVPSqhUeOUn9ohQ5Xeg_2_2"/>
      <w:bookmarkStart w:id="614" w:name="Tc_NFTRztlWJ0mWz0tkemev3A_2_0"/>
      <w:bookmarkStart w:id="615" w:name="Tc_yRG-fzN2REu6tnvgtpRAkA_1_2"/>
      <w:bookmarkEnd w:id="606"/>
      <w:bookmarkEnd w:id="607"/>
      <w:bookmarkEnd w:id="608"/>
      <w:bookmarkEnd w:id="609"/>
      <w:bookmarkEnd w:id="610"/>
      <w:bookmarkEnd w:id="611"/>
      <w:bookmarkEnd w:id="612"/>
      <w:bookmarkEnd w:id="613"/>
      <w:bookmarkEnd w:id="614"/>
      <w:bookmarkEnd w:id="615"/>
      <w:r>
        <w:rPr>
          <w:rFonts w:ascii="Times New Roman;Times;serif" w:hAnsi="Times New Roman;Times;serif"/>
          <w:sz w:val="20"/>
        </w:rPr>
        <w:t>gross overriding royalty on a producing natural gas field in Latin America. In consideration of the NORI Royalty, TMC received 35.0% of the common shares issued by Low Carbon Royalties and $5 million in cash, as of the Closing Date. In connection with the Agreement the Company entered into an Investor Rights Agreement with a shareholder of Low Carbon Royalties and Low Carbon Royalties, pursuant to which the Company and this shareholder each has a right, subject to certain percentage maintenance, to nominate a director to Low Carbon Royalties’ board of directors, along with registration and information rights.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accounted for the investment in Low Carbon Royalties in accordance with ASC 323-10 and has thus applied the equity method of accounting to this investment. When considering the royalty liability instrument as well as the embedded repurchase features, management has elected to account for the royalty liability under the fair value option in accordance with ASC 825-10.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21, 2023, Low Carbon Royalties acquired additional gross overriding royalties on natural gas fields in Latin America, increasing its total gross overriding royalty on the existing first license block from 1.56% to 3.13% and acquiring a gross overriding royalty of 1.44% on a new second license block.  The royalty acquisitions were financed through the issuance of Low Carbon Royalties common shares to the third-party vendor of such royalties, thereby reducing the Company’s ownership in the Partnership to 32% as of March 31, 2023 from 35% as of the Closing Date.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Based on the fair value of the NORI Royalty and the cash received on the Transaction Date, the Company recorded $9 million as investment in Low Carbon Royalties. From the Transaction Date to March 31, 2023, the Company’s share of the net loss generated by the Low Carbon Royalties was $0.2 million.</w:t>
      </w:r>
    </w:p>
    <w:p>
      <w:pPr>
        <w:pStyle w:val="TextBody"/>
        <w:bidi w:val="0"/>
        <w:spacing w:before="0" w:after="0"/>
        <w:ind w:left="0" w:right="0" w:hanging="0"/>
        <w:jc w:val="left"/>
        <w:rPr/>
      </w:pPr>
      <w:r>
        <w:rPr/>
        <w:t>​</w:t>
      </w:r>
    </w:p>
    <w:tbl>
      <w:tblPr>
        <w:tblW w:w="5294" w:type="dxa"/>
        <w:jc w:val="left"/>
        <w:tblInd w:w="0" w:type="dxa"/>
        <w:tblLayout w:type="fixed"/>
        <w:tblCellMar>
          <w:top w:w="0" w:type="dxa"/>
          <w:left w:w="0" w:type="dxa"/>
          <w:bottom w:w="0" w:type="dxa"/>
          <w:right w:w="0" w:type="dxa"/>
        </w:tblCellMar>
      </w:tblPr>
      <w:tblGrid>
        <w:gridCol w:w="4021"/>
        <w:gridCol w:w="326"/>
        <w:gridCol w:w="211"/>
        <w:gridCol w:w="73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53335" cy="175260"/>
                      <wp:effectExtent l="0" t="0" r="0" b="0"/>
                      <wp:wrapNone/>
                      <wp:docPr id="79" name="Frame79"/>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67360" cy="175260"/>
                      <wp:effectExtent l="0" t="0" r="0" b="0"/>
                      <wp:wrapNone/>
                      <wp:docPr id="82" name="Frame8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NORI Royalty</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Investment on Transaction Date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8,781</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net consideration received of $14 million exceeded NORI exploration contract’s carrying value of $0.3 million, resulting in a gain on disposition of asset of $13.75 million recorded in the Company’s Statements of Loss (Income) and Comprehensive Loss (Income). NORI is in the exploration phase of the project and under the Company’s policy, exploration spending is expensed.</w:t>
      </w:r>
    </w:p>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6" w:name="Tc_giE9Vc_nt02suXbbBH__2A_11_11"/>
      <w:bookmarkStart w:id="617" w:name="Tc_oebj5Hs3j0aFqQrZpV4jZQ_11_8"/>
      <w:bookmarkStart w:id="618" w:name="Tc_Y8FriTr8aUGMRBME2RGhug_11_5"/>
      <w:bookmarkStart w:id="619" w:name="Tc_X75RITAKr0ezvQ7TzbmAOg_11_2"/>
      <w:bookmarkStart w:id="620" w:name="Tc_Eh9CICzUZ0K5H-nslAJuJA_10_0"/>
      <w:bookmarkStart w:id="621" w:name="Tc_fR2jONiGjUS-Rb3ESS1zOw_9_0"/>
      <w:bookmarkStart w:id="622" w:name="Tc_ZtMx4N7SGE2TaxZQKn0mmQ_8_0"/>
      <w:bookmarkStart w:id="623" w:name="Tc_wGQ3fBlEC06Mj7dTJWF8ig_7_0"/>
      <w:bookmarkStart w:id="624" w:name="Tc_Aj_2wKPM8kSXZul73fUVzg_6_0"/>
      <w:bookmarkStart w:id="625" w:name="Tc_ohyp3u0EkUGxpHfvVOvnrA_5_0"/>
      <w:bookmarkStart w:id="626" w:name="Tc_LqAqGVnaz0admzqudP1CSQ_4_11"/>
      <w:bookmarkStart w:id="627" w:name="Tc_QIx7-96W3UCMhyKYPEd_gA_4_9"/>
      <w:bookmarkStart w:id="628" w:name="Tc_Kj1_AED910m-6mRsG-3O-w_4_8"/>
      <w:bookmarkStart w:id="629" w:name="Tc_cJAgL0OQ90CApgEymil-cw_4_6"/>
      <w:bookmarkStart w:id="630" w:name="Tc_xvF3AfYvqkOQ3zuIV2Fqtw_4_5"/>
      <w:bookmarkStart w:id="631" w:name="Tc_YZ9uDsdYPk6DtDiT79o3QA_4_2"/>
      <w:bookmarkStart w:id="632" w:name="Tc_s9Hd4IGAgEKVwlbcALcMlg_4_0"/>
      <w:bookmarkStart w:id="633" w:name="Tc_Emq1VYJ5-U2NsgZLy6GgVQ_3_11"/>
      <w:bookmarkStart w:id="634" w:name="Tc_v_WndcOQKkWwKLF_F_ag5Q_3_8"/>
      <w:bookmarkStart w:id="635" w:name="Tc_S_SwPz_jtkOa4Q_tqYmbAQ_3_5"/>
      <w:bookmarkStart w:id="636" w:name="Tc_o2ZRHy8QvUaUUo7Nk5cSgA_3_2"/>
      <w:bookmarkStart w:id="637" w:name="Tc_NuMXT7cvn0WSDIqnhMIuGQ_3_0"/>
      <w:bookmarkStart w:id="638" w:name="Tc_RSH6gadNNU-BnFYs6SXw8A_2_8"/>
      <w:bookmarkStart w:id="639" w:name="Tc_YFPuCci6EkG0Xq18ooI2iQ_2_5"/>
      <w:bookmarkStart w:id="640" w:name="Tc_klzFwpFM-EGnTMXBtJHm-A_2_2"/>
      <w:bookmarkStart w:id="641" w:name="Tc_GP2lKgPg6kCRkd0KSsGmRA_1_8"/>
      <w:bookmarkStart w:id="642" w:name="Tc_Iw6u9vinRESyhqJKDiy-ww_1_5"/>
      <w:bookmarkStart w:id="643" w:name="Tc_j8bQPWa3fECMshu3XJmf6g_1_2"/>
      <w:bookmarkStart w:id="644" w:name="_df3a63ad_e6a0_4752_a0d1_c8f85b28cfc8"/>
      <w:bookmarkStart w:id="645" w:name="Tc_mdO8TRX3TU-5RN_nqdv90Q_11_11"/>
      <w:bookmarkStart w:id="646" w:name="Tc_t8bIIu_BOEubetGtB3uFHw_11_8"/>
      <w:bookmarkStart w:id="647" w:name="Tc_Tq1Fzv7jS0uwyqBgFayYBA_11_5"/>
      <w:bookmarkStart w:id="648" w:name="Tc_6YvwAruVTUiTaK3g-TKBLA_11_2"/>
      <w:bookmarkStart w:id="649" w:name="Tc_v-p0mvo4FEmY0DmYGyvDHg_10_6"/>
      <w:bookmarkStart w:id="650" w:name="Tc_-oVMtGH3e0mMcZEB-fw-Jg_10_0"/>
      <w:bookmarkStart w:id="651" w:name="Tc_jzIDNK_-d0GSmVPBxvdx0w_9_0"/>
      <w:bookmarkStart w:id="652" w:name="Tc_4aHvlzQn00mD76EtkY0kZg_8_9"/>
      <w:bookmarkStart w:id="653" w:name="Tc_Yi5kglypNEGxPQU1xXnUlw_8_6"/>
      <w:bookmarkStart w:id="654" w:name="Tc_8aFLrVTwUUW8Sa2kv71cJA_8_0"/>
      <w:bookmarkStart w:id="655" w:name="Tc_GGUjSnMLQk61JfIkeftItQ_7_6"/>
      <w:bookmarkStart w:id="656" w:name="Tc_fjGsJE3e9kWbnrHwXEJIsQ_7_0"/>
      <w:bookmarkStart w:id="657" w:name="Tc__cf256y2oUiAzFj_esUvKQ_6_0"/>
      <w:bookmarkStart w:id="658" w:name="Tc_ZIyrHZAhw0uu4iJN34mvpQ_5_0"/>
      <w:bookmarkStart w:id="659" w:name="Tc__I1keLv17EWQM3c_nA_z_w_4_11"/>
      <w:bookmarkStart w:id="660" w:name="Tc_B3sB4tfdAEa0o3orADTkNw_4_9"/>
      <w:bookmarkStart w:id="661" w:name="Tc_YDAREKWaQUuDonz77VQFlg_4_8"/>
      <w:bookmarkStart w:id="662" w:name="Tc_8Dq0oY4FYUCoil42G7s8pg_4_6"/>
      <w:bookmarkStart w:id="663" w:name="Tc_dsH8P0B2aU-NdyZdgJYVhA_4_5"/>
      <w:bookmarkStart w:id="664" w:name="Tc_sGWxHpNOIkCcJF19qKA30A_4_2"/>
      <w:bookmarkStart w:id="665" w:name="Tc_9PqgvLdSZkCAINWTITieig_4_0"/>
      <w:bookmarkStart w:id="666" w:name="Tc_HvvXAAzlp0qF5C8kgdsRgA_3_11"/>
      <w:bookmarkStart w:id="667" w:name="Tc_6KvCKI_sHUyelHvpdVEdsQ_3_8"/>
      <w:bookmarkStart w:id="668" w:name="Tc_Rt40wThtGUCmR7EDDE7ScQ_3_5"/>
      <w:bookmarkStart w:id="669" w:name="Tc_VROdvwGtmECCNDpcnzX8uw_3_2"/>
      <w:bookmarkStart w:id="670" w:name="Tc_FARW0ir9uEiTa2LP5Er9sw_3_0"/>
      <w:bookmarkStart w:id="671" w:name="Tc_heqF_bJsDUSEmA_qIO9H7A_2_8"/>
      <w:bookmarkStart w:id="672" w:name="Tc_vx1nRHiC3UaykeFT8MkALw_2_5"/>
      <w:bookmarkStart w:id="673" w:name="Tc_iSKjyMn-2Ea8PjX80q-_nw_2_2"/>
      <w:bookmarkStart w:id="674" w:name="Tc_ydmihG_Nh0W4qg09NZXpqQ_1_8"/>
      <w:bookmarkStart w:id="675" w:name="Tc_EcH9yNJpsEqfdKOtquG9fw_1_5"/>
      <w:bookmarkStart w:id="676" w:name="Tc_f89PKxxTHEycv4M9CXBnGw_1_2"/>
      <w:bookmarkStart w:id="677" w:name="_359a9812_fb47_4e2d_a6ad_482fc19f4e58"/>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ascii="Times New Roman;Times;serif" w:hAnsi="Times New Roman;Times;serif"/>
          <w:b/>
          <w:i w:val="false"/>
          <w:caps w:val="false"/>
          <w:smallCaps w:val="false"/>
          <w:sz w:val="20"/>
        </w:rPr>
        <w:t>7.</w:t>
      </w:r>
      <w:r>
        <w:rPr>
          <w:rFonts w:ascii="Times New Roman;Times;serif" w:hAnsi="Times New Roman;Times;serif"/>
          <w:b/>
          <w:sz w:val="20"/>
        </w:rPr>
        <w:t>Exploration and Evaluation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detail of exploration and evaluation expenses is as follows:</w:t>
      </w:r>
    </w:p>
    <w:p>
      <w:pPr>
        <w:pStyle w:val="TextBody"/>
        <w:bidi w:val="0"/>
        <w:spacing w:before="0" w:after="0"/>
        <w:ind w:left="0" w:right="0" w:hanging="0"/>
        <w:jc w:val="left"/>
        <w:rPr/>
      </w:pPr>
      <w:r>
        <w:rPr/>
        <w:t>​</w:t>
      </w:r>
    </w:p>
    <w:tbl>
      <w:tblPr>
        <w:tblW w:w="9440" w:type="dxa"/>
        <w:jc w:val="left"/>
        <w:tblInd w:w="0" w:type="dxa"/>
        <w:tblLayout w:type="fixed"/>
        <w:tblCellMar>
          <w:top w:w="0" w:type="dxa"/>
          <w:left w:w="0" w:type="dxa"/>
          <w:bottom w:w="0" w:type="dxa"/>
          <w:right w:w="0" w:type="dxa"/>
        </w:tblCellMar>
      </w:tblPr>
      <w:tblGrid>
        <w:gridCol w:w="4396"/>
        <w:gridCol w:w="326"/>
        <w:gridCol w:w="263"/>
        <w:gridCol w:w="713"/>
        <w:gridCol w:w="326"/>
        <w:gridCol w:w="299"/>
        <w:gridCol w:w="602"/>
        <w:gridCol w:w="326"/>
        <w:gridCol w:w="325"/>
        <w:gridCol w:w="651"/>
        <w:gridCol w:w="326"/>
        <w:gridCol w:w="211"/>
        <w:gridCol w:w="67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791460" cy="175260"/>
                      <wp:effectExtent l="0" t="0" r="0" b="0"/>
                      <wp:wrapNone/>
                      <wp:docPr id="83" name="Frame83"/>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7005" cy="175260"/>
                      <wp:effectExtent l="0" t="0" r="0" b="0"/>
                      <wp:wrapNone/>
                      <wp:docPr id="85" name="Frame8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52755" cy="175260"/>
                      <wp:effectExtent l="0" t="0" r="0" b="0"/>
                      <wp:wrapNone/>
                      <wp:docPr id="86" name="Frame86"/>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9865" cy="175260"/>
                      <wp:effectExtent l="0" t="0" r="0" b="0"/>
                      <wp:wrapNone/>
                      <wp:docPr id="88" name="Frame8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82270" cy="175260"/>
                      <wp:effectExtent l="0" t="0" r="0" b="0"/>
                      <wp:wrapNone/>
                      <wp:docPr id="89" name="Frame89"/>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6375" cy="175260"/>
                      <wp:effectExtent l="0" t="0" r="0" b="0"/>
                      <wp:wrapNone/>
                      <wp:docPr id="91" name="Frame9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13385" cy="175260"/>
                      <wp:effectExtent l="0" t="0" r="0" b="0"/>
                      <wp:wrapNone/>
                      <wp:docPr id="92" name="Frame92"/>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5"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NORI</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Marawa</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TOML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three months ended March 31, 2023</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 </w:t>
            </w:r>
          </w:p>
        </w:tc>
        <w:tc>
          <w:tcPr>
            <w:tcW w:w="325"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i/>
                <w:sz w:val="20"/>
              </w:rPr>
              <w:t>(Note 9)</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5"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Sponsorship, Training and Stakeholder Engagement </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pPr>
            <w:r>
              <w:rPr/>
              <w:t> </w:t>
            </w:r>
          </w:p>
        </w:tc>
        <w:tc>
          <w:tcPr>
            <w:tcW w:w="325"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6,432</w:t>
            </w:r>
          </w:p>
        </w:tc>
        <w:tc>
          <w:tcPr>
            <w:tcW w:w="326" w:type="dxa"/>
            <w:tcBorders/>
            <w:vAlign w:val="center"/>
          </w:tcPr>
          <w:p>
            <w:pPr>
              <w:pStyle w:val="TableContents"/>
              <w:bidi w:val="0"/>
              <w:spacing w:before="0" w:after="1"/>
              <w:ind w:left="0" w:right="0" w:hanging="0"/>
              <w:jc w:val="left"/>
              <w:rPr/>
            </w:pPr>
            <w:r>
              <w:rPr/>
              <w:t> </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w:t>
            </w:r>
          </w:p>
        </w:tc>
        <w:tc>
          <w:tcPr>
            <w:tcW w:w="326" w:type="dxa"/>
            <w:tcBorders/>
            <w:vAlign w:val="center"/>
          </w:tcPr>
          <w:p>
            <w:pPr>
              <w:pStyle w:val="TableContents"/>
              <w:bidi w:val="0"/>
              <w:spacing w:before="0" w:after="1"/>
              <w:ind w:left="0" w:right="0" w:hanging="0"/>
              <w:jc w:val="left"/>
              <w:rPr/>
            </w:pPr>
            <w:r>
              <w:rPr/>
              <w:t> </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7,169</w:t>
            </w:r>
          </w:p>
        </w:tc>
      </w:tr>
    </w:tbl>
    <w:p>
      <w:pPr>
        <w:pStyle w:val="TextBody"/>
        <w:bidi w:val="0"/>
        <w:spacing w:before="0" w:after="240"/>
        <w:ind w:left="0" w:right="0" w:firstLine="360"/>
        <w:jc w:val="both"/>
        <w:rPr/>
      </w:pPr>
      <w:r>
        <w:rPr/>
        <w:t>​</w:t>
      </w:r>
    </w:p>
    <w:tbl>
      <w:tblPr>
        <w:tblW w:w="9395" w:type="dxa"/>
        <w:jc w:val="left"/>
        <w:tblInd w:w="0" w:type="dxa"/>
        <w:tblLayout w:type="fixed"/>
        <w:tblCellMar>
          <w:top w:w="0" w:type="dxa"/>
          <w:left w:w="0" w:type="dxa"/>
          <w:bottom w:w="0" w:type="dxa"/>
          <w:right w:w="0" w:type="dxa"/>
        </w:tblCellMar>
      </w:tblPr>
      <w:tblGrid>
        <w:gridCol w:w="4351"/>
        <w:gridCol w:w="326"/>
        <w:gridCol w:w="263"/>
        <w:gridCol w:w="713"/>
        <w:gridCol w:w="326"/>
        <w:gridCol w:w="299"/>
        <w:gridCol w:w="602"/>
        <w:gridCol w:w="326"/>
        <w:gridCol w:w="325"/>
        <w:gridCol w:w="651"/>
        <w:gridCol w:w="326"/>
        <w:gridCol w:w="211"/>
        <w:gridCol w:w="676"/>
      </w:tblGrid>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NORI</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Marawa</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TOML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4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43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three months ended March 31, 2022</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w:t>
            </w:r>
          </w:p>
        </w:tc>
        <w:tc>
          <w:tcPr>
            <w:tcW w:w="326" w:type="dxa"/>
            <w:tcBorders/>
            <w:shd w:fill="CCEEFF" w:val="clear"/>
            <w:vAlign w:val="center"/>
          </w:tcPr>
          <w:p>
            <w:pPr>
              <w:pStyle w:val="TableContents"/>
              <w:bidi w:val="0"/>
              <w:spacing w:before="0" w:after="1"/>
              <w:ind w:left="0" w:right="0" w:hanging="0"/>
              <w:jc w:val="righ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vAlign w:val="center"/>
          </w:tcPr>
          <w:p>
            <w:pPr>
              <w:pStyle w:val="TableContents"/>
              <w:bidi w:val="0"/>
              <w:spacing w:before="0" w:after="1"/>
              <w:ind w:left="0" w:right="0" w:hanging="0"/>
              <w:jc w:val="right"/>
              <w:rPr/>
            </w:pPr>
            <w:r>
              <w:rPr/>
              <w:t>​</w:t>
            </w:r>
          </w:p>
        </w:tc>
        <w:tc>
          <w:tcPr>
            <w:tcW w:w="299" w:type="dxa"/>
            <w:tcBorders/>
            <w:vAlign w:val="center"/>
          </w:tcPr>
          <w:p>
            <w:pPr>
              <w:pStyle w:val="TableContents"/>
              <w:bidi w:val="0"/>
              <w:spacing w:before="0" w:after="1"/>
              <w:ind w:left="0" w:right="0" w:hanging="0"/>
              <w:jc w:val="righ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righ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i/>
                <w:sz w:val="20"/>
              </w:rPr>
              <w:t>(Note 9)</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right"/>
              <w:rPr/>
            </w:pPr>
            <w:r>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w:t>
            </w:r>
          </w:p>
        </w:tc>
        <w:tc>
          <w:tcPr>
            <w:tcW w:w="326" w:type="dxa"/>
            <w:tcBorders/>
            <w:shd w:fill="CCEEFF" w:val="clear"/>
            <w:vAlign w:val="center"/>
          </w:tcPr>
          <w:p>
            <w:pPr>
              <w:pStyle w:val="TableContents"/>
              <w:bidi w:val="0"/>
              <w:spacing w:before="0" w:after="1"/>
              <w:ind w:left="0" w:right="0" w:hanging="0"/>
              <w:jc w:val="right"/>
              <w:rPr/>
            </w:pPr>
            <w:r>
              <w:rPr/>
              <w:t> </w:t>
            </w:r>
          </w:p>
        </w:tc>
        <w:tc>
          <w:tcPr>
            <w:tcW w:w="299" w:type="dxa"/>
            <w:tcBorders/>
            <w:shd w:fill="CCEEFF" w:val="clear"/>
            <w:vAlign w:val="center"/>
          </w:tcPr>
          <w:p>
            <w:pPr>
              <w:pStyle w:val="TableContents"/>
              <w:bidi w:val="0"/>
              <w:spacing w:before="0" w:after="1"/>
              <w:ind w:left="0" w:right="0" w:hanging="0"/>
              <w:jc w:val="righ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shd w:fill="CCEEFF" w:val="clear"/>
            <w:vAlign w:val="center"/>
          </w:tcPr>
          <w:p>
            <w:pPr>
              <w:pStyle w:val="TableContents"/>
              <w:bidi w:val="0"/>
              <w:spacing w:before="0" w:after="1"/>
              <w:ind w:left="0" w:right="0" w:hanging="0"/>
              <w:jc w:val="right"/>
              <w:rPr/>
            </w:pPr>
            <w:r>
              <w:rPr/>
              <w:t> </w:t>
            </w:r>
          </w:p>
        </w:tc>
        <w:tc>
          <w:tcPr>
            <w:tcW w:w="325" w:type="dxa"/>
            <w:tcBorders/>
            <w:shd w:fill="CCEEFF" w:val="clear"/>
            <w:vAlign w:val="center"/>
          </w:tcPr>
          <w:p>
            <w:pPr>
              <w:pStyle w:val="TableContents"/>
              <w:bidi w:val="0"/>
              <w:spacing w:before="0" w:after="1"/>
              <w:ind w:left="0" w:right="0" w:hanging="0"/>
              <w:jc w:val="right"/>
              <w:rPr/>
            </w:pPr>
            <w:r>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2,899</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righ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vAlign w:val="center"/>
          </w:tcPr>
          <w:p>
            <w:pPr>
              <w:pStyle w:val="TableContents"/>
              <w:bidi w:val="0"/>
              <w:spacing w:before="0" w:after="1"/>
              <w:ind w:left="0" w:right="0" w:hanging="0"/>
              <w:jc w:val="right"/>
              <w:rPr/>
            </w:pPr>
            <w:r>
              <w:rPr/>
              <w:t> </w:t>
            </w:r>
          </w:p>
        </w:tc>
        <w:tc>
          <w:tcPr>
            <w:tcW w:w="299" w:type="dxa"/>
            <w:tcBorders/>
            <w:vAlign w:val="center"/>
          </w:tcPr>
          <w:p>
            <w:pPr>
              <w:pStyle w:val="TableContents"/>
              <w:bidi w:val="0"/>
              <w:spacing w:before="0" w:after="1"/>
              <w:ind w:left="0" w:right="0" w:hanging="0"/>
              <w:jc w:val="righ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right"/>
              <w:rPr/>
            </w:pPr>
            <w:r>
              <w:rPr/>
              <w:t> </w:t>
            </w:r>
          </w:p>
        </w:tc>
        <w:tc>
          <w:tcPr>
            <w:tcW w:w="325" w:type="dxa"/>
            <w:tcBorders/>
            <w:vAlign w:val="center"/>
          </w:tcPr>
          <w:p>
            <w:pPr>
              <w:pStyle w:val="TableContents"/>
              <w:bidi w:val="0"/>
              <w:spacing w:before="0" w:after="1"/>
              <w:ind w:left="0" w:right="0" w:hanging="0"/>
              <w:jc w:val="righ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right"/>
              <w:rPr/>
            </w:pPr>
            <w:r>
              <w:rPr/>
              <w:t> </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PMTS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right"/>
              <w:rPr/>
            </w:pPr>
            <w:r>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326" w:type="dxa"/>
            <w:tcBorders/>
            <w:shd w:fill="CCEEFF" w:val="clear"/>
            <w:vAlign w:val="center"/>
          </w:tcPr>
          <w:p>
            <w:pPr>
              <w:pStyle w:val="TableContents"/>
              <w:bidi w:val="0"/>
              <w:spacing w:before="0" w:after="1"/>
              <w:ind w:left="0" w:right="0" w:hanging="0"/>
              <w:jc w:val="right"/>
              <w:rPr/>
            </w:pPr>
            <w:r>
              <w:rPr/>
              <w:t> </w:t>
            </w:r>
          </w:p>
        </w:tc>
        <w:tc>
          <w:tcPr>
            <w:tcW w:w="299" w:type="dxa"/>
            <w:tcBorders/>
            <w:shd w:fill="CCEEFF" w:val="clear"/>
            <w:vAlign w:val="center"/>
          </w:tcPr>
          <w:p>
            <w:pPr>
              <w:pStyle w:val="TableContents"/>
              <w:bidi w:val="0"/>
              <w:spacing w:before="0" w:after="1"/>
              <w:ind w:left="0" w:right="0" w:hanging="0"/>
              <w:jc w:val="righ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1"/>
              <w:ind w:left="0" w:right="0" w:hanging="0"/>
              <w:jc w:val="right"/>
              <w:rPr/>
            </w:pPr>
            <w:r>
              <w:rPr/>
              <w:t> </w:t>
            </w:r>
          </w:p>
        </w:tc>
        <w:tc>
          <w:tcPr>
            <w:tcW w:w="325" w:type="dxa"/>
            <w:tcBorders/>
            <w:shd w:fill="CCEEFF" w:val="clear"/>
            <w:vAlign w:val="center"/>
          </w:tcPr>
          <w:p>
            <w:pPr>
              <w:pStyle w:val="TableContents"/>
              <w:bidi w:val="0"/>
              <w:spacing w:before="0" w:after="1"/>
              <w:ind w:left="0" w:right="0" w:hanging="0"/>
              <w:jc w:val="right"/>
              <w:rPr/>
            </w:pPr>
            <w:r>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righ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1"/>
              <w:ind w:left="0" w:right="0" w:hanging="0"/>
              <w:jc w:val="right"/>
              <w:rPr/>
            </w:pPr>
            <w:r>
              <w:rPr/>
              <w:t>​</w:t>
            </w:r>
          </w:p>
        </w:tc>
        <w:tc>
          <w:tcPr>
            <w:tcW w:w="299" w:type="dxa"/>
            <w:tcBorders/>
            <w:vAlign w:val="center"/>
          </w:tcPr>
          <w:p>
            <w:pPr>
              <w:pStyle w:val="TableContents"/>
              <w:bidi w:val="0"/>
              <w:spacing w:before="0" w:after="1"/>
              <w:ind w:left="0" w:right="0" w:hanging="0"/>
              <w:jc w:val="righ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righ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1"/>
              <w:ind w:left="0" w:right="0" w:hanging="0"/>
              <w:jc w:val="righ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righ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5,766</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830</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7,441</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 xml:space="preserve">Warrants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issued 15,000,000 common share warrants as part of its predecessor’s initial public offering in May 2020 (“Public Warrants”) and 9,500,000 private placement common share warrants in a private placement simultaneously with the closing of its predecessor’s initial public offering (“Private Warrants”).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15,000,000 (March 31, 2022 - 15,000,000) Public Warrants were outstanding. Public Warrants may only be exercised for a whole number of shares.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the value of outstanding Public Warrants of $19.5 million was recorded in additional paid 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i/>
          <w:sz w:val="20"/>
        </w:rPr>
      </w:pPr>
      <w:bookmarkStart w:id="678" w:name="Tc_ApghLSoDs020FOU18q8qLA_8_7"/>
      <w:bookmarkStart w:id="679" w:name="Tc_oFzeNOvhD0eeU4qbEQyuUg_8_4"/>
      <w:bookmarkStart w:id="680" w:name="Tc_K11lb77ugU-Cdj2J8EYMag_8_0"/>
      <w:bookmarkStart w:id="681" w:name="Tc_1jZCLe3ggESy-_h1_Xklvg_7_7"/>
      <w:bookmarkStart w:id="682" w:name="Tc_4cW-Rb3AzUyVkxskWia90w_7_4"/>
      <w:bookmarkStart w:id="683" w:name="Tc_7jxnI8MeYEaw8yXD3Z-PqA_7_0"/>
      <w:bookmarkStart w:id="684" w:name="Tc_sHhI-Ar_uk6Ma3gtFBM-Nw_6_0"/>
      <w:bookmarkStart w:id="685" w:name="Tc_TFPvWhfeI0GIf-VzGAUmmA_5_7"/>
      <w:bookmarkStart w:id="686" w:name="Tc_DuHer7J2VUqRilQM8GGmJw_5_4"/>
      <w:bookmarkStart w:id="687" w:name="Tc_dVIjlIJdVEK42T7En5GYXw_5_0"/>
      <w:bookmarkStart w:id="688" w:name="Tc_t4QFmGqmaE2NQXs2S23qaw_4_5"/>
      <w:bookmarkStart w:id="689" w:name="Tc_ONW8Xp6QE0G4lC_s-RaaJg_4_2"/>
      <w:bookmarkStart w:id="690" w:name="Tc_Y_DVuhAeUUGd1klosbyDuA_4_0"/>
      <w:bookmarkStart w:id="691" w:name="Tc_iewiP3OBtkaY5qhWh3bmdg_3_5"/>
      <w:bookmarkStart w:id="692" w:name="Tc_hhhRahf0cUa3ox5B2YNxhQ_3_2"/>
      <w:bookmarkStart w:id="693" w:name="Tc_huCBtO3XY0SflEF0Iqv7pA_3_0"/>
      <w:bookmarkStart w:id="694" w:name="Tc_5wZ_wY6yi0SdI3weqn70CQ_2_5"/>
      <w:bookmarkStart w:id="695" w:name="Tc_XGGtlwmk30aSvuGDFbB8hg_2_2"/>
      <w:bookmarkStart w:id="696" w:name="Tc_SNQ10Rok1U-YEcm9Yoyojw_1_5"/>
      <w:bookmarkStart w:id="697" w:name="Tc_yRfXzqw5G0eNhS2_PxTNVw_1_2"/>
      <w:bookmarkStart w:id="698" w:name="Tc_uXw7Qd1gCkmWTv3cVE-j8w_5_2"/>
      <w:bookmarkStart w:id="699" w:name="Tc_mnoiW2-vFkSgIZlnEaPvNw_5_0"/>
      <w:bookmarkStart w:id="700" w:name="Tc_5JZZUS0w1Ua3FYTRbJvsiw_4_0"/>
      <w:bookmarkStart w:id="701" w:name="Tc_ixSykB26m0a8lw79ctE_7A_3_2"/>
      <w:bookmarkStart w:id="702" w:name="Tc_JazRfbd01kurZ7jWzOIfQg_3_0"/>
      <w:bookmarkStart w:id="703" w:name="Tc_VLEKO8M2PkC2xh6jIGG-fg_2_2"/>
      <w:bookmarkStart w:id="704" w:name="Tc_H8wtSNWM30CBX4fsoVbgcA_1_2"/>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Pr>
          <w:rFonts w:ascii="Times New Roman;Times;serif" w:hAnsi="Times New Roman;Times;serif"/>
          <w:b/>
          <w:i/>
          <w:sz w:val="20"/>
        </w:rPr>
        <w:t>Private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9,500,000 Private Warrants were outstanding (December 31, 2022 - 9,500,000).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the fair value of outstanding Private Warrants of $1.5 million is recorded as warrants liability. The following table presents the changes in the fair value of warrants liability:</w:t>
      </w:r>
    </w:p>
    <w:p>
      <w:pPr>
        <w:pStyle w:val="TextBody"/>
        <w:bidi w:val="0"/>
        <w:spacing w:before="0" w:after="0"/>
        <w:ind w:left="0" w:right="0" w:hanging="0"/>
        <w:jc w:val="left"/>
        <w:rPr/>
      </w:pPr>
      <w:r>
        <w:rPr/>
        <w:t>​</w:t>
      </w:r>
    </w:p>
    <w:tbl>
      <w:tblPr>
        <w:tblW w:w="4784" w:type="dxa"/>
        <w:jc w:val="left"/>
        <w:tblInd w:w="0" w:type="dxa"/>
        <w:tblLayout w:type="fixed"/>
        <w:tblCellMar>
          <w:top w:w="0" w:type="dxa"/>
          <w:left w:w="0" w:type="dxa"/>
          <w:bottom w:w="0" w:type="dxa"/>
          <w:right w:w="0" w:type="dxa"/>
        </w:tblCellMar>
      </w:tblPr>
      <w:tblGrid>
        <w:gridCol w:w="3571"/>
        <w:gridCol w:w="326"/>
        <w:gridCol w:w="211"/>
        <w:gridCol w:w="676"/>
      </w:tblGrid>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Private</w:t>
            </w:r>
          </w:p>
        </w:tc>
      </w:tr>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 as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fair value of warrants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Warrants liability as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1,527</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the fair value of the Private Warrants was estimated using the following assumptions:</w:t>
      </w:r>
    </w:p>
    <w:p>
      <w:pPr>
        <w:pStyle w:val="TextBody"/>
        <w:bidi w:val="0"/>
        <w:spacing w:before="0" w:after="0"/>
        <w:ind w:left="0" w:right="0" w:hanging="0"/>
        <w:jc w:val="left"/>
        <w:rPr/>
      </w:pPr>
      <w:r>
        <w:rPr/>
        <w:t>​</w:t>
      </w:r>
    </w:p>
    <w:tbl>
      <w:tblPr>
        <w:tblW w:w="4359" w:type="dxa"/>
        <w:jc w:val="left"/>
        <w:tblInd w:w="0" w:type="dxa"/>
        <w:tblLayout w:type="fixed"/>
        <w:tblCellMar>
          <w:top w:w="0" w:type="dxa"/>
          <w:left w:w="0" w:type="dxa"/>
          <w:bottom w:w="0" w:type="dxa"/>
          <w:right w:w="0" w:type="dxa"/>
        </w:tblCellMar>
      </w:tblPr>
      <w:tblGrid>
        <w:gridCol w:w="1351"/>
        <w:gridCol w:w="326"/>
        <w:gridCol w:w="242"/>
        <w:gridCol w:w="658"/>
        <w:gridCol w:w="326"/>
        <w:gridCol w:w="307"/>
        <w:gridCol w:w="833"/>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57885" cy="175260"/>
                      <wp:effectExtent l="0" t="0" r="0" b="0"/>
                      <wp:wrapNone/>
                      <wp:docPr id="96" name="Frame9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3670" cy="175260"/>
                      <wp:effectExtent l="0" t="0" r="0" b="0"/>
                      <wp:wrapNone/>
                      <wp:docPr id="98" name="Frame9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17830" cy="175260"/>
                      <wp:effectExtent l="0" t="0" r="0" b="0"/>
                      <wp:wrapNone/>
                      <wp:docPr id="99" name="Frame99"/>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4945" cy="175260"/>
                      <wp:effectExtent l="0" t="0" r="0" b="0"/>
                      <wp:wrapNone/>
                      <wp:docPr id="101" name="Frame10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28955" cy="175260"/>
                      <wp:effectExtent l="0" t="0" r="0" b="0"/>
                      <wp:wrapNone/>
                      <wp:docPr id="102" name="Frame102"/>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0660" cy="175260"/>
                      <wp:effectExtent l="0" t="0" r="0" b="0"/>
                      <wp:wrapNone/>
                      <wp:docPr id="103" name="Frame1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11.50</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0.83</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99.52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(years)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3.44</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360" w:right="0" w:firstLine="36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exercises or redemptions of the Public Warrants or Private Warrants during the period ended March 31, 2023.</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Allseas Warrant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Allseas holds a warrant (the “Allseas Warrant”) to purchase 11.6 million common shares of the Company. The Allseas Warrant vested and became exercisable upon the successful completion of the PMTS in November 2022 and will expire on September 30, 2026.</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There were no exercises of any warrants during the first quarter of 2023.</w:t>
      </w:r>
    </w:p>
    <w:p>
      <w:pPr>
        <w:pStyle w:val="TextBody"/>
        <w:bidi w:val="0"/>
        <w:spacing w:before="0" w:after="240"/>
        <w:ind w:left="36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05" w:name="Tc_GOI8T93uPUugmKDjBdKCmg_7_0"/>
      <w:bookmarkStart w:id="706" w:name="Tc_2rte9SLNFE-hcRlfFeCjHw_6_0"/>
      <w:bookmarkStart w:id="707" w:name="Tc_ySfWwXt3W0eTwiICm7c4ag_5_0"/>
      <w:bookmarkStart w:id="708" w:name="Tc_dv_V3WGhdkazxkc5Xb-jtA_4_0"/>
      <w:bookmarkStart w:id="709" w:name="Tc_H0WZkpO10EK14N5UbiazvQ_3_4"/>
      <w:bookmarkStart w:id="710" w:name="Tc_7FFDHonpo0yVbkighENyyw_3_2"/>
      <w:bookmarkStart w:id="711" w:name="Tc_FRPDq450z0-Wz_nMrGKXow_3_0"/>
      <w:bookmarkStart w:id="712" w:name="Tc_2lXIECoUcka6CtBEXSrlzg_2_4"/>
      <w:bookmarkStart w:id="713" w:name="Tc_LH2XJYd5v0mwIeGMghM26Q_2_2"/>
      <w:bookmarkStart w:id="714" w:name="Tc_DNDo5rhYKEyL0JfP7Pa1Aw_1_4"/>
      <w:bookmarkStart w:id="715" w:name="Tc_5QeQ4vlbK025Wsf1tdLAdg_1_2"/>
      <w:bookmarkEnd w:id="705"/>
      <w:bookmarkEnd w:id="706"/>
      <w:bookmarkEnd w:id="707"/>
      <w:bookmarkEnd w:id="708"/>
      <w:bookmarkEnd w:id="709"/>
      <w:bookmarkEnd w:id="710"/>
      <w:bookmarkEnd w:id="711"/>
      <w:bookmarkEnd w:id="712"/>
      <w:bookmarkEnd w:id="713"/>
      <w:bookmarkEnd w:id="714"/>
      <w:bookmarkEnd w:id="715"/>
      <w:r>
        <w:rPr>
          <w:rFonts w:ascii="Times New Roman;Times;serif" w:hAnsi="Times New Roman;Times;serif"/>
          <w:b/>
          <w:i w:val="false"/>
          <w:caps w:val="false"/>
          <w:smallCaps w:val="false"/>
          <w:sz w:val="20"/>
        </w:rPr>
        <w:t>9.</w:t>
      </w:r>
      <w:r>
        <w:rPr>
          <w:rFonts w:ascii="Times New Roman;Times;serif" w:hAnsi="Times New Roman;Times;serif"/>
          <w:b/>
          <w:sz w:val="20"/>
        </w:rPr>
        <w:t>Share-Based Compensation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2021 Incentive Equity Plan (the “Plan”) provides that the aggregate number of common shares reserved for future issuance under the Plan as of March 31, 2023,is 44,732,170 common shares, including 10,672,485 shares added to the Plan in January 2023 pursuant to the Plan’s automatic annual increase provision,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2023, there were 15,356,340 stock options outstanding under the Company’s Short-Term Incentive Plan (“STIP”) and 9,783,922 stock options outstanding under the Company’s Long-Term Incentive Plan (“LTIP”). No stock options were issued or exercised during the three months ended March 31, 2023. During the three months ended March 31, 2023, the Company recognized $0.2 million (three months ended March 31, 2022 - $3.9 million) of share-based compensation expense for stock options in the statement of loss and comprehensive loss, of which $0.1 million (three months ended March 31, 2022 - $2 million) was recorded in exploration and evaluation expenses and $0.1 million (three months ended March 31, 2022 - $1.9 million) was recorded in general and administration expenses.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Restricted Share Units</w:t>
      </w:r>
    </w:p>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The details of RSUs granted by the Company during the three months ended March 31, 2023 and 2022 are as follows:</w:t>
      </w:r>
    </w:p>
    <w:p>
      <w:pPr>
        <w:pStyle w:val="TextBody"/>
        <w:bidi w:val="0"/>
        <w:spacing w:before="0" w:after="0"/>
        <w:ind w:left="0" w:right="0" w:hanging="0"/>
        <w:jc w:val="left"/>
        <w:rPr/>
      </w:pPr>
      <w:r>
        <w:rPr/>
        <w:t>​</w:t>
      </w:r>
    </w:p>
    <w:tbl>
      <w:tblPr>
        <w:tblW w:w="8050" w:type="dxa"/>
        <w:jc w:val="left"/>
        <w:tblInd w:w="0" w:type="dxa"/>
        <w:tblLayout w:type="fixed"/>
        <w:tblCellMar>
          <w:top w:w="0" w:type="dxa"/>
          <w:left w:w="0" w:type="dxa"/>
          <w:bottom w:w="0" w:type="dxa"/>
          <w:right w:w="0" w:type="dxa"/>
        </w:tblCellMar>
      </w:tblPr>
      <w:tblGrid>
        <w:gridCol w:w="4711"/>
        <w:gridCol w:w="326"/>
        <w:gridCol w:w="1321"/>
        <w:gridCol w:w="326"/>
        <w:gridCol w:w="1366"/>
      </w:tblGrid>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center"/>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w:t>
            </w:r>
          </w:p>
        </w:tc>
      </w:tr>
      <w:tr>
        <w:trPr/>
        <w:tc>
          <w:tcPr>
            <w:tcW w:w="47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ended March 31,</w:t>
            </w:r>
          </w:p>
        </w:tc>
        <w:tc>
          <w:tcPr>
            <w:tcW w:w="32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ended March 31,</w:t>
            </w:r>
          </w:p>
        </w:tc>
      </w:tr>
      <w:tr>
        <w:trPr/>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Vesting Period</w:t>
            </w:r>
          </w:p>
        </w:tc>
        <w:tc>
          <w:tcPr>
            <w:tcW w:w="326" w:type="dxa"/>
            <w:tcBorders/>
            <w:vAlign w:val="center"/>
          </w:tcPr>
          <w:p>
            <w:pPr>
              <w:pStyle w:val="TableContents"/>
              <w:bidi w:val="0"/>
              <w:spacing w:before="0" w:after="0"/>
              <w:ind w:left="0" w:right="0" w:hanging="0"/>
              <w:jc w:val="center"/>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Immediately </w:t>
            </w:r>
            <w:r>
              <w:rPr>
                <w:rFonts w:ascii="Times New Roman;Times;serif" w:hAnsi="Times New Roman;Times;serif"/>
                <w:sz w:val="15"/>
              </w:rPr>
              <w:t>(1) (2)</w:t>
            </w:r>
          </w:p>
        </w:tc>
        <w:tc>
          <w:tcPr>
            <w:tcW w:w="326" w:type="dxa"/>
            <w:tcBorders/>
            <w:shd w:fill="CCEEFF" w:val="clear"/>
            <w:vAlign w:val="center"/>
          </w:tcPr>
          <w:p>
            <w:pPr>
              <w:pStyle w:val="TableContents"/>
              <w:bidi w:val="0"/>
              <w:spacing w:before="0" w:after="0"/>
              <w:ind w:left="0" w:right="0" w:hanging="0"/>
              <w:jc w:val="center"/>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3,237,710</w:t>
            </w:r>
          </w:p>
        </w:tc>
        <w:tc>
          <w:tcPr>
            <w:tcW w:w="326" w:type="dxa"/>
            <w:tcBorders/>
            <w:shd w:fill="CCEEFF" w:val="clear"/>
            <w:vAlign w:val="center"/>
          </w:tcPr>
          <w:p>
            <w:pPr>
              <w:pStyle w:val="TableContents"/>
              <w:bidi w:val="0"/>
              <w:spacing w:before="0" w:after="0"/>
              <w:ind w:left="0" w:right="0" w:hanging="0"/>
              <w:jc w:val="center"/>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1,457,404</w:t>
            </w:r>
          </w:p>
        </w:tc>
      </w:tr>
      <w:tr>
        <w:trPr/>
        <w:tc>
          <w:tcPr>
            <w:tcW w:w="47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in thirds on each anniversary of the grant date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8,683,486</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369,394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fourths on each anniversary of the grant date</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343,750</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527,800</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Units Granted</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12,264,946</w:t>
            </w:r>
          </w:p>
        </w:tc>
        <w:tc>
          <w:tcPr>
            <w:tcW w:w="32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2,354,598</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3,237,710</w:t>
            </w:r>
            <w:r>
              <w:rPr>
                <w:caps w:val="false"/>
                <w:smallCaps w:val="false"/>
              </w:rPr>
              <w:t xml:space="preserve"> </w:t>
            </w:r>
            <w:r>
              <w:rPr>
                <w:rFonts w:ascii="Times New Roman;Times;serif" w:hAnsi="Times New Roman;Times;serif"/>
                <w:b w:val="false"/>
                <w:i w:val="false"/>
                <w:caps w:val="false"/>
                <w:smallCaps w:val="false"/>
                <w:sz w:val="20"/>
              </w:rPr>
              <w:t>units vesting immediately on grant date, 3,222,086</w:t>
            </w:r>
            <w:r>
              <w:rPr>
                <w:caps w:val="false"/>
                <w:smallCaps w:val="false"/>
              </w:rPr>
              <w:t xml:space="preserve"> </w:t>
            </w:r>
            <w:r>
              <w:rPr>
                <w:rFonts w:ascii="Times New Roman;Times;serif" w:hAnsi="Times New Roman;Times;serif"/>
                <w:b w:val="false"/>
                <w:i w:val="false"/>
                <w:caps w:val="false"/>
                <w:smallCaps w:val="false"/>
                <w:sz w:val="20"/>
              </w:rPr>
              <w:t>units were issued to settle liabilities with a carrying amount of</w:t>
            </w:r>
            <w:r>
              <w:rPr>
                <w:caps w:val="false"/>
                <w:smallCaps w:val="false"/>
              </w:rPr>
              <w:t xml:space="preserve"> </w:t>
            </w:r>
            <w:r>
              <w:rPr>
                <w:rFonts w:ascii="Times New Roman;Times;serif" w:hAnsi="Times New Roman;Times;serif"/>
                <w:b w:val="false"/>
                <w:i w:val="false"/>
                <w:caps w:val="false"/>
                <w:smallCaps w:val="false"/>
                <w:sz w:val="20"/>
              </w:rPr>
              <w:t>$2.9</w:t>
            </w:r>
            <w:r>
              <w:rPr>
                <w:caps w:val="false"/>
                <w:smallCaps w:val="false"/>
              </w:rPr>
              <w:t xml:space="preserve"> </w:t>
            </w:r>
            <w:r>
              <w:rPr>
                <w:rFonts w:ascii="Times New Roman;Times;serif" w:hAnsi="Times New Roman;Times;serif"/>
                <w:b w:val="false"/>
                <w:i w:val="false"/>
                <w:caps w:val="false"/>
                <w:smallCaps w:val="false"/>
                <w:sz w:val="20"/>
              </w:rPr>
              <w:t>million, at a weighted average grant date fair value of</w:t>
            </w:r>
            <w:r>
              <w:rPr>
                <w:caps w:val="false"/>
                <w:smallCaps w:val="false"/>
              </w:rPr>
              <w:t xml:space="preserve"> </w:t>
            </w:r>
            <w:r>
              <w:rPr>
                <w:rFonts w:ascii="Times New Roman;Times;serif" w:hAnsi="Times New Roman;Times;serif"/>
                <w:b w:val="false"/>
                <w:i w:val="false"/>
                <w:caps w:val="false"/>
                <w:smallCaps w:val="false"/>
                <w:sz w:val="20"/>
              </w:rPr>
              <w:t>$0.89</w:t>
            </w:r>
            <w:r>
              <w:rPr>
                <w:caps w:val="false"/>
                <w:smallCaps w:val="false"/>
              </w:rPr>
              <w:t xml:space="preserve"> </w:t>
            </w:r>
            <w:r>
              <w:rPr>
                <w:rFonts w:ascii="Times New Roman;Times;serif" w:hAnsi="Times New Roman;Times;serif"/>
                <w:b w:val="false"/>
                <w:i w:val="false"/>
                <w:caps w:val="false"/>
                <w:smallCaps w:val="false"/>
                <w:sz w:val="20"/>
              </w:rPr>
              <w:t>per RSU.</w:t>
            </w:r>
          </w:p>
        </w:tc>
      </w:tr>
    </w:tbl>
    <w:tbl>
      <w:tblPr>
        <w:tblW w:w="10205" w:type="dxa"/>
        <w:jc w:val="left"/>
        <w:tblInd w:w="0" w:type="dxa"/>
        <w:tblLayout w:type="fixed"/>
        <w:tblCellMar>
          <w:top w:w="28" w:type="dxa"/>
          <w:left w:w="28" w:type="dxa"/>
          <w:bottom w:w="28" w:type="dxa"/>
          <w:right w:w="28"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3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March 31, 2023, units granted to consultants, which vest immediately, included</w:t>
            </w:r>
            <w:r>
              <w:rPr>
                <w:caps w:val="false"/>
                <w:smallCaps w:val="false"/>
              </w:rPr>
              <w:t xml:space="preserve"> </w:t>
            </w:r>
            <w:r>
              <w:rPr>
                <w:rFonts w:ascii="Times New Roman;Times;serif" w:hAnsi="Times New Roman;Times;serif"/>
                <w:b w:val="false"/>
                <w:i w:val="false"/>
                <w:caps w:val="false"/>
                <w:smallCaps w:val="false"/>
                <w:sz w:val="20"/>
              </w:rPr>
              <w:t>23,438</w:t>
            </w:r>
            <w:r>
              <w:rPr>
                <w:caps w:val="false"/>
                <w:smallCaps w:val="false"/>
              </w:rPr>
              <w:t xml:space="preserve"> </w:t>
            </w:r>
            <w:r>
              <w:rPr>
                <w:rFonts w:ascii="Times New Roman;Times;serif" w:hAnsi="Times New Roman;Times;serif"/>
                <w:b w:val="false"/>
                <w:i w:val="false"/>
                <w:caps w:val="false"/>
                <w:smallCaps w:val="false"/>
                <w:sz w:val="20"/>
              </w:rPr>
              <w:t>units (first quarter 2022:</w:t>
            </w:r>
            <w:r>
              <w:rPr>
                <w:caps w:val="false"/>
                <w:smallCaps w:val="false"/>
              </w:rPr>
              <w:t xml:space="preserve"> </w:t>
            </w:r>
            <w:r>
              <w:rPr>
                <w:rFonts w:ascii="Times New Roman;Times;serif" w:hAnsi="Times New Roman;Times;serif"/>
                <w:b w:val="false"/>
                <w:i w:val="false"/>
                <w:caps w:val="false"/>
                <w:smallCaps w:val="false"/>
                <w:sz w:val="20"/>
              </w:rPr>
              <w:t>384,832</w:t>
            </w:r>
            <w:r>
              <w:rPr>
                <w:caps w:val="false"/>
                <w:smallCaps w:val="false"/>
              </w:rPr>
              <w:t xml:space="preserve"> </w:t>
            </w:r>
            <w:r>
              <w:rPr>
                <w:rFonts w:ascii="Times New Roman;Times;serif" w:hAnsi="Times New Roman;Times;serif"/>
                <w:b w:val="false"/>
                <w:i w:val="false"/>
                <w:caps w:val="false"/>
                <w:smallCaps w:val="false"/>
                <w:sz w:val="20"/>
              </w:rPr>
              <w:t>units), resulting in</w:t>
            </w:r>
            <w:r>
              <w:rPr>
                <w:caps w:val="false"/>
                <w:smallCaps w:val="false"/>
              </w:rPr>
              <w:t xml:space="preserve"> </w:t>
            </w:r>
            <w:r>
              <w:rPr>
                <w:rFonts w:ascii="Times New Roman;Times;serif" w:hAnsi="Times New Roman;Times;serif"/>
                <w:b w:val="false"/>
                <w:i w:val="false"/>
                <w:caps w:val="false"/>
                <w:smallCaps w:val="false"/>
                <w:sz w:val="20"/>
              </w:rPr>
              <w:t>$23</w:t>
            </w:r>
            <w:r>
              <w:rPr>
                <w:caps w:val="false"/>
                <w:smallCaps w:val="false"/>
              </w:rPr>
              <w:t xml:space="preserve"> </w:t>
            </w:r>
            <w:r>
              <w:rPr>
                <w:rFonts w:ascii="Times New Roman;Times;serif" w:hAnsi="Times New Roman;Times;serif"/>
                <w:b w:val="false"/>
                <w:i w:val="false"/>
                <w:caps w:val="false"/>
                <w:smallCaps w:val="false"/>
                <w:sz w:val="20"/>
              </w:rPr>
              <w:t>thousand (first quarter 2022:</w:t>
            </w:r>
            <w:r>
              <w:rPr>
                <w:caps w:val="false"/>
                <w:smallCaps w:val="false"/>
              </w:rPr>
              <w:t xml:space="preserve"> </w:t>
            </w:r>
            <w:r>
              <w:rPr>
                <w:rFonts w:ascii="Times New Roman;Times;serif" w:hAnsi="Times New Roman;Times;serif"/>
                <w:b w:val="false"/>
                <w:i w:val="false"/>
                <w:caps w:val="false"/>
                <w:smallCaps w:val="false"/>
                <w:sz w:val="20"/>
              </w:rPr>
              <w:t>$0.6</w:t>
            </w:r>
            <w:r>
              <w:rPr>
                <w:caps w:val="false"/>
                <w:smallCaps w:val="false"/>
              </w:rPr>
              <w:t xml:space="preserve"> </w:t>
            </w:r>
            <w:r>
              <w:rPr>
                <w:rFonts w:ascii="Times New Roman;Times;serif" w:hAnsi="Times New Roman;Times;serif"/>
                <w:b w:val="false"/>
                <w:i w:val="false"/>
                <w:caps w:val="false"/>
                <w:smallCaps w:val="false"/>
                <w:sz w:val="20"/>
              </w:rPr>
              <w:t>million) charged to professional and consulting fees under general and administration expenses.</w:t>
            </w:r>
          </w:p>
        </w:tc>
      </w:tr>
    </w:tbl>
    <w:tbl>
      <w:tblPr>
        <w:tblW w:w="10205" w:type="dxa"/>
        <w:jc w:val="left"/>
        <w:tblInd w:w="0" w:type="dxa"/>
        <w:tblLayout w:type="fixed"/>
        <w:tblCellMar>
          <w:top w:w="28" w:type="dxa"/>
          <w:left w:w="28" w:type="dxa"/>
          <w:bottom w:w="28" w:type="dxa"/>
          <w:right w:w="28"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83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March 31, 2023, the Company granted</w:t>
            </w:r>
            <w:r>
              <w:rPr>
                <w:caps w:val="false"/>
                <w:smallCaps w:val="false"/>
              </w:rPr>
              <w:t xml:space="preserve"> </w:t>
            </w:r>
            <w:r>
              <w:rPr>
                <w:rFonts w:ascii="Times New Roman;Times;serif" w:hAnsi="Times New Roman;Times;serif"/>
                <w:b w:val="false"/>
                <w:i w:val="false"/>
                <w:caps w:val="false"/>
                <w:smallCaps w:val="false"/>
                <w:sz w:val="20"/>
              </w:rPr>
              <w:t>8,645,465</w:t>
            </w:r>
            <w:r>
              <w:rPr>
                <w:caps w:val="false"/>
                <w:smallCaps w:val="false"/>
              </w:rPr>
              <w:t xml:space="preserve"> </w:t>
            </w:r>
            <w:r>
              <w:rPr>
                <w:rFonts w:ascii="Times New Roman;Times;serif" w:hAnsi="Times New Roman;Times;serif"/>
                <w:b w:val="false"/>
                <w:i w:val="false"/>
                <w:caps w:val="false"/>
                <w:smallCaps w:val="false"/>
                <w:sz w:val="20"/>
              </w:rPr>
              <w:t>units as payment for the 2022 LTIP awards and 38,021</w:t>
            </w:r>
            <w:r>
              <w:rPr>
                <w:caps w:val="false"/>
                <w:smallCaps w:val="false"/>
              </w:rPr>
              <w:t xml:space="preserve"> </w:t>
            </w:r>
            <w:r>
              <w:rPr>
                <w:rFonts w:ascii="Times New Roman;Times;serif" w:hAnsi="Times New Roman;Times;serif"/>
                <w:b w:val="false"/>
                <w:i w:val="false"/>
                <w:caps w:val="false"/>
                <w:smallCaps w:val="false"/>
                <w:sz w:val="20"/>
              </w:rPr>
              <w:t>units as a sign-on grant. The 2021 LTIP awards were granted in the fourth quarter of 2021 and totaled</w:t>
            </w:r>
            <w:r>
              <w:rPr>
                <w:caps w:val="false"/>
                <w:smallCaps w:val="false"/>
              </w:rPr>
              <w:t xml:space="preserve"> </w:t>
            </w:r>
            <w:r>
              <w:rPr>
                <w:rFonts w:ascii="Times New Roman;Times;serif" w:hAnsi="Times New Roman;Times;serif"/>
                <w:b w:val="false"/>
                <w:i w:val="false"/>
                <w:caps w:val="false"/>
                <w:smallCaps w:val="false"/>
                <w:sz w:val="20"/>
              </w:rPr>
              <w:t>3,500,000</w:t>
            </w:r>
            <w:r>
              <w:rPr>
                <w:caps w:val="false"/>
                <w:smallCaps w:val="false"/>
              </w:rPr>
              <w:t xml:space="preserve"> </w:t>
            </w:r>
            <w:r>
              <w:rPr>
                <w:rFonts w:ascii="Times New Roman;Times;serif" w:hAnsi="Times New Roman;Times;serif"/>
                <w:b w:val="false"/>
                <w:i w:val="false"/>
                <w:caps w:val="false"/>
                <w:smallCaps w:val="false"/>
                <w:sz w:val="20"/>
              </w:rPr>
              <w:t xml:space="preserve">units. </w:t>
            </w:r>
          </w:p>
        </w:tc>
      </w:tr>
    </w:tbl>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The grant date fair value of RSUs is equivalent to the closing share price of the Company’s common shares on the date of grant. A total of $1.6 million (three months ended March 31, 2022 - $1.9 million) was charged to the statement of loss and comprehensive loss as share-based compensation expense for the three months ended March 31, 2023, of which $0.9 million (three months ended March 31, 2022- $0.9 million) was recorded in exploration and evaluation expenses and $0.7 million (three months ended March 31, 2022 - $1 million) was recorded in general and administrative expenses. As at March 31, 2023, total unrecognized share-based compensation expense for RSUs was $13.2 million (December 31, 2022 - $6.1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716" w:name="Narr_zwQHuBEcPUmDlDScaTJSmA"/>
      <w:bookmarkStart w:id="717" w:name="Narr_slPUDkSGg06cPVJ8-iSTcw"/>
      <w:bookmarkStart w:id="718" w:name="Narr_c5-803RQF0a5MbxknmsNlw"/>
      <w:bookmarkEnd w:id="716"/>
      <w:bookmarkEnd w:id="717"/>
      <w:bookmarkEnd w:id="718"/>
      <w:r>
        <w:rPr>
          <w:rFonts w:ascii="Times New Roman;Times;serif" w:hAnsi="Times New Roman;Times;serif"/>
          <w:sz w:val="20"/>
        </w:rPr>
        <w:t>As at March 31, 2023, an aggregate of 533,431 vested units were outstanding and due to be converted into common shares.</w:t>
      </w:r>
    </w:p>
    <w:p>
      <w:pPr>
        <w:pStyle w:val="TextBody"/>
        <w:bidi w:val="0"/>
        <w:spacing w:before="0" w:after="240"/>
        <w:ind w:left="403"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As of March 31, 2023, there were 7,922,445 common shares reserved for issuance under the Employee Stock Purchase Plan (the “ESPP”), including 2,668,121 shares added to the ESPP in January 2023 pursuant to the ESPP’s automatic annual increase provision. An aggregate of 117,929 of the reserved common shares have been issued under the ESPP..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During the first quarter of 2023, a total of $19 thousand (first quarter 2022: $nil) was charged to the statement of loss and comprehensive loss as share-based compensation expense, representing the share price purchase discount offered by the Company.  From the amount charged during the first quarter of 2023, $7 thousand was recorded in exploration and evaluation expenses (first quarter 2022: $nil) and $12 thousand was recorded in general and administrative expenses (first quarter 2022: $nil).</w:t>
      </w:r>
    </w:p>
    <w:p>
      <w:pPr>
        <w:pStyle w:val="TextBody"/>
        <w:bidi w:val="0"/>
        <w:spacing w:before="0" w:after="240"/>
        <w:ind w:left="0" w:right="0" w:hanging="0"/>
        <w:jc w:val="left"/>
        <w:rPr>
          <w:rFonts w:ascii="Times New Roman;Times;serif" w:hAnsi="Times New Roman;Times;serif"/>
          <w:b/>
          <w:sz w:val="20"/>
        </w:rPr>
      </w:pPr>
      <w:bookmarkStart w:id="719" w:name="Tc_7tQg2XbJ_0OumdiVXMaMhQ_9_0"/>
      <w:bookmarkStart w:id="720" w:name="Tc_stv0QeMJWU6I6fWlK4vgIA_8_2"/>
      <w:bookmarkStart w:id="721" w:name="Tc_8WyewBOulk6O23f8PpRpxg_8_0"/>
      <w:bookmarkStart w:id="722" w:name="Tc_y5zfVOkEDEG_sbLENsRAUg_7_0"/>
      <w:bookmarkStart w:id="723" w:name="Tc_tMkhSKWcL0qWTt9UeLqxNA_6_4"/>
      <w:bookmarkStart w:id="724" w:name="Tc__ZxD5ym-kkG1O3MFQwhhmQ_6_2"/>
      <w:bookmarkStart w:id="725" w:name="Tc_Jp4CRRabk02jh_vaolj0Cw_6_0"/>
      <w:bookmarkStart w:id="726" w:name="Tc_XUL7xoMAuUCyZXc0Fi8dkA_5_2"/>
      <w:bookmarkStart w:id="727" w:name="Tc_LM4smTV4Q06N0vIVcT1fWg_5_0"/>
      <w:bookmarkStart w:id="728" w:name="Tc_jmzhyjsC6UKvlLpEtU80MQ_4_0"/>
      <w:bookmarkStart w:id="729" w:name="Tc_PGWZcBtnUkK9mt8m7A5PrA_3_4"/>
      <w:bookmarkStart w:id="730" w:name="Tc_4vZnEa5ehk--jhMH9zsilA_3_2"/>
      <w:bookmarkStart w:id="731" w:name="Tc_bYLI6XIZz0iYRMXlxgR1fA_2_4"/>
      <w:bookmarkStart w:id="732" w:name="Tc_akgB5KugW0ey3LO-zvJfSg_2_2"/>
      <w:bookmarkStart w:id="733" w:name="Tc_H9b89r0q4EWRPvmuwjMvSw_1_4"/>
      <w:bookmarkStart w:id="734" w:name="Tc_neoONlHRWkK-eGcMKNWf5Q_1_2"/>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Fonts w:ascii="Times New Roman;Times;serif" w:hAnsi="Times New Roman;Times;serif"/>
          <w:b/>
          <w:i w:val="false"/>
          <w:caps w:val="false"/>
          <w:smallCaps w:val="false"/>
          <w:sz w:val="20"/>
        </w:rPr>
        <w:t>10.</w:t>
      </w:r>
      <w:r>
        <w:rPr>
          <w:rFonts w:ascii="Times New Roman;Times;serif" w:hAnsi="Times New Roman;Times;serif"/>
          <w:b/>
          <w:sz w:val="20"/>
        </w:rPr>
        <w:t>Net Loss (Income)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Basic loss (income) per share is computed by dividing the loss (income)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diluted weighted-average number of common shares as at March 31, 2023 was 300,376,133 which for the most part included, over and above the basic weighted-average number of common shares of 272,029,603 units, the dilutive effect of share options (3,735,923 units), dilutive effect of RSUs (13,123,935) and the dilutive effect from the Allseas warrants (11,578,620). The diluted weighted-average number of common shares does not include stock options, public warrants and private warrants as these instruments were out-of-the-money and anti-dilutive. Additionally, stock options outstanding under the Company’s Long-Term Incentive Plan were also excluded from the diluted weighted-average number of common shares, as the performance and market conditions were not met.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Anti-dilutive equivalent common shares were as follows:</w:t>
      </w:r>
    </w:p>
    <w:p>
      <w:pPr>
        <w:pStyle w:val="TextBody"/>
        <w:bidi w:val="0"/>
        <w:spacing w:before="0" w:after="0"/>
        <w:ind w:left="0" w:right="0" w:hanging="0"/>
        <w:jc w:val="left"/>
        <w:rPr/>
      </w:pPr>
      <w:r>
        <w:rPr/>
        <w:t>​</w:t>
      </w:r>
    </w:p>
    <w:tbl>
      <w:tblPr>
        <w:tblW w:w="9355" w:type="dxa"/>
        <w:jc w:val="left"/>
        <w:tblInd w:w="0" w:type="dxa"/>
        <w:tblLayout w:type="fixed"/>
        <w:tblCellMar>
          <w:top w:w="0" w:type="dxa"/>
          <w:left w:w="0" w:type="dxa"/>
          <w:bottom w:w="0" w:type="dxa"/>
          <w:right w:w="0" w:type="dxa"/>
        </w:tblCellMar>
      </w:tblPr>
      <w:tblGrid>
        <w:gridCol w:w="5536"/>
        <w:gridCol w:w="326"/>
        <w:gridCol w:w="1561"/>
        <w:gridCol w:w="326"/>
        <w:gridCol w:w="160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515360" cy="175260"/>
                      <wp:effectExtent l="0" t="0" r="0" b="0"/>
                      <wp:wrapNone/>
                      <wp:docPr id="104" name="Frame104"/>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991235" cy="175260"/>
                      <wp:effectExtent l="0" t="0" r="0" b="0"/>
                      <wp:wrapNone/>
                      <wp:docPr id="106" name="Frame10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19810" cy="175260"/>
                      <wp:effectExtent l="0" t="0" r="0" b="0"/>
                      <wp:wrapNone/>
                      <wp:docPr id="108" name="Frame108"/>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righ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righ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righ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3,386,742</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25,287,670</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RSUs</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4,843,825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shares under ESPP</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warrants</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24,500,000</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36,078,620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Special Shares and options to purchase Special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136,239,964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common equivalent shares</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27,886,742</w:t>
            </w:r>
          </w:p>
        </w:tc>
        <w:tc>
          <w:tcPr>
            <w:tcW w:w="326" w:type="dxa"/>
            <w:tcBorders/>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202,450,079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subsidiary, DGE, is engaged in a consulting agreement with SSCS Pte. Ltd. (“SSCS”) to manage offshore engineering studies. A director of DGE is employed through SSCS. Consulting services during the three months ended March 31, 2023, totaled $69 thousand (three months ended March 31, 2022 - $69 thousand), with $55 thousand disclosed as exploration labor within exploration and evaluation expenses (Note 7) and $14 thousand as general and administration expenses ($55 thousand and $14 thousand, respectively, in the comparative period of the prior year). As at March 31, 2023, the amount payable to SSCS was $23 thousand (December 31, 2022 - $23 thousand).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Chief Ocean Scientist provides consulting services to the Company through Ocean Renaissance LLC (“Ocean Renaissance”) where he is a principal. Consulting services during the three months ended March 31, 2023, totaled $94 thousand (three months ended March 31, 2022 - $94 thousand), with $42 thousand disclosed as exploration labor within exploration and evaluation expenses (Note 7) and $52 thousand as general and administration expenses ($47 thousand and $47 thousand, respectively, in the comparative period of the prior year). As at March 31, 2023, the amount payable to Ocean Renaissance was $nil thousand (December 31, 2022 - $nil).</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During the three months ended March 31, 2023, Allseas provided the Company with engineering and project management services totaling $1 million, recorded as mining, technological and process development within exploration and evaluation expenses (Note 7).  For the three months ended March 31, 2022, Allseas managed and delivered the PMTS project, with services totaling $1.3 million, recorded as PMTS within exploration and evaluation expenses (Note 7).  As at March 31, 2023, the amount payable to Allseas was $1.8 million (March 31, 2022 - $5.5 million).</w:t>
      </w:r>
    </w:p>
    <w:p>
      <w:pPr>
        <w:pStyle w:val="TextBody"/>
        <w:bidi w:val="0"/>
        <w:spacing w:before="0" w:after="240"/>
        <w:ind w:left="0" w:right="0" w:hanging="0"/>
        <w:jc w:val="left"/>
        <w:rPr>
          <w:rFonts w:ascii="Times New Roman;Times;serif" w:hAnsi="Times New Roman;Times;serif"/>
          <w:sz w:val="20"/>
        </w:rPr>
      </w:pPr>
      <w:bookmarkStart w:id="735" w:name="_Hlk134063526"/>
      <w:bookmarkEnd w:id="735"/>
      <w:r>
        <w:rPr>
          <w:rFonts w:ascii="Times New Roman;Times;serif" w:hAnsi="Times New Roman;Times;serif"/>
          <w:b/>
          <w:i w:val="false"/>
          <w:caps w:val="false"/>
          <w:smallCaps w:val="false"/>
          <w:sz w:val="20"/>
        </w:rPr>
        <w:t>12.</w:t>
      </w:r>
      <w:r>
        <w:rPr>
          <w:rFonts w:ascii="Times New Roman;Times;serif" w:hAnsi="Times New Roman;Times;serif"/>
          <w:b/>
          <w:sz w:val="20"/>
        </w:rPr>
        <w:t>Credit Facility with Argentum Credit Virtuti GCV, Parent of Allseas Investments S.A.</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On March 22, 2023, the Company entered into an Unsecured Credit Facility Agreement (“Credit Facility”) with Argentum Credit Virtuti GCV (the “Lender”), the parent of Allseas Investments S.A. and an affiliate of Allseas, pursuant to which, the Company may borrow from the Lender up to</w:t>
      </w:r>
      <w:r>
        <w:rPr>
          <w:rFonts w:ascii="Times New Roman;Times;serif" w:hAnsi="Times New Roman;Times;serif"/>
          <w:b/>
          <w:sz w:val="20"/>
        </w:rPr>
        <w:t xml:space="preserve"> </w:t>
      </w:r>
      <w:r>
        <w:rPr>
          <w:rFonts w:ascii="Times New Roman;Times;serif" w:hAnsi="Times New Roman;Times;serif"/>
          <w:b w:val="false"/>
          <w:sz w:val="20"/>
        </w:rPr>
        <w:t>$25</w:t>
      </w:r>
      <w:r>
        <w:rPr>
          <w:rFonts w:ascii="Times New Roman;Times;serif" w:hAnsi="Times New Roman;Times;serif"/>
          <w:b/>
          <w:sz w:val="20"/>
        </w:rPr>
        <w:t xml:space="preserve"> </w:t>
      </w:r>
      <w:r>
        <w:rPr>
          <w:rFonts w:ascii="Times New Roman;Times;serif" w:hAnsi="Times New Roman;Times;serif"/>
          <w:b w:val="false"/>
          <w:sz w:val="20"/>
        </w:rPr>
        <w:t>million in the aggregate, from time to time, subject to certain conditions. All amounts drawn under the Credit Facility will bear interest based on the 6-month Secured Overnight Financing Rate,180-day average plus a margin of 4.0%</w:t>
      </w:r>
      <w:r>
        <w:rPr>
          <w:rFonts w:ascii="Times New Roman;Times;serif" w:hAnsi="Times New Roman;Times;serif"/>
          <w:b/>
          <w:sz w:val="20"/>
        </w:rPr>
        <w:t xml:space="preserve"> </w:t>
      </w:r>
      <w:r>
        <w:rPr>
          <w:rFonts w:ascii="Times New Roman;Times;serif" w:hAnsi="Times New Roman;Times;serif"/>
          <w:b w:val="false"/>
          <w:sz w:val="20"/>
        </w:rPr>
        <w:t>per annum payable in cash semi-annually (or plus 5%</w:t>
      </w:r>
      <w:r>
        <w:rPr>
          <w:rFonts w:ascii="Times New Roman;Times;serif" w:hAnsi="Times New Roman;Times;serif"/>
          <w:b/>
          <w:sz w:val="20"/>
        </w:rPr>
        <w:t xml:space="preserve"> </w:t>
      </w:r>
      <w:r>
        <w:rPr>
          <w:rFonts w:ascii="Times New Roman;Times;serif" w:hAnsi="Times New Roman;Times;serif"/>
          <w:b w:val="false"/>
          <w:sz w:val="20"/>
        </w:rPr>
        <w:t>if paid-in-kind at maturity, at the Company’s election) on the first business day of each of June and January. The Company will pay an underutilization fee equal to 4.0%</w:t>
      </w:r>
      <w:r>
        <w:rPr>
          <w:rFonts w:ascii="Times New Roman;Times;serif" w:hAnsi="Times New Roman;Times;serif"/>
          <w:b/>
          <w:sz w:val="20"/>
        </w:rPr>
        <w:t xml:space="preserve"> </w:t>
      </w:r>
      <w:r>
        <w:rPr>
          <w:rFonts w:ascii="Times New Roman;Times;serif" w:hAnsi="Times New Roman;Times;serif"/>
          <w:b w:val="false"/>
          <w:sz w:val="20"/>
        </w:rPr>
        <w:t>per annum payable semi-annually</w:t>
      </w:r>
      <w:r>
        <w:rPr>
          <w:rFonts w:ascii="Times New Roman;Times;serif" w:hAnsi="Times New Roman;Times;serif"/>
          <w:b/>
          <w:sz w:val="20"/>
        </w:rPr>
        <w:t xml:space="preserve"> </w:t>
      </w:r>
      <w:r>
        <w:rPr>
          <w:rFonts w:ascii="Times New Roman;Times;serif" w:hAnsi="Times New Roman;Times;serif"/>
          <w:b w:val="false"/>
          <w:sz w:val="20"/>
        </w:rPr>
        <w:t>for any amounts that remain undrawn under the Credit Facility. The Company has the right to pre-pay the entire amount outstanding under the Credit Facility at any time before the Credit Facility’s maturity of May 21, 2024. The Credit Facility also contains customary events of default.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During the first quarter of 2023, the Company had not drawn any amount from the Credit Facility and has incurred $27</w:t>
      </w:r>
      <w:r>
        <w:rPr>
          <w:rFonts w:ascii="Times New Roman;Times;serif" w:hAnsi="Times New Roman;Times;serif"/>
          <w:b/>
          <w:sz w:val="20"/>
        </w:rPr>
        <w:t xml:space="preserve"> </w:t>
      </w:r>
      <w:r>
        <w:rPr>
          <w:rFonts w:ascii="Times New Roman;Times;serif" w:hAnsi="Times New Roman;Times;serif"/>
          <w:b w:val="false"/>
          <w:sz w:val="20"/>
        </w:rPr>
        <w:t>thousand as underutilization fees, which would be payable only in the event the Credit Facility is not drawn down upon at the time such fees are payable.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Contingent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January 23, 2023, an investor in the 2021 private placement from the Business Combination filed a lawsuit against us in New York Supreme Court, New York County, captioned </w:t>
      </w:r>
      <w:r>
        <w:rPr>
          <w:rFonts w:ascii="Times New Roman;Times;serif" w:hAnsi="Times New Roman;Times;serif"/>
          <w:i/>
          <w:sz w:val="20"/>
        </w:rPr>
        <w:t>Atalaya Special Purpose Investment Fund II LP et al. v. Sustainable Opportunities Acquisition Corp. n/k/a TMC The Metals Company Inc.</w:t>
      </w:r>
      <w:r>
        <w:rPr>
          <w:rFonts w:ascii="Times New Roman;Times;serif" w:hAnsi="Times New Roman;Times;serif"/>
          <w:sz w:val="20"/>
        </w:rPr>
        <w:t>, Index No. 650449/2023 (N.Y. Sup. Ct.).  The complaint alleges that we breached the representations and warranties in the plaintiff’s private placement Subscription Agreement and breached the covenant of good faith and fair dealing.  The Plaintiffs are seeking to recover compensable damages caused by the alleged wrongdoings. The Company denies any allegations of wrongdoing and filed a motion to dismiss on March 31, 2023.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the range of possible losses cannot be reliably estimated.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Segmented Information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business consists of only one operating segment, namely exploration of seafloor polymetallic nodules, which includes the development of a metallurgical process to treat such seafloor polymetallic nodules.</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left"/>
        <w:rPr>
          <w:rFonts w:ascii="Times New Roman;Times;serif" w:hAnsi="Times New Roman;Times;serif"/>
          <w:b/>
          <w:sz w:val="20"/>
        </w:rPr>
      </w:pPr>
      <w:bookmarkStart w:id="736" w:name="Item2ManagementsDiscussionandAnalysisofF"/>
      <w:bookmarkStart w:id="737" w:name="_4e2ebce9_58e7_43f5_acf9_efc08cfe6959"/>
      <w:bookmarkEnd w:id="736"/>
      <w:bookmarkEnd w:id="73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2022 contained in our 2022 Annual Report on Form 10-K. This discussion contains forward looking statements and involves numerous risks and uncertainties, including, but not limited to, those described in “Risk Factors” in Item 1A of Part I  of the 2022 Annual Report on Form 10-K, as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months ended March 31, 2023 and 2022, respectively, present the financial position and results of operations of TMC the metals company Inc.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deep-sea minerals exploration company focused on the collection, processing and refining of polymetallic nodules found on the seafloor in international waters of the Clarion Clipperton Zone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 matte)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Exploration and exploitation of seabed minerals in international waters is regulated by the International Seabed Authority,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still in the exploration phase and have not yet obtained any exploitation contracts from the ISA to commence commercial scale polymetallic nodule collection in the CCZ nor do we have the applicable environmental and other permits required to build and operate commercial-scale polymetallic nodule processing and refining plants on 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738" w:name="_Hlk130335091"/>
      <w:bookmarkEnd w:id="738"/>
      <w:r>
        <w:rPr>
          <w:rFonts w:ascii="Times New Roman;Times;serif" w:hAnsi="Times New Roman;Times;serif"/>
          <w:sz w:val="20"/>
        </w:rPr>
        <w:t xml:space="preserve">We have key strategic alliances with (i) Allseas Group S.A. (“Allseas”), a leading global offshore contractor, which has developed and </w:t>
      </w:r>
      <w:r>
        <w:rPr>
          <w:rFonts w:ascii="Times New Roman PS Std" w:hAnsi="Times New Roman PS Std"/>
          <w:sz w:val="20"/>
        </w:rPr>
        <w:t xml:space="preserve">successfully tested the pilot nodule collection system </w:t>
      </w:r>
      <w:r>
        <w:rPr>
          <w:rFonts w:ascii="Times New Roman;Times;serif" w:hAnsi="Times New Roman;Times;serif"/>
          <w:sz w:val="20"/>
        </w:rPr>
        <w:t xml:space="preserve">in the NORI Area D, completed in the fourth quarter of 2022, with experience from this testing program informing the design of upgrades and modifications </w:t>
      </w:r>
      <w:r>
        <w:rPr>
          <w:rFonts w:ascii="Times New Roman PS Std" w:hAnsi="Times New Roman PS Std"/>
          <w:sz w:val="20"/>
        </w:rPr>
        <w:t>of the pilot system for conversion into the initial smaller scale commercial production system which is expected to serve as the basis for the design of a full-scale</w:t>
      </w:r>
      <w:r>
        <w:rPr>
          <w:rFonts w:ascii="Times New Roman;Times;serif" w:hAnsi="Times New Roman;Times;serif"/>
          <w:sz w:val="20"/>
        </w:rPr>
        <w:t> </w:t>
      </w:r>
      <w:r>
        <w:rPr>
          <w:rFonts w:ascii="Times New Roman PS Std" w:hAnsi="Times New Roman PS Std"/>
          <w:sz w:val="20"/>
        </w:rPr>
        <w:t xml:space="preserve">commercial production system, </w:t>
      </w:r>
      <w:r>
        <w:rPr>
          <w:rFonts w:ascii="Times New Roman;Times;serif" w:hAnsi="Times New Roman;Times;serif"/>
          <w:sz w:val="20"/>
        </w:rPr>
        <w:t xml:space="preserve">and (ii) Glencore International AG (“Glencore”) which holds offtake rights to 50% of nickel and copper production from the NORI area. In addition, we have worked with engineering firm Hatch Ltd. and consultants Kingston Process Metallurgy Inc. to develop a near-zero solid waste flowsheet. </w:t>
      </w:r>
      <w:r>
        <w:rPr>
          <w:rFonts w:ascii="Times New Roman PS Std" w:hAnsi="Times New Roman PS Std"/>
          <w:sz w:val="20"/>
        </w:rPr>
        <w:t>The primary processing stages of the flowsheet from nodule to NiCuCo matte intermediate were tested as part of our pilot plant program at FLSmidth &amp; Co A/S’s and Xpert Process Solutions’ (“XPS”, a Glencore company) facilities. The matte refining stages are being tested at SGS Lakefield. The near-zero solid waste flowsheet is expected to serve as the basis for our onshore processing facilities.</w:t>
      </w:r>
      <w:r>
        <w:rPr>
          <w:rFonts w:ascii="Times New Roman;Times;serif" w:hAnsi="Times New Roman;Times;serif"/>
          <w:sz w:val="20"/>
        </w:rPr>
        <w:t xml:space="preserve">  </w:t>
      </w:r>
      <w:r>
        <w:rPr>
          <w:rFonts w:ascii="Times New Roman PS Std" w:hAnsi="Times New Roman PS Std"/>
          <w:sz w:val="20"/>
        </w:rPr>
        <w:t>In November 2022, we entered into a non-binding memorandum of understanding (“MoU”) with Pacific Metals Co Ltd (PAMCO) of Japan, to evaluate the toll treatment of an initial quantity of 1.3 million tonnes of wet polymetallic nodules per year at PAMCO’s Hachinohe smelting facility starting in 2025. Subject to entering into a binding arrangement with PAMCO,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PAMCO’s Hachinohe facility is located on the coast in northern Japan and is equipped with suitable port and processing infrastructure required to receive and process polymetallic nodules and to ship products to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focused on applying for our first exploitation contract from the ISA on the NORI Area D contract area and, subject to regulatory review by the ISA, intend to start commercial production by the end of 2024 / start of 2025. To reach our objective and initiate commercial production, we are: (i) defining our resource and project economics, (ii) developing a commercial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Developments in the First Quarter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are some of the major developments that occurred in the first quarter of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Benchmark LCA of NORI Area D Project: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2023, we announced that leading lithium-ion battery supply chain research firm, Benchmark Mineral Intelligence (“Benchmark”), had completed an independent third-party lifecycle assessment (“LCA”) of the environmental impacts of our NORI Area D project, comparing the production of key energy transition metals (nickel, cobalt and copper) from the NORI Area D project to key land-based production routes for the same metals. Benchmark’s LCA shows the NORI Area D project model performed better in almost every impact category analysed than all the land-based routes chosen by Benchmark for comparison.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Consortium for ESG disclosure of marine minerals: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2023, we announced that we had joined a broad international consortium to develop a handbook for ESG disclosure in relation to marine minerals. The purpose of the guidance handbook is to enable evidence-based assessments of the ESG performance of marine mineral projects in the context of global standards. Marine minerals are emerging as a strong potential source to help meet growing metals demand. As with any extractive industries, we believe consideration of ESG issues is key to ensuring transparent and responsible supply chains. The ESG handbook will provide guidance to address material topics related to marine mineral projects in the deep-sea environment using a standardized approach.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Extensive Deep-sea Environmental Data Submission to the ISA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March 2023, we announced that our wholly-owned subsidiary NORI had begun the process of submitting data collected during 17 offshore resource definition and environmental baseline campaigns in NORI Area D to the DeepData platform, an open database of contractor data managed by the ISA. Collected using a suite of high-tech equipment, the dataset submitted to the ISA includes over 1,400 biological samples from extensive boxcore and multicore sampling, and over 8,000 images analysed for benthic megafauna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captured by remotely operated vehicles from two offshore campaigns. This first submission of benthic data, which includes over 270,000 occurrences, will provide a significant expansion to the biological holdings contained within the DeepData platform.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Facility with Argentum Credit Virtuti GCV, Parent of Allseas Investments 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2023, we entered into an Unsecured Credit Facility Agreement (“Credit Facility”) with Argentum Credit Virtuti GCV (the “Lender”), the parent of Allseas Investments S.A. and an affiliate of Allseas, pursuant to which, we may borrow from the Lender up to $25,000,000 in the aggregate, from time to time, subject to certain conditions. All amounts drawn under the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New Partnerships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MoU with PAMCO to Evaluate Nodule Processing at Existing Facility: </w:t>
            </w:r>
            <w:r>
              <w:rPr>
                <w:rFonts w:ascii="Times New Roman;Times;serif" w:hAnsi="Times New Roman;Times;serif"/>
                <w:b w:val="false"/>
                <w:i w:val="false"/>
                <w:caps w:val="false"/>
                <w:smallCaps w:val="false"/>
                <w:sz w:val="20"/>
              </w:rPr>
              <w:t>In March 2023, we announced that we had entered into a non-binding MoU with PAMCO, to evaluate the toll treatment of an initial quantity of 1.3 million tonnes of wet polymetallic nodules per year at PAMCO’s Hachinohe smelting facility starting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Engagement with Bechtel Australia Pty Ltd:  </w:t>
            </w:r>
            <w:r>
              <w:rPr>
                <w:rFonts w:ascii="Times New Roman;Times;serif" w:hAnsi="Times New Roman;Times;serif"/>
                <w:b w:val="false"/>
                <w:i w:val="false"/>
                <w:caps w:val="false"/>
                <w:smallCaps w:val="false"/>
                <w:sz w:val="20"/>
              </w:rPr>
              <w:t>In March 2023, we announced that we entered into an agreement with Bechtel Australia Pty Ltd (“Bechtel”), a global leader in engineering, procurement and construction, to collect and compile the technological and economic studies prepared by various consultants required for NORI to lodge its application for an exploitation contract for its NORI Area D project with the ISA.  Bechtel will collect and compile technical and economic studies prepared by various consultants that will underpin NORI’s application to the ISA for an exploitation contract.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Investment in Low Carbon Royalties:  </w:t>
            </w:r>
            <w:r>
              <w:rPr>
                <w:rFonts w:ascii="Times New Roman;Times;serif" w:hAnsi="Times New Roman;Times;serif"/>
                <w:b w:val="false"/>
                <w:i w:val="false"/>
                <w:caps w:val="false"/>
                <w:smallCaps w:val="false"/>
                <w:sz w:val="20"/>
              </w:rPr>
              <w:t>In February 2023, we and our wholly-owned subsidiary, NORI, entered into a strategic partnership with Low Carbon Royalties Inc.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Partnership, NORI contributed a 2% gross overriding royalty (the “NORI Royalty”) on our NORI contract area to Low Carbon Royalties. We retained the right to repurchase up to 75% of the NORI Royalty at an agreed capped return, exercisable in two transactions, between the second and the tenth anniversary of the Partnership. If both repurchase transactions are executed, the NORI Royalty will be reduced to 0.5%. Low Carbon Royalties also owns a 1.6% gross overriding royalty on a producing natural gas field in Latin America. In consideration of the NORI Royalty, we received a 35.0% common ownership interest in Low Carbon Royalties on a fully-diluted basis as of closing and $5.0 million in cash.  On March 21, 2023, Low Carbon Royalties completed a royalty acquisition whereby it increased its gross overriding royalty on the existing first license block (Maria Conchita) natural gas property from 1.56% to 3.13% and acquired a gross overriding royalty of 1.44% on a new second license block (SINU-9). The royalty acquisitions were financed through the issuance of LCR common shares, thereby reducing our ownership interest in the Partnership to 32% from 35%.</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Industry Update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ISA completed what we believe was a productive March 2023 session and continues to work inter-sessionally to finalize regulations regarding exploitation of deep-sea minerals. At the session, all member states of the ISA reiterated their commitment to the adoption of final rules, regulations and procedures (Mining Code).  The main item on the agenda of the ISA Council remains the negotiation of the Draft Regulations on Exploitation of Mineral Resources in the Area. During the session, the ISA Council confirmed it has the obligation to consider a plan of work for exploitation after July 2023.  We are aligned with the members of the ISA in that we do not want to submit an application for a work plan for exploitation and start commercial operations in the CCZ until final regulations are in place. We will continue to constructively support the negotiations however, NORI may exercise its legal rights under UNCLOS to lodge an application for a plan of work for exploitation before the final Mining Code is adopted and in place.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next ISA Council session is scheduled for July 2023.  We expect that discussions will continue at this session on the approval process for an application for a plan of work for exploitation, if one is submitted before final regulations are in place. NORI is committed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submitting an application for a plan of work for exploitation only after we complete a quality comprehensive, science-driven environmental and social impact assessment.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9, 2021, we completed the Business Combination with SOAC. The transaction resulted in the combined company being renamed “TMC the metals company Inc.” and the combined company’s common shares and warrants to purchase common shares commenced trading on Nasdaq on September 10, 2021, under the symbols “TMC” and “TMCWW,” respectively. As a result of the Business Combination, we received gross proceeds of approximately $137.6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hold exclusive exploration rights to certain polymetallic nodule areas in the CCZ through our subsidiaries NORI and TOML, sponsored by the Republic of Nauru and Kingdom of Tonga, respectively, and exclusive commercial rights through our subsidiary’s (DGE) arrangement with Marawa, a company owned and sponsored by the Republic of Kiribati.</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Times New Roman;Times;serif" w:hAnsi="Times New Roman;Times;serif"/>
          <w:sz w:val="15"/>
        </w:rPr>
        <w:t>2</w:t>
      </w:r>
      <w:r>
        <w:rPr>
          <w:rFonts w:ascii="Times New Roman;Times;serif" w:hAnsi="Times New Roman;Times;serif"/>
          <w:sz w:val="20"/>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TOML, our wholly-owned subsidiary, was granted an exploration contract on January 11, 2012 by the ISA and sponsored by Tonga pursuant to the TOML Exploration Contract . TOML was acquired by us on March 31, 2020 for $32 million from Deep Sea Mining Finance Ltd. The TOML Exploration Contract provides TOML with exclusive rights to explore for polymetallic nodules in an area covering 74,713 km</w:t>
      </w:r>
      <w:r>
        <w:rPr>
          <w:rFonts w:ascii="Times New Roman;Times;serif" w:hAnsi="Times New Roman;Times;serif"/>
          <w:sz w:val="15"/>
        </w:rPr>
        <w:t xml:space="preserve">2 </w:t>
      </w:r>
      <w:r>
        <w:rPr>
          <w:rFonts w:ascii="Times New Roman;Times;serif" w:hAnsi="Times New Roman;Times;serif"/>
          <w:sz w:val="20"/>
        </w:rPr>
        <w:t>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Marawa Agreements</w:t>
      </w:r>
    </w:p>
    <w:p>
      <w:pPr>
        <w:pStyle w:val="TextBody"/>
        <w:bidi w:val="0"/>
        <w:spacing w:before="0" w:after="240"/>
        <w:ind w:left="0" w:right="0" w:firstLine="360"/>
        <w:jc w:val="both"/>
        <w:rPr>
          <w:rFonts w:ascii="Times New Roman;Times;serif" w:hAnsi="Times New Roman;Times;serif"/>
          <w:sz w:val="20"/>
        </w:rPr>
      </w:pPr>
      <w:bookmarkStart w:id="739" w:name="_DV_C240"/>
      <w:bookmarkStart w:id="740" w:name="_DV_C239"/>
      <w:bookmarkStart w:id="741" w:name="_DV_X213"/>
      <w:bookmarkEnd w:id="739"/>
      <w:bookmarkEnd w:id="740"/>
      <w:bookmarkEnd w:id="741"/>
      <w:r>
        <w:rPr>
          <w:rFonts w:ascii="Times New Roman;Times;serif" w:hAnsi="Times New Roman;Times;serif"/>
          <w:sz w:val="20"/>
        </w:rPr>
        <w:t>Marawa, an entity owned and sponsored by Kiribati, was granted the Marawa Exploration Contract on May 30, 2012. DGE, our wholly-owned subsidiary, entered into agreements with Marawa and Kiribati which provide DGE with exclusive exploration and exploitation (if awarded) rights to an area covering 74,990 km2 in the CCZ (the “Marawa Contract Area”). The exploration contract between Marawa and the ISA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Trends, Opportunities and Uncertainties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Times New Roman;Times;serif" w:hAnsi="Times New Roman;Times;serif"/>
          <w:i/>
          <w:sz w:val="20"/>
        </w:rPr>
        <w:t>Risk Factors</w:t>
      </w:r>
      <w:r>
        <w:rPr>
          <w:rFonts w:ascii="Times New Roman;Times;serif" w:hAnsi="Times New Roman;Times;serif"/>
          <w:sz w:val="20"/>
        </w:rPr>
        <w:t>” in Item 1A of Part I of the 2022 Annual Report on Form 10-K, as further updated and/or supplemented in subsequent filings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Global Inflation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2022, the global inflation rate rose sharply. Marine fuel prices and vessel day rates were higher year-over-year and have increased our exploration expenses beyond what we had originally expected. Additionally, we are experiencing higher offshore labor costs through our contractors.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pre-revenue company, persistent inflation may affect our ultimate cash requirements prior to our ability to begin commercial production.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Climate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committed to adopting the Task Force on Climate-Related Financial Disclosures recommendations. In our inaugural Impact Report published in May 2022, we provided climate-related disclosure and shared how we believe our mission is aligned with supporting the global energy transition and contributing to a circular metals economy.  We recognize that climate change may have a meaningful impact on our financial performance over time, and we have begun the process of consolidating key risks and corresponding action plans to mitigate the negative impact of climate change on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climate related transition risks and opportunities are likely to be driven by changes in regulation, public policy, and technology, as disclosed in our 2022 Annual Report on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conduct our business through one operating segment. As a pre-revenue company with no commercial operations, our activities to date have been limited. Our historical results are reported under U.S. Generally Accepted Accounting Principles (“U.S. GAAP”) and in U.S. dollars. All share and per share amounts have been adjusted to reflect the impact of the Business Combination.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an exploration-stage company with no revenue to date and net income of approximately $nil for the three months ended March 31, 2023, compared to a net loss of $21.1 million in the same period of 2022. We have an accumulated deficit of approximately $475.1 million from inception through March 31, 2023.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any revenue. We do not expect to generate revenue until at least 2025 and only if NORI receives an exploitation contract from the ISA and we are able to successfully collect and process polymetallic nodules into saleable products on a commercial scale. Any revenue from initial production is difficult to predict.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Income/Expense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income earned on our 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consists primarily of interest expense on our outstanding indebtedness.  The Company’s credit facility with Allseas remains undrawn as at March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Foreign Exchange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foreign exchange income or loss for the periods reported primarily relates to our cash held in Canadian dollars and to the settlement of costs incurred in foreign currencies, depending on either the strengthening or weakening of the U.S. dollar.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is a discussion of our results of operations for the three months ended March 31, 2023 and 2022. Our accounting policies are described in Note 3 “Significant Accounting Policies” in our financial statements filed as part of the 2022 Annual Report on Form 10-K.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2023 and 2022</w:t>
      </w:r>
    </w:p>
    <w:tbl>
      <w:tblPr>
        <w:tblW w:w="7600" w:type="dxa"/>
        <w:jc w:val="left"/>
        <w:tblInd w:w="0" w:type="dxa"/>
        <w:tblLayout w:type="fixed"/>
        <w:tblCellMar>
          <w:top w:w="0" w:type="dxa"/>
          <w:left w:w="0" w:type="dxa"/>
          <w:bottom w:w="0" w:type="dxa"/>
          <w:right w:w="0" w:type="dxa"/>
        </w:tblCellMar>
      </w:tblPr>
      <w:tblGrid>
        <w:gridCol w:w="3511"/>
        <w:gridCol w:w="326"/>
        <w:gridCol w:w="211"/>
        <w:gridCol w:w="796"/>
        <w:gridCol w:w="386"/>
        <w:gridCol w:w="211"/>
        <w:gridCol w:w="676"/>
        <w:gridCol w:w="326"/>
        <w:gridCol w:w="871"/>
        <w:gridCol w:w="28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229485" cy="175260"/>
                      <wp:effectExtent l="0" t="0" r="0" b="0"/>
                      <wp:wrapNone/>
                      <wp:docPr id="109" name="Frame10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05460" cy="175260"/>
                      <wp:effectExtent l="0" t="0" r="0" b="0"/>
                      <wp:wrapNone/>
                      <wp:docPr id="112" name="Frame1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5110" cy="175260"/>
                      <wp:effectExtent l="0" t="0" r="0" b="0"/>
                      <wp:wrapNone/>
                      <wp:docPr id="113" name="Frame11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53085" cy="175260"/>
                      <wp:effectExtent l="0" t="0" r="0" b="0"/>
                      <wp:wrapNone/>
                      <wp:docPr id="117" name="Frame11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1610" cy="175260"/>
                      <wp:effectExtent l="0" t="0" r="0" b="0"/>
                      <wp:wrapNone/>
                      <wp:docPr id="118" name="Frame11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47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86"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 except as noted)</w:t>
            </w:r>
          </w:p>
        </w:tc>
        <w:tc>
          <w:tcPr>
            <w:tcW w:w="326" w:type="dxa"/>
            <w:tcBorders/>
            <w:vAlign w:val="center"/>
          </w:tcPr>
          <w:p>
            <w:pPr>
              <w:pStyle w:val="TableContents"/>
              <w:bidi w:val="0"/>
              <w:spacing w:before="0" w:after="0"/>
              <w:ind w:left="0" w:right="0" w:hanging="0"/>
              <w:jc w:val="center"/>
              <w:rPr/>
            </w:pPr>
            <w:r>
              <w:rPr/>
              <w:t>​</w:t>
            </w:r>
          </w:p>
        </w:tc>
        <w:tc>
          <w:tcPr>
            <w:tcW w:w="34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286"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286" w:type="dxa"/>
            <w:tcBorders/>
            <w:vAlign w:val="center"/>
          </w:tcPr>
          <w:p>
            <w:pPr>
              <w:pStyle w:val="TableContents"/>
              <w:bidi w:val="0"/>
              <w:spacing w:before="0" w:after="0"/>
              <w:ind w:left="0" w:right="0" w:hanging="0"/>
              <w:jc w:val="left"/>
              <w:rPr/>
            </w:pPr>
            <w:r>
              <w:rPr/>
              <w:t>  </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7,169</w:t>
            </w:r>
          </w:p>
        </w:tc>
        <w:tc>
          <w:tcPr>
            <w:tcW w:w="3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c>
          <w:tcPr>
            <w:tcW w:w="3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3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86"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8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86"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21,117</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2"/>
        </w:rPr>
      </w:pPr>
      <w:bookmarkStart w:id="742" w:name="_Hlk134058910"/>
      <w:bookmarkEnd w:id="742"/>
      <w:r>
        <w:rPr>
          <w:rFonts w:ascii="Times New Roman;Times;serif" w:hAnsi="Times New Roman;Times;serif"/>
          <w:b/>
          <w:i/>
          <w:sz w:val="22"/>
        </w:rPr>
        <w:t>Three Months ended March 31, 2023 compared to Three Months ended March 31, 2022</w:t>
      </w:r>
    </w:p>
    <w:p>
      <w:pPr>
        <w:pStyle w:val="TextBody"/>
        <w:bidi w:val="0"/>
        <w:spacing w:before="0" w:after="0"/>
        <w:ind w:left="0" w:right="0" w:firstLine="360"/>
        <w:jc w:val="both"/>
        <w:rPr>
          <w:rFonts w:ascii="Times New Roman;Times;serif" w:hAnsi="Times New Roman;Times;serif"/>
          <w:sz w:val="20"/>
        </w:rPr>
      </w:pPr>
      <w:bookmarkStart w:id="743" w:name="_Hlk111371873"/>
      <w:bookmarkEnd w:id="743"/>
      <w:r>
        <w:rPr>
          <w:rFonts w:ascii="Times New Roman;Times;serif" w:hAnsi="Times New Roman;Times;serif"/>
          <w:sz w:val="20"/>
        </w:rPr>
        <w:t>We reported net income of approximately $nil in the first quarter of 2023, compared to a net loss of $21.1 million in the same period of 2022.  The following explains the major reasons for the reduction in the net loss in the first quarter of 2023.</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three months ended March 31, 2023 were $7.2 million, compared to $7.4 million for the same period in 2022. The decrease of $0.2 million was primarily due to a reduction in share-based compensation of $2.0 million in the 2023 period, as the cost of the LTIP options with specific market capitalization vesting conditions was fully amortized in 2022 in addition to the decrease in the amortization cost of STIP sign-up options granted in 2021, a reduction of $1.3 million on the PMTS, as the collector test was completed in November 2022 and reduced exploration activities in 2023.  This was offset by an increase in environmental studies of $1.3 million related to the monitoring work on the NORI Area D collector test which was carried out in the fourth quarter of 2022 and an increase in mining, technological and process development of $0.8 million due to engineering work which commenced in the fourth quarter of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three months ended March 31, 2023 were $6.2 million compared to $8.5 million for the same period in 2022. The decrease of $2.3 million in G&amp;A expenses was mainly the result of lower share-based compensation in the 2023 period as the cost of the LTIP options with specific market capitalization vesting conditions was fully amortized in 2022 in addition to the decrease in the amortization cost of STIP sign-up options granted in 2021 and a decrease in communication and investor relations costs incurred during the first quarter of 2023.  This decrease was partially offset by higher G&amp;A expenses in the first quarter of 2023, reflecting an increase in personnel, legal and other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Gain on disposition of asset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quarter of 2023, we reported a gain of $13.75 million on the disposition of NORI’s 2% royalty, reflecting the excess of the consideration received from Low Carbon Royalties of $14 million and NORI exploration contract’s carrying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liability during the first quarter of 2023 resulted in a charge of $0.5 million, reflecting a 49% increase in the price of our warrants in the first quarter of 2023. This compares to a charge of $5.2 million in the comparative quarter of 2022, reflecting an increase of 125% in the price of our warrants.  The warrants liability was initially recorded as part of the Business Combination.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which were converted into common shares as part of the Business Combination. In addition, on September 9, 2021, we completed the Business Combination with SOAC, and as a result we received gross cash proceeds of approximately $137.6 million (approximately $104.5 million net of transaction fees). On August 12, 2022, we completed a private placement raising gross cash proceeds of $30.4 million (approximately $30 million net of transaction fees).  As of March 31, 2023, we had cash on hand of $28.4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received lower than expected cash proceeds upon closing of the Business Combination resulting from higher-than-expected redemptions of SOAC’s Class A ordinary shares and the default by certain private placement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in sufficient amounts, or at all.</w:t>
      </w:r>
    </w:p>
    <w:p>
      <w:pPr>
        <w:pStyle w:val="TextBody"/>
        <w:bidi w:val="0"/>
        <w:spacing w:before="0" w:after="240"/>
        <w:ind w:left="0" w:right="0" w:firstLine="360"/>
        <w:jc w:val="both"/>
        <w:rPr>
          <w:rFonts w:ascii="Times New Roman;Times;serif" w:hAnsi="Times New Roman;Times;serif"/>
          <w:sz w:val="20"/>
        </w:rPr>
      </w:pPr>
      <w:bookmarkStart w:id="744" w:name="_Hlk110416512"/>
      <w:bookmarkEnd w:id="744"/>
      <w:r>
        <w:rPr>
          <w:rFonts w:ascii="Times New Roman;Times;serif" w:hAnsi="Times New Roman;Times;serif"/>
          <w:sz w:val="20"/>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recently signed Credit Facility with an affiliate of Allseas,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will need and are seeking additional financing to fund our continued operations. These financings could include additional public or private equity, debt financings, equity-linked financings or other sources of financing, including through non-dilutive asset, royalty or project-based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16, 2022, we filed a registration statement on Form S-3 with the SEC, which the SEC declared effective on October 14, 2022, to sell up to $100 million of securities, before any fees or expenses of the offering, which includes the $30 million that may be sold under the At-the-Market Equity Distribution Agreement discussed below.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22, 2022, we entered into an At-the-Market Equity Distribution Agreement with Stifel, Nicolaus &amp; Company, Incorporated and Wedbush Securities Inc., as sales agents, allowing us, from time to time, to issue and sell common shares with an aggregate offering price of up to $30 million.  The offer and sales of the shares are made under our effective “shelf” registration statement on Form S-3 filed with the SEC on September 16, 2022, which the SEC declared effective on October 14, 2022. As of the date of this Quarterly Report on Form 10-Q, no sales of common shares have been made under this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2023, we entered into the Credit Facility with Argentum Credit Virtuti GCV (the “Lender”), the parent of Allseas Investments S.A. and an affiliate of Allseas,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  As of the date of this Quarterly Report on Form 10-Q, no amounts have been drawn under this Credit Facility.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Presented below is a summary of our operating, investing and financing cash flows:</w:t>
      </w:r>
    </w:p>
    <w:tbl>
      <w:tblPr>
        <w:tblW w:w="6912" w:type="dxa"/>
        <w:jc w:val="left"/>
        <w:tblInd w:w="0" w:type="dxa"/>
        <w:tblLayout w:type="fixed"/>
        <w:tblCellMar>
          <w:top w:w="0" w:type="dxa"/>
          <w:left w:w="0" w:type="dxa"/>
          <w:bottom w:w="0" w:type="dxa"/>
          <w:right w:w="0" w:type="dxa"/>
        </w:tblCellMar>
      </w:tblPr>
      <w:tblGrid>
        <w:gridCol w:w="4201"/>
        <w:gridCol w:w="326"/>
        <w:gridCol w:w="211"/>
        <w:gridCol w:w="796"/>
        <w:gridCol w:w="32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67635" cy="175260"/>
                      <wp:effectExtent l="0" t="0" r="0" b="0"/>
                      <wp:wrapNone/>
                      <wp:docPr id="119" name="Frame119"/>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5460" cy="175260"/>
                      <wp:effectExtent l="0" t="0" r="0" b="0"/>
                      <wp:wrapNone/>
                      <wp:docPr id="122" name="Frame1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4035" cy="175260"/>
                      <wp:effectExtent l="0" t="0" r="0" b="0"/>
                      <wp:wrapNone/>
                      <wp:docPr id="125" name="Frame1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center"/>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(15,817)</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Comparison of the Three Months Ended March 31, 2023 and March 31,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three months ended March 31, 2023 was $23.5 million, attributable to a net change in net operating assets and liabilities of $12.3 million and non-cash adjustments of $11.1 million. Non-cash adjustments primarily consisted of a $13.75 million gain on disposition of assets, partially offset by $1.8 million of expenses settled with share-based payments and $0.5 million related to the increase in the fair value of the Private Warrants, mainly as a result of the increase in the price of our warrants during the first quarter of 2023. The change in our net operating assets and liabilities was primarily due to an $11.9 million decrease in accounts payable and accrued liabilities in the 2022 period due to the timing of supplier payments.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(used in)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investing activities for the three months ended March 31, 2023 was $5.0 million, reflecting the cash received on closing of our investment in Low Carbon Royalties.  In the comparative first quarter of 2022, cash used in investing activities was $0.2 million for the purchase of equipment.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for the three months ended March 31, 2022 was $0.1 million, compared to nil in the first three months of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2023 to be approximately $25 million,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0" w:right="0" w:firstLine="360"/>
        <w:jc w:val="both"/>
        <w:rPr>
          <w:rFonts w:ascii="Times New Roman;Times;serif" w:hAnsi="Times New Roman;Times;serif"/>
          <w:sz w:val="20"/>
        </w:rPr>
      </w:pPr>
      <w:bookmarkStart w:id="745" w:name="_Hlk95569997"/>
      <w:bookmarkStart w:id="746" w:name="_Hlk95571539"/>
      <w:bookmarkEnd w:id="745"/>
      <w:bookmarkEnd w:id="746"/>
      <w:r>
        <w:rPr>
          <w:rFonts w:ascii="Times New Roman;Times;serif" w:hAnsi="Times New Roman;Times;serif"/>
          <w:sz w:val="20"/>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Marawa Option Agreement and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DGE’s Marawa Option Agreement and Services Agreement with Marawa with respect to the Marawa Area, Marawa committed to spend a defined amount of funds on exploration activities on an annual basis. The commitment for fiscal 2023 and 2024 is Australian dollar (“AUD”) $3 million and AUD $2 million, respectively. Such commitment is negotiated with the ISA for a five-year plan and is subject to regular periodic reviews. To date, limited offshore marine resource definition activities in the Marawa Contract Area have occurred. We expect to collaborate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Obligations Relating to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w:t>
      </w:r>
      <w:r>
        <w:rPr>
          <w:rFonts w:ascii="Times New Roman PS Std" w:hAnsi="Times New Roman PS Std"/>
          <w:sz w:val="20"/>
        </w:rPr>
        <w:t xml:space="preserve">NORI has begun discussions with the Government of Nauru to renegotiate the existing sponsorship agreement and has also committed to ensuring NORI pays corporate income tax within Nauru.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  </w:t>
      </w:r>
      <w:r>
        <w:rPr>
          <w:rFonts w:ascii="Times New Roman PS Std" w:hAnsi="Times New Roman PS Std"/>
          <w:sz w:val="20"/>
        </w:rPr>
        <w:t>TOML expects to renegotiate the existing sponsorship agreement with Tonga prior to entering into operations in the TOML Area and has committed to paying corporate income tax within Tonga.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16, 2022,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will not have to make any payments related to the commercial system to Allseas until March 31,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Hidden Gem, another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March 31, 2023,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as described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2022, the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Offtake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above, on March 22, 2023 we entered into the Credit Facility with Argentum Credit Virtuti GCV, an affiliate of Allseas, under which we may borrow up to $25 million pursuant to the terms and conditions of the Credit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party to any off-balance sheet arrangements.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described in Note 5 to our condensed consolidated interim financial statements included in this Quarterly Report on Form 10-Q, there have been no material changes to our critical accounting policies and estimates as compared to the critical accounting policies and estimates disclosed in our 2022 Annual Report on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2023 fiscal year and we expect to continue to take advantage of the benefits of the extended transition period at least through to the end of the 2023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Statements Regarding the NORI Initial Assessment and TOML Mineral Resource Statement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NORI Initial Assessment and TOML Mineral Resource Statement do not include the conversion of mineral resources to mineral reserves.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Likewise, you are cautioned not to assume that all or any part of measured or indicated mineral resources will ever be upgraded to mineral reserves.</w:t>
      </w:r>
    </w:p>
    <w:p>
      <w:pPr>
        <w:pStyle w:val="TextBody"/>
        <w:pBdr/>
        <w:bidi w:val="0"/>
        <w:spacing w:before="0" w:after="240"/>
        <w:ind w:left="0" w:right="0" w:hanging="720"/>
        <w:jc w:val="left"/>
        <w:rPr>
          <w:rFonts w:ascii="Times New Roman;Times;serif" w:hAnsi="Times New Roman;Times;serif"/>
          <w:b/>
          <w:sz w:val="20"/>
        </w:rPr>
      </w:pPr>
      <w:bookmarkStart w:id="747" w:name="Item3QuantitativeandQualitativeDisclosur"/>
      <w:bookmarkStart w:id="748" w:name="_affe51f1_81cf_4f42_86b7_a00aa2837330"/>
      <w:bookmarkEnd w:id="747"/>
      <w:bookmarkEnd w:id="748"/>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 and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 risk is the risk that the fair value of our future cash flows and our financial instruments will fluctuate because of changes in market interest rates.</w:t>
      </w:r>
    </w:p>
    <w:p>
      <w:pPr>
        <w:pStyle w:val="TextBody"/>
        <w:bidi w:val="0"/>
        <w:spacing w:before="0" w:after="240"/>
        <w:ind w:left="0" w:right="0" w:firstLine="360"/>
        <w:jc w:val="both"/>
        <w:rPr>
          <w:rFonts w:ascii="Times New Roman;Times;serif" w:hAnsi="Times New Roman;Times;serif"/>
          <w:sz w:val="20"/>
        </w:rPr>
      </w:pPr>
      <w:r>
        <w:rPr>
          <w:rFonts w:ascii="Times New Roman PS Std" w:hAnsi="Times New Roman PS Std"/>
          <w:sz w:val="20"/>
        </w:rPr>
        <w:t>Our current practice is to invest excess cash in investment-grade</w:t>
      </w:r>
      <w:r>
        <w:rPr>
          <w:rFonts w:ascii="Times New Roman;Times;serif" w:hAnsi="Times New Roman;Times;serif"/>
          <w:sz w:val="20"/>
        </w:rPr>
        <w:t> </w:t>
      </w:r>
      <w:r>
        <w:rPr>
          <w:rFonts w:ascii="Times New Roman PS Std" w:hAnsi="Times New Roman PS Std"/>
          <w:sz w:val="20"/>
        </w:rPr>
        <w:t>short-term</w:t>
      </w:r>
      <w:r>
        <w:rPr>
          <w:rFonts w:ascii="Times New Roman;Times;serif" w:hAnsi="Times New Roman;Times;serif"/>
          <w:sz w:val="20"/>
        </w:rPr>
        <w:t> </w:t>
      </w:r>
      <w:r>
        <w:rPr>
          <w:rFonts w:ascii="Times New Roman PS Std" w:hAnsi="Times New Roman PS Std"/>
          <w:sz w:val="20"/>
        </w:rPr>
        <w:t>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March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left"/>
        <w:rPr>
          <w:rFonts w:ascii="Times New Roman;Times;serif" w:hAnsi="Times New Roman;Times;serif"/>
          <w:b/>
          <w:sz w:val="20"/>
        </w:rPr>
      </w:pPr>
      <w:bookmarkStart w:id="749" w:name="Item4ControlsandProcedures_279483"/>
      <w:bookmarkStart w:id="750" w:name="_2878dc9c_e5cc_4354_9ccc_edecb1f02c19"/>
      <w:bookmarkEnd w:id="749"/>
      <w:bookmarkEnd w:id="750"/>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March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Remediation of Previously Reported Material Weakness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previously disclosed, including in the 2022 Annual Report on Form 10-K, in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Management had concluded that this material weakness was due to the fact that, prior to the Business Combination, we were a private company with limited resources. As part of the review of our disclosure controls and procedures discussed above, management concluded that, as of March 31, 2023, this material weakness was remediated through the operation over time of the previously disclosed remediation items that were implemented by the end of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the remediated control weakness explained above, there were no other changes in our internal control over financial reporting that occurred during the three months ended March 31, 2023 that have materially affected, or are reasonably likely to materially affect, our internal control over financial reporting.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Effectiveness of Disclosure Controls and Procedures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both"/>
        <w:rPr/>
      </w:pPr>
      <w:r>
        <w:rPr/>
        <w:t>​</w:t>
      </w:r>
    </w:p>
    <w:p>
      <w:pPr>
        <w:pStyle w:val="TextBody"/>
        <w:bidi w:val="0"/>
        <w:spacing w:before="0" w:after="240"/>
        <w:ind w:left="0" w:right="0" w:hanging="0"/>
        <w:jc w:val="center"/>
        <w:rPr>
          <w:rFonts w:ascii="Times New Roman;Times;serif" w:hAnsi="Times New Roman;Times;serif"/>
          <w:b/>
          <w:sz w:val="20"/>
        </w:rPr>
      </w:pPr>
      <w:bookmarkStart w:id="751" w:name="PARTIIOTHERINFORMATION_322011"/>
      <w:bookmarkStart w:id="752" w:name="_4aca5525_242d_47d0_a8f4_2fbae1aef09d"/>
      <w:bookmarkEnd w:id="751"/>
      <w:bookmarkEnd w:id="752"/>
      <w:r>
        <w:rPr>
          <w:rFonts w:ascii="Times New Roman;Times;serif" w:hAnsi="Times New Roman;Times;serif"/>
          <w:b/>
          <w:sz w:val="20"/>
        </w:rPr>
        <w:t>PART II – OTHER INFORMATION</w:t>
      </w:r>
    </w:p>
    <w:p>
      <w:pPr>
        <w:pStyle w:val="TextBody"/>
        <w:pBdr/>
        <w:bidi w:val="0"/>
        <w:spacing w:before="0" w:after="240"/>
        <w:ind w:left="0" w:right="0" w:hanging="825"/>
        <w:jc w:val="left"/>
        <w:rPr>
          <w:rFonts w:ascii="Times New Roman;Times;serif" w:hAnsi="Times New Roman;Times;serif"/>
          <w:b/>
          <w:sz w:val="20"/>
        </w:rPr>
      </w:pPr>
      <w:bookmarkStart w:id="753" w:name="ITEM1LEGALPROCEEDINGS_208283"/>
      <w:bookmarkEnd w:id="753"/>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we are not currently a party to any material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20, 2021, we commenced litigation in the New York Supreme Court, New York County against two investors who failed to fund their investment commitments in connection with the closing of the Business Combination.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which was unsuccessful. The matter is proceeding into the discovery phase.  There can be no assurances, however, that we will be successful in our efforts against these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The Plaintiff is seeking to recover compensable damages caused by the alleged wrongdoings. We deny any allegations of wrongdoing and have filed and served the plaintiff a motion to dismiss on July 12, 2022 and intend to defend against this lawsuit. On September 26, 2022, the motion to dismiss was fully briefed and the parties are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SOAC.  The Company is continuing to cooperate with the investigation and respond voluntarily to the SEC’s requests.</w:t>
      </w:r>
    </w:p>
    <w:p>
      <w:pPr>
        <w:pStyle w:val="TextBody"/>
        <w:bidi w:val="0"/>
        <w:spacing w:before="0" w:after="240"/>
        <w:ind w:left="0" w:right="0" w:firstLine="360"/>
        <w:jc w:val="both"/>
        <w:rPr>
          <w:rFonts w:ascii="Times New Roman;Times;serif" w:hAnsi="Times New Roman;Times;serif"/>
          <w:sz w:val="20"/>
        </w:rPr>
      </w:pPr>
      <w:bookmarkStart w:id="754" w:name="_Hlk129689968"/>
      <w:bookmarkEnd w:id="754"/>
      <w:r>
        <w:rPr>
          <w:rFonts w:ascii="Times New Roman;Times;serif" w:hAnsi="Times New Roman;Times;serif"/>
          <w:sz w:val="20"/>
        </w:rPr>
        <w:t>On January 23, 2023, an investor in the 2021 private placement from the Business Combination filed a lawsuit against us in New York Supreme Court, New York County, captioned Atalaya Special Purpose Investment Fund II LP et al. v. Sustainable Opportunities Acquisition Corp. n/k/a TMC The Metals Company Inc., Index No. 650449/2023 (N.Y. Sup. Ct.).  The complaint alleges that we breached the representations and warranties in the plaintiff’s private placement Subscription Agreement and breached the covenant of good faith and fair dealing.  The Plaintiffs are seeking to recover compensable damages caused by the alleged wrongdoings.  We deny any allegations of wrongdoing and filed a motion to dismiss on March 31, 2023.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w:t>
      </w:r>
    </w:p>
    <w:p>
      <w:pPr>
        <w:pStyle w:val="Normal"/>
        <w:bidi w:val="0"/>
        <w:spacing w:before="0" w:after="0"/>
        <w:jc w:val="left"/>
        <w:rPr>
          <w:sz w:val="4"/>
          <w:szCs w:val="4"/>
        </w:rPr>
      </w:pPr>
      <w:r>
        <w:rPr>
          <w:sz w:val="4"/>
          <w:szCs w:val="4"/>
        </w:rPr>
      </w:r>
      <w:bookmarkStart w:id="755" w:name="ITEM1ARISKFACTORS_765069"/>
      <w:bookmarkStart w:id="756" w:name="_ca725458_76ea_4d09_b05f_6633d3d2cc3e"/>
      <w:bookmarkStart w:id="757" w:name="ITEM1ARISKFACTORS_765069"/>
      <w:bookmarkStart w:id="758" w:name="_ca725458_76ea_4d09_b05f_6633d3d2cc3e"/>
      <w:bookmarkEnd w:id="757"/>
      <w:bookmarkEnd w:id="758"/>
    </w:p>
    <w:tbl>
      <w:tblPr>
        <w:tblW w:w="2597" w:type="dxa"/>
        <w:jc w:val="left"/>
        <w:tblInd w:w="0" w:type="dxa"/>
        <w:tblLayout w:type="fixed"/>
        <w:tblCellMar>
          <w:top w:w="0" w:type="dxa"/>
          <w:left w:w="0" w:type="dxa"/>
          <w:bottom w:w="0" w:type="dxa"/>
          <w:right w:w="0" w:type="dxa"/>
        </w:tblCellMar>
      </w:tblPr>
      <w:tblGrid>
        <w:gridCol w:w="976"/>
        <w:gridCol w:w="1621"/>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1A.</w:t>
            </w:r>
          </w:p>
        </w:tc>
        <w:tc>
          <w:tcPr>
            <w:tcW w:w="1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240"/>
        <w:ind w:left="0" w:right="0" w:firstLine="360"/>
        <w:jc w:val="both"/>
        <w:rPr>
          <w:rFonts w:ascii="Times New Roman;Times;serif" w:hAnsi="Times New Roman;Times;serif"/>
          <w:sz w:val="20"/>
        </w:rPr>
      </w:pPr>
      <w:bookmarkStart w:id="759" w:name="_Hlk133344625"/>
      <w:bookmarkEnd w:id="759"/>
      <w:r>
        <w:rPr>
          <w:rFonts w:ascii="Times New Roman;Times;serif" w:hAnsi="Times New Roman;Times;serif"/>
          <w:sz w:val="20"/>
          <w:shd w:fill="FFFFFF" w:val="clear"/>
        </w:rPr>
        <w:t>You should carefully review and consider the information regarding certain factors that could materially affect our business, consolidated financial condition or results of operations set forth under Item 1A. Risk Factors in our 2022 Annual Report on Form 10-K filed on March 27, 2023. There have been no material changes from or additions to the risk factors disclosed in our 2022 Annual Report on Form 10-K filed on March 27, 2023. We may disclose changes to risk factors or additional factors from time to time in our future filings with the SEC</w:t>
      </w:r>
      <w:r>
        <w:rPr>
          <w:rFonts w:ascii="Times New Roman;Times;serif" w:hAnsi="Times New Roman;Times;serif"/>
          <w:sz w:val="20"/>
        </w:rPr>
        <w:t>.</w:t>
      </w:r>
    </w:p>
    <w:p>
      <w:pPr>
        <w:pStyle w:val="TextBody"/>
        <w:pBdr/>
        <w:bidi w:val="0"/>
        <w:spacing w:before="0" w:after="240"/>
        <w:ind w:left="0" w:right="0" w:hanging="855"/>
        <w:jc w:val="left"/>
        <w:rPr>
          <w:rFonts w:ascii="Times New Roman;Times;serif" w:hAnsi="Times New Roman;Times;serif"/>
          <w:b/>
          <w:sz w:val="20"/>
        </w:rPr>
      </w:pPr>
      <w:bookmarkStart w:id="760" w:name="ITEM2UNREGISTEREDSALESOFEQUITYSECURITIES"/>
      <w:bookmarkStart w:id="761" w:name="_9f8616d2_b9b8_4a79_8690_d0f7a01a1fd4"/>
      <w:bookmarkEnd w:id="760"/>
      <w:bookmarkEnd w:id="761"/>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Unregistered Sales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23, 2023, we issued 10,850,000 common shares priced at $1.00 per share to Allseas as payment for the third milestone amounting to $10 million and additional costs owed to Allseas under the PMTA.  The common shares were issued pursuant to and in accordance with the exemption from registration under Section 4(a)(2) of the Securities 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repurchase any of our equity securities during the three months ended March 31, 2023.</w:t>
      </w:r>
    </w:p>
    <w:p>
      <w:pPr>
        <w:pStyle w:val="TextBody"/>
        <w:pBdr/>
        <w:bidi w:val="0"/>
        <w:spacing w:before="0" w:after="240"/>
        <w:ind w:left="0" w:right="0" w:hanging="850"/>
        <w:jc w:val="left"/>
        <w:rPr>
          <w:rFonts w:ascii="Times New Roman;Times;serif" w:hAnsi="Times New Roman;Times;serif"/>
          <w:b/>
          <w:sz w:val="20"/>
        </w:rPr>
      </w:pPr>
      <w:bookmarkStart w:id="762" w:name="ITEM3DEFAULTSUPONSENIORSECURITIES_440018"/>
      <w:bookmarkStart w:id="763" w:name="_7a72e599_6536_4f0e_829e_e640ece1cde1"/>
      <w:bookmarkEnd w:id="762"/>
      <w:bookmarkEnd w:id="763"/>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855"/>
        <w:jc w:val="left"/>
        <w:rPr>
          <w:rFonts w:ascii="Times New Roman;Times;serif" w:hAnsi="Times New Roman;Times;serif"/>
          <w:b/>
          <w:sz w:val="20"/>
        </w:rPr>
      </w:pPr>
      <w:bookmarkStart w:id="764" w:name="ITEM4MINESAFETYDISCLOSURES_620629"/>
      <w:bookmarkStart w:id="765" w:name="_ef26e5e2_bee6_48c6_8731_503e3927ba26"/>
      <w:bookmarkEnd w:id="764"/>
      <w:bookmarkEnd w:id="765"/>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850"/>
        <w:jc w:val="left"/>
        <w:rPr>
          <w:rFonts w:ascii="Times New Roman;Times;serif" w:hAnsi="Times New Roman;Times;serif"/>
          <w:b/>
          <w:sz w:val="20"/>
        </w:rPr>
      </w:pPr>
      <w:bookmarkStart w:id="766" w:name="ITEM5OTHERINFORMATION_798310"/>
      <w:bookmarkStart w:id="767" w:name="_9cfad96e_ee6d_4910_b3de_946c33be33b5"/>
      <w:bookmarkEnd w:id="766"/>
      <w:bookmarkEnd w:id="767"/>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850"/>
        <w:jc w:val="left"/>
        <w:rPr/>
      </w:pPr>
      <w:r>
        <w:rPr/>
        <w:t>​</w:t>
      </w:r>
    </w:p>
    <w:p>
      <w:pPr>
        <w:pStyle w:val="TextBody"/>
        <w:pBdr/>
        <w:bidi w:val="0"/>
        <w:spacing w:before="0" w:after="240"/>
        <w:ind w:left="0" w:right="0" w:hanging="850"/>
        <w:jc w:val="left"/>
        <w:rPr>
          <w:rFonts w:ascii="Times New Roman;Times;serif" w:hAnsi="Times New Roman;Times;serif"/>
          <w:b/>
          <w:sz w:val="20"/>
        </w:rPr>
      </w:pPr>
      <w:bookmarkStart w:id="768" w:name="ITEM6EXHIBITS_305687"/>
      <w:bookmarkStart w:id="769" w:name="_12bfcea2_bad1_4344_ad48_384a0fcfd35a"/>
      <w:bookmarkEnd w:id="768"/>
      <w:bookmarkEnd w:id="769"/>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0" w:type="dxa"/>
          <w:right w:w="0" w:type="dxa"/>
        </w:tblCellMar>
      </w:tblPr>
      <w:tblGrid>
        <w:gridCol w:w="719"/>
        <w:gridCol w:w="326"/>
        <w:gridCol w:w="4412"/>
        <w:gridCol w:w="326"/>
        <w:gridCol w:w="841"/>
        <w:gridCol w:w="326"/>
        <w:gridCol w:w="1115"/>
        <w:gridCol w:w="326"/>
        <w:gridCol w:w="584"/>
        <w:gridCol w:w="326"/>
        <w:gridCol w:w="904"/>
      </w:tblGrid>
      <w:tr>
        <w:trPr/>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56565" cy="29210"/>
                      <wp:effectExtent l="0" t="0" r="0" b="0"/>
                      <wp:wrapNone/>
                      <wp:docPr id="126" name="Frame126"/>
                      <a:graphic xmlns:a="http://schemas.openxmlformats.org/drawingml/2006/main">
                        <a:graphicData uri="http://schemas.microsoft.com/office/word/2010/wordprocessingShape">
                          <wps:wsp>
                            <wps:cNvSpPr txBox="1"/>
                            <wps:spPr>
                              <a:xfrm>
                                <a:off x="0" y="0"/>
                                <a:ext cx="4565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29210"/>
                      <wp:effectExtent l="0" t="0" r="0" b="0"/>
                      <wp:wrapNone/>
                      <wp:docPr id="127" name="Frame12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801620" cy="29210"/>
                      <wp:effectExtent l="0" t="0" r="0" b="0"/>
                      <wp:wrapNone/>
                      <wp:docPr id="128" name="Frame128"/>
                      <a:graphic xmlns:a="http://schemas.openxmlformats.org/drawingml/2006/main">
                        <a:graphicData uri="http://schemas.microsoft.com/office/word/2010/wordprocessingShape">
                          <wps:wsp>
                            <wps:cNvSpPr txBox="1"/>
                            <wps:spPr>
                              <a:xfrm>
                                <a:off x="0" y="0"/>
                                <a:ext cx="28016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29210"/>
                      <wp:effectExtent l="0" t="0" r="0" b="0"/>
                      <wp:wrapNone/>
                      <wp:docPr id="129" name="Frame12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34035" cy="29210"/>
                      <wp:effectExtent l="0" t="0" r="0" b="0"/>
                      <wp:wrapNone/>
                      <wp:docPr id="130" name="Frame130"/>
                      <a:graphic xmlns:a="http://schemas.openxmlformats.org/drawingml/2006/main">
                        <a:graphicData uri="http://schemas.microsoft.com/office/word/2010/wordprocessingShape">
                          <wps:wsp>
                            <wps:cNvSpPr txBox="1"/>
                            <wps:spPr>
                              <a:xfrm>
                                <a:off x="0" y="0"/>
                                <a:ext cx="534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29210"/>
                      <wp:effectExtent l="0" t="0" r="0" b="0"/>
                      <wp:wrapNone/>
                      <wp:docPr id="131" name="Frame131"/>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08025" cy="29210"/>
                      <wp:effectExtent l="0" t="0" r="0" b="0"/>
                      <wp:wrapNone/>
                      <wp:docPr id="132" name="Frame132"/>
                      <a:graphic xmlns:a="http://schemas.openxmlformats.org/drawingml/2006/main">
                        <a:graphicData uri="http://schemas.microsoft.com/office/word/2010/wordprocessingShape">
                          <wps:wsp>
                            <wps:cNvSpPr txBox="1"/>
                            <wps:spPr>
                              <a:xfrm>
                                <a:off x="0" y="0"/>
                                <a:ext cx="708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29210"/>
                      <wp:effectExtent l="0" t="0" r="0" b="0"/>
                      <wp:wrapNone/>
                      <wp:docPr id="133" name="Frame133"/>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0840" cy="29210"/>
                      <wp:effectExtent l="0" t="0" r="0" b="0"/>
                      <wp:wrapNone/>
                      <wp:docPr id="134" name="Frame134"/>
                      <a:graphic xmlns:a="http://schemas.openxmlformats.org/drawingml/2006/main">
                        <a:graphicData uri="http://schemas.microsoft.com/office/word/2010/wordprocessingShape">
                          <wps:wsp>
                            <wps:cNvSpPr txBox="1"/>
                            <wps:spPr>
                              <a:xfrm>
                                <a:off x="0" y="0"/>
                                <a:ext cx="3708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29210"/>
                      <wp:effectExtent l="0" t="0" r="0" b="0"/>
                      <wp:wrapNone/>
                      <wp:docPr id="135" name="Frame135"/>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74040" cy="29210"/>
                      <wp:effectExtent l="0" t="0" r="0" b="0"/>
                      <wp:wrapNone/>
                      <wp:docPr id="136" name="Frame136"/>
                      <a:graphic xmlns:a="http://schemas.openxmlformats.org/drawingml/2006/main">
                        <a:graphicData uri="http://schemas.microsoft.com/office/word/2010/wordprocessingShape">
                          <wps:wsp>
                            <wps:cNvSpPr txBox="1"/>
                            <wps:spPr>
                              <a:xfrm>
                                <a:off x="0" y="0"/>
                                <a:ext cx="5740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Incorporated by</w:t>
              <w:br/>
              <w:t>Reference Herein</w:t>
              <w:br/>
              <w:t>from</w:t>
            </w:r>
            <w:r>
              <w:rPr>
                <w:rFonts w:ascii="Times New Roman;Times;serif" w:hAnsi="Times New Roman;Times;serif"/>
                <w:sz w:val="16"/>
              </w:rPr>
              <w:t xml:space="preserve"> </w:t>
              <w:br/>
            </w:r>
            <w:r>
              <w:rPr>
                <w:rFonts w:ascii="Times New Roman;Times;serif" w:hAnsi="Times New Roman;Times;serif"/>
                <w:b/>
                <w:sz w:val="16"/>
              </w:rPr>
              <w:t>Form or Schedule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SEC File/</w:t>
            </w:r>
            <w:r>
              <w:rPr>
                <w:rFonts w:ascii="Times New Roman;Times;serif" w:hAnsi="Times New Roman;Times;serif"/>
                <w:sz w:val="16"/>
              </w:rPr>
              <w:t xml:space="preserve"> </w:t>
            </w:r>
            <w:r>
              <w:rPr>
                <w:rFonts w:ascii="Times New Roman;Times;serif" w:hAnsi="Times New Roman;Times;serif"/>
                <w:b/>
                <w:sz w:val="16"/>
              </w:rPr>
              <w:t>Reg. Number</w:t>
            </w:r>
          </w:p>
        </w:tc>
      </w:tr>
      <w:tr>
        <w:trPr/>
        <w:tc>
          <w:tcPr>
            <w:tcW w:w="71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441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Fifth Amendment to Pilot Mining Test Agreement and Third Amendment to Strategic Alliance Agreement, effective as of February 8, 2023, by and among DeepGreen Engineering Pte Ltd, DeepGreen Metals Inc., TMC the metals company Inc. and Allseas Group S.A.</w:t>
              </w:r>
            </w:hyperlink>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15"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 8-K</w:t>
              <w:br/>
              <w:t>(Exhibit 10.1)</w:t>
            </w:r>
          </w:p>
        </w:tc>
        <w:tc>
          <w:tcPr>
            <w:tcW w:w="326" w:type="dxa"/>
            <w:tcBorders/>
            <w:shd w:fill="CCEEFF" w:val="clear"/>
            <w:vAlign w:val="center"/>
          </w:tcPr>
          <w:p>
            <w:pPr>
              <w:pStyle w:val="TableContents"/>
              <w:bidi w:val="0"/>
              <w:spacing w:before="0" w:after="0"/>
              <w:ind w:left="0" w:right="0" w:hanging="0"/>
              <w:jc w:val="left"/>
              <w:rPr/>
            </w:pPr>
            <w:r>
              <w:rPr/>
              <w:t>​</w:t>
            </w:r>
          </w:p>
        </w:tc>
        <w:tc>
          <w:tcPr>
            <w:tcW w:w="58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2/17/2023</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001-39281</w:t>
            </w:r>
          </w:p>
        </w:tc>
      </w:tr>
      <w:tr>
        <w:trPr/>
        <w:tc>
          <w:tcPr>
            <w:tcW w:w="7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326" w:type="dxa"/>
            <w:tcBorders/>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Royalty Agreement, dated February 21, 2023, by and among TMC the metals company Inc., Nauru Ocean Resources Inc. and Low Carbon Royalties Inc.</w:t>
              </w:r>
            </w:hyperlink>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 8-K</w:t>
              <w:br/>
              <w:t>(Exhibit 10.1)</w:t>
            </w:r>
          </w:p>
        </w:tc>
        <w:tc>
          <w:tcPr>
            <w:tcW w:w="326"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2/22/2023</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001-39281</w:t>
            </w:r>
          </w:p>
        </w:tc>
      </w:tr>
      <w:tr>
        <w:trPr/>
        <w:tc>
          <w:tcPr>
            <w:tcW w:w="7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4412"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Investor Rights Agreement, dated February 21, 2023, by and among TMC the metals company Inc., Brian Paes-Braga and Low Carbon Royalties Inc.</w:t>
              </w:r>
            </w:hyperlink>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 8-K</w:t>
              <w:br/>
              <w:t>(Exhibit 10.2)</w:t>
            </w:r>
          </w:p>
        </w:tc>
        <w:tc>
          <w:tcPr>
            <w:tcW w:w="326"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3/27/2023</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001-39281</w:t>
            </w:r>
          </w:p>
        </w:tc>
      </w:tr>
      <w:tr>
        <w:trPr/>
        <w:tc>
          <w:tcPr>
            <w:tcW w:w="7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w:t>
            </w:r>
            <w:r>
              <w:rPr>
                <w:rFonts w:ascii="Times New Roman;Times;serif" w:hAnsi="Times New Roman;Times;serif"/>
                <w:sz w:val="20"/>
              </w:rPr>
              <w:t>0.4</w:t>
            </w:r>
          </w:p>
        </w:tc>
        <w:tc>
          <w:tcPr>
            <w:tcW w:w="326" w:type="dxa"/>
            <w:tcBorders/>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Unsecured Credit Facility, dated March 22, 2023, by and between TMC the metals company Inc. and Argentum Credit Virtuti GCV</w:t>
              </w:r>
            </w:hyperlink>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 10-K</w:t>
              <w:br/>
              <w:t>(Exhibit 10.31)</w:t>
            </w:r>
          </w:p>
        </w:tc>
        <w:tc>
          <w:tcPr>
            <w:tcW w:w="326"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03/27/2023</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001-39281</w:t>
            </w:r>
          </w:p>
        </w:tc>
      </w:tr>
      <w:tr>
        <w:trPr/>
        <w:tc>
          <w:tcPr>
            <w:tcW w:w="719" w:type="dxa"/>
            <w:tcBorders/>
            <w:shd w:fill="CCEEFF" w:val="clear"/>
            <w:vAlign w:val="center"/>
          </w:tcPr>
          <w:p>
            <w:pPr>
              <w:pStyle w:val="TableContents"/>
              <w:bidi w:val="0"/>
              <w:spacing w:before="0" w:after="0"/>
              <w:ind w:left="0" w:right="0" w:hanging="0"/>
              <w:jc w:val="left"/>
              <w:rPr/>
            </w:pPr>
            <w:hyperlink w:anchor="tmc-20230331xex31d1.htm">
              <w:r>
                <w:rPr>
                  <w:rStyle w:val="InternetLink"/>
                  <w:rFonts w:ascii="Times New Roman;Times;serif" w:hAnsi="Times New Roman;Times;serif"/>
                  <w:b w:val="false"/>
                  <w:i w:val="false"/>
                  <w:caps w:val="false"/>
                  <w:smallCaps w:val="false"/>
                  <w:sz w:val="20"/>
                </w:rPr>
                <w:t>31.1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4412" w:type="dxa"/>
            <w:tcBorders/>
            <w:shd w:fill="CCEEFF" w:val="clear"/>
            <w:vAlign w:val="center"/>
          </w:tcPr>
          <w:p>
            <w:pPr>
              <w:pStyle w:val="TableContents"/>
              <w:bidi w:val="0"/>
              <w:spacing w:before="0" w:after="0"/>
              <w:ind w:left="0" w:right="0" w:hanging="0"/>
              <w:jc w:val="left"/>
              <w:rPr/>
            </w:pPr>
            <w:hyperlink w:anchor="tmc-20230331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1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719" w:type="dxa"/>
            <w:tcBorders/>
            <w:vAlign w:val="center"/>
          </w:tcPr>
          <w:p>
            <w:pPr>
              <w:pStyle w:val="TableContents"/>
              <w:bidi w:val="0"/>
              <w:spacing w:before="0" w:after="0"/>
              <w:ind w:left="0" w:right="0" w:hanging="0"/>
              <w:jc w:val="left"/>
              <w:rPr/>
            </w:pPr>
            <w:hyperlink w:anchor="tmc-20230331xex31d2.htm">
              <w:r>
                <w:rPr>
                  <w:rStyle w:val="InternetLink"/>
                  <w:rFonts w:ascii="Times New Roman;Times;serif" w:hAnsi="Times New Roman;Times;serif"/>
                  <w:b w:val="false"/>
                  <w:i w:val="false"/>
                  <w:caps w:val="false"/>
                  <w:smallCaps w:val="false"/>
                  <w:sz w:val="20"/>
                </w:rPr>
                <w:t>31.2</w:t>
              </w:r>
            </w:hyperlink>
          </w:p>
        </w:tc>
        <w:tc>
          <w:tcPr>
            <w:tcW w:w="326" w:type="dxa"/>
            <w:tcBorders/>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0"/>
              <w:ind w:left="0" w:right="0" w:hanging="0"/>
              <w:jc w:val="left"/>
              <w:rPr/>
            </w:pPr>
            <w:hyperlink w:anchor="tmc-20230331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center"/>
              <w:rPr/>
            </w:pPr>
            <w:r>
              <w:rPr/>
              <w:t>​</w:t>
            </w:r>
          </w:p>
        </w:tc>
        <w:tc>
          <w:tcPr>
            <w:tcW w:w="11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r>
      <w:tr>
        <w:trPr/>
        <w:tc>
          <w:tcPr>
            <w:tcW w:w="719" w:type="dxa"/>
            <w:tcBorders/>
            <w:shd w:fill="CCEEFF" w:val="clear"/>
            <w:vAlign w:val="center"/>
          </w:tcPr>
          <w:p>
            <w:pPr>
              <w:pStyle w:val="TableContents"/>
              <w:bidi w:val="0"/>
              <w:spacing w:before="0" w:after="0"/>
              <w:ind w:left="0" w:right="0" w:hanging="0"/>
              <w:jc w:val="left"/>
              <w:rPr/>
            </w:pPr>
            <w:hyperlink w:anchor="tmc-20230331xex32.htm">
              <w:r>
                <w:rPr>
                  <w:rStyle w:val="InternetLink"/>
                  <w:rFonts w:ascii="Times New Roman;Times;serif" w:hAnsi="Times New Roman;Times;serif"/>
                  <w:b w:val="false"/>
                  <w:i w:val="false"/>
                  <w:caps w:val="false"/>
                  <w:smallCaps w:val="false"/>
                  <w:sz w:val="20"/>
                </w:rPr>
                <w:t>32*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4412" w:type="dxa"/>
            <w:tcBorders/>
            <w:shd w:fill="CCEEFF" w:val="clear"/>
            <w:vAlign w:val="center"/>
          </w:tcPr>
          <w:p>
            <w:pPr>
              <w:pStyle w:val="TableContents"/>
              <w:bidi w:val="0"/>
              <w:spacing w:before="0" w:after="0"/>
              <w:ind w:left="0" w:right="0" w:hanging="0"/>
              <w:jc w:val="left"/>
              <w:rPr/>
            </w:pPr>
            <w:hyperlink w:anchor="tmc-20230331xex32.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1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71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26" w:type="dxa"/>
            <w:tcBorders/>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 (the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center"/>
              <w:rPr/>
            </w:pPr>
            <w:r>
              <w:rPr/>
              <w:t>​</w:t>
            </w:r>
          </w:p>
        </w:tc>
        <w:tc>
          <w:tcPr>
            <w:tcW w:w="11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r>
      <w:tr>
        <w:trPr/>
        <w:tc>
          <w:tcPr>
            <w:tcW w:w="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26" w:type="dxa"/>
            <w:tcBorders/>
            <w:shd w:fill="CCEEFF" w:val="clear"/>
            <w:vAlign w:val="center"/>
          </w:tcPr>
          <w:p>
            <w:pPr>
              <w:pStyle w:val="TableContents"/>
              <w:bidi w:val="0"/>
              <w:spacing w:before="0" w:after="0"/>
              <w:ind w:left="0" w:right="0" w:hanging="0"/>
              <w:jc w:val="left"/>
              <w:rPr/>
            </w:pPr>
            <w:r>
              <w:rPr/>
              <w:t>​</w:t>
            </w:r>
          </w:p>
        </w:tc>
        <w:tc>
          <w:tcPr>
            <w:tcW w:w="4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1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71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26" w:type="dxa"/>
            <w:tcBorders/>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center"/>
              <w:rPr/>
            </w:pPr>
            <w:r>
              <w:rPr/>
              <w:t>​</w:t>
            </w:r>
          </w:p>
        </w:tc>
        <w:tc>
          <w:tcPr>
            <w:tcW w:w="11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r>
      <w:tr>
        <w:trPr/>
        <w:tc>
          <w:tcPr>
            <w:tcW w:w="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26" w:type="dxa"/>
            <w:tcBorders/>
            <w:shd w:fill="CCEEFF" w:val="clear"/>
            <w:vAlign w:val="center"/>
          </w:tcPr>
          <w:p>
            <w:pPr>
              <w:pStyle w:val="TableContents"/>
              <w:bidi w:val="0"/>
              <w:spacing w:before="0" w:after="0"/>
              <w:ind w:left="0" w:right="0" w:hanging="0"/>
              <w:jc w:val="left"/>
              <w:rPr/>
            </w:pPr>
            <w:r>
              <w:rPr/>
              <w:t>​</w:t>
            </w:r>
          </w:p>
        </w:tc>
        <w:tc>
          <w:tcPr>
            <w:tcW w:w="44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1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71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26" w:type="dxa"/>
            <w:tcBorders/>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center"/>
              <w:rPr/>
            </w:pPr>
            <w:r>
              <w:rPr/>
              <w:t>​</w:t>
            </w:r>
          </w:p>
        </w:tc>
        <w:tc>
          <w:tcPr>
            <w:tcW w:w="11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both"/>
        <w:rPr/>
      </w:pPr>
      <w:r>
        <w:rPr/>
        <w:t xml:space="preserve">† </w:t>
      </w:r>
      <w:r>
        <w:rPr>
          <w:rFonts w:ascii="Times New Roman;Times;serif" w:hAnsi="Times New Roman;Times;serif"/>
          <w:sz w:val="20"/>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70" w:name="iSkippedRange_90101"/>
      <w:bookmarkStart w:id="771" w:name="_7f748d45_09a0_47de_bde2_32909928e2b0"/>
      <w:bookmarkEnd w:id="770"/>
      <w:bookmarkEnd w:id="77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293" w:type="dxa"/>
        <w:jc w:val="left"/>
        <w:tblInd w:w="0" w:type="dxa"/>
        <w:tblLayout w:type="fixed"/>
        <w:tblCellMar>
          <w:top w:w="0" w:type="dxa"/>
          <w:left w:w="0" w:type="dxa"/>
          <w:bottom w:w="0" w:type="dxa"/>
          <w:right w:w="0" w:type="dxa"/>
        </w:tblCellMar>
      </w:tblPr>
      <w:tblGrid>
        <w:gridCol w:w="1741"/>
        <w:gridCol w:w="490"/>
        <w:gridCol w:w="2871"/>
        <w:gridCol w:w="19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05535" cy="175260"/>
                      <wp:effectExtent l="0" t="0" r="0" b="0"/>
                      <wp:wrapNone/>
                      <wp:docPr id="137" name="Frame13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11150" cy="175260"/>
                      <wp:effectExtent l="0" t="0" r="0" b="0"/>
                      <wp:wrapNone/>
                      <wp:docPr id="138" name="Frame138"/>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23085" cy="29210"/>
                      <wp:effectExtent l="0" t="0" r="0" b="0"/>
                      <wp:wrapNone/>
                      <wp:docPr id="139" name="Frame139"/>
                      <a:graphic xmlns:a="http://schemas.openxmlformats.org/drawingml/2006/main">
                        <a:graphicData uri="http://schemas.microsoft.com/office/word/2010/wordprocessingShape">
                          <wps:wsp>
                            <wps:cNvSpPr txBox="1"/>
                            <wps:spPr>
                              <a:xfrm>
                                <a:off x="0" y="0"/>
                                <a:ext cx="182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1285" cy="29210"/>
                      <wp:effectExtent l="0" t="0" r="0" b="0"/>
                      <wp:wrapNone/>
                      <wp:docPr id="140" name="Frame140"/>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36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TMC THE METALS COMPANY INC.</w:t>
            </w:r>
          </w:p>
        </w:tc>
        <w:tc>
          <w:tcPr>
            <w:tcW w:w="19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Craig Shesky </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right"/>
        <w:rPr>
          <w:rFonts w:ascii="Times New Roman;Times;serif" w:hAnsi="Times New Roman;Times;serif"/>
          <w:b/>
          <w:sz w:val="20"/>
        </w:rPr>
      </w:pPr>
      <w:bookmarkStart w:id="772" w:name="tmc-20230331xex31d1.htm"/>
      <w:bookmarkStart w:id="773" w:name="kstmc20230331xex31d1"/>
      <w:bookmarkEnd w:id="772"/>
      <w:bookmarkEnd w:id="773"/>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Gerard Barron,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95" w:type="dxa"/>
        <w:jc w:val="left"/>
        <w:tblInd w:w="0" w:type="dxa"/>
        <w:tblLayout w:type="fixed"/>
        <w:tblCellMar>
          <w:top w:w="0" w:type="dxa"/>
          <w:left w:w="0" w:type="dxa"/>
          <w:bottom w:w="0" w:type="dxa"/>
          <w:right w:w="0" w:type="dxa"/>
        </w:tblCellMar>
      </w:tblPr>
      <w:tblGrid>
        <w:gridCol w:w="4441"/>
        <w:gridCol w:w="154"/>
      </w:tblGrid>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r>
              <w:rPr>
                <w:rFonts w:ascii="Times New Roman;Times;serif" w:hAnsi="Times New Roman;Times;serif"/>
                <w:i/>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74" w:name="tmc-20230331xex31d2.htm"/>
      <w:bookmarkStart w:id="775" w:name="kstmc20230331xex31d2"/>
      <w:bookmarkEnd w:id="774"/>
      <w:bookmarkEnd w:id="775"/>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Shesky,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TMC the metals company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50" w:type="dxa"/>
        <w:jc w:val="left"/>
        <w:tblInd w:w="0" w:type="dxa"/>
        <w:tblLayout w:type="fixed"/>
        <w:tblCellMar>
          <w:top w:w="0" w:type="dxa"/>
          <w:left w:w="0" w:type="dxa"/>
          <w:bottom w:w="0" w:type="dxa"/>
          <w:right w:w="0" w:type="dxa"/>
        </w:tblCellMar>
      </w:tblPr>
      <w:tblGrid>
        <w:gridCol w:w="4396"/>
        <w:gridCol w:w="154"/>
      </w:tblGrid>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r>
              <w:rPr>
                <w:rFonts w:ascii="Times New Roman;Times;serif" w:hAnsi="Times New Roman;Times;serif"/>
                <w:i/>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76" w:name="tmc-20230331xex32.htm"/>
      <w:bookmarkStart w:id="777" w:name="kstmc20230331xex32"/>
      <w:bookmarkEnd w:id="776"/>
      <w:bookmarkEnd w:id="777"/>
      <w:r>
        <w:rPr>
          <w:rFonts w:ascii="Times New Roman;Times;serif" w:hAnsi="Times New Roman;Times;serif"/>
          <w:b/>
          <w:sz w:val="20"/>
        </w:rPr>
        <w:t>Exhibit 32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Quarterly Report for the quarter ended March 31,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367" w:type="dxa"/>
        <w:jc w:val="center"/>
        <w:tblInd w:w="0" w:type="dxa"/>
        <w:tblLayout w:type="fixed"/>
        <w:tblCellMar>
          <w:top w:w="0" w:type="dxa"/>
          <w:left w:w="0" w:type="dxa"/>
          <w:bottom w:w="0" w:type="dxa"/>
          <w:right w:w="0" w:type="dxa"/>
        </w:tblCellMar>
      </w:tblPr>
      <w:tblGrid>
        <w:gridCol w:w="1846"/>
        <w:gridCol w:w="252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11, 2023</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11, 2023</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10465923023295/tm237199d2_ex10-1.htm" TargetMode="External"/><Relationship Id="rId3" Type="http://schemas.openxmlformats.org/officeDocument/2006/relationships/hyperlink" Target="https://www.sec.gov/Archives/edgar/data/1798562/000110465923024088/tm237472d2_ex10-1.htm" TargetMode="External"/><Relationship Id="rId4" Type="http://schemas.openxmlformats.org/officeDocument/2006/relationships/hyperlink" Target="https://www.sec.gov/Archives/edgar/data/1798562/000110465923024088/tm237472d2_ex10-2.htm" TargetMode="External"/><Relationship Id="rId5" Type="http://schemas.openxmlformats.org/officeDocument/2006/relationships/hyperlink" Target="https://www.sec.gov/Archives/edgar/data/1798562/000110465923037110/tmc-20221231xex10d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19921</Words>
  <Characters>109159</Characters>
  <CharactersWithSpaces>129929</CharactersWithSpaces>
  <Paragraphs>3147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