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320040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35" w:lineRule="exact"/>
        <w:rPr>
          <w:sz w:val="24"/>
          <w:szCs w:val="24"/>
          <w:color w:val="auto"/>
        </w:rPr>
      </w:pPr>
    </w:p>
    <w:p>
      <w:pPr>
        <w:ind w:left="4760"/>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ind w:left="4120"/>
        <w:spacing w:after="0"/>
        <w:rPr>
          <w:sz w:val="20"/>
          <w:szCs w:val="20"/>
          <w:color w:val="auto"/>
        </w:rPr>
      </w:pPr>
      <w:r>
        <w:rPr>
          <w:rFonts w:ascii="Arial" w:cs="Arial" w:eastAsia="Arial" w:hAnsi="Arial"/>
          <w:sz w:val="18"/>
          <w:szCs w:val="18"/>
          <w:b w:val="1"/>
          <w:bCs w:val="1"/>
          <w:color w:val="auto"/>
        </w:rPr>
        <w:t>Pursuant to Section 13 OR 15(d) of the</w:t>
      </w:r>
    </w:p>
    <w:p>
      <w:pPr>
        <w:spacing w:after="0" w:line="9" w:lineRule="exact"/>
        <w:rPr>
          <w:sz w:val="24"/>
          <w:szCs w:val="24"/>
          <w:color w:val="auto"/>
        </w:rPr>
      </w:pPr>
    </w:p>
    <w:p>
      <w:pPr>
        <w:ind w:left="4400"/>
        <w:spacing w:after="0"/>
        <w:rPr>
          <w:sz w:val="20"/>
          <w:szCs w:val="20"/>
          <w:color w:val="auto"/>
        </w:rPr>
      </w:pPr>
      <w:r>
        <w:rPr>
          <w:rFonts w:ascii="Arial" w:cs="Arial" w:eastAsia="Arial" w:hAnsi="Arial"/>
          <w:sz w:val="18"/>
          <w:szCs w:val="18"/>
          <w:b w:val="1"/>
          <w:bCs w:val="1"/>
          <w:color w:val="auto"/>
        </w:rPr>
        <w:t>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June 30,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1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TMC THE METALS COMPANY INC.</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15" w:lineRule="exact"/>
        <w:rPr>
          <w:sz w:val="24"/>
          <w:szCs w:val="24"/>
          <w:color w:val="auto"/>
        </w:rPr>
      </w:pPr>
    </w:p>
    <w:tbl>
      <w:tblPr>
        <w:tblLayout w:type="fixed"/>
        <w:tblInd w:w="500" w:type="dxa"/>
        <w:tblCellMar>
          <w:top w:w="0" w:type="dxa"/>
          <w:left w:w="0" w:type="dxa"/>
          <w:bottom w:w="0" w:type="dxa"/>
          <w:right w:w="0" w:type="dxa"/>
        </w:tblCellMar>
      </w:tblPr>
      <w:tr>
        <w:trPr>
          <w:trHeight w:val="220"/>
        </w:trPr>
        <w:tc>
          <w:tcPr>
            <w:tcW w:w="3520" w:type="dxa"/>
            <w:vAlign w:val="bottom"/>
          </w:tcPr>
          <w:p>
            <w:pPr>
              <w:jc w:val="center"/>
              <w:ind w:right="610"/>
              <w:spacing w:after="0"/>
              <w:rPr>
                <w:sz w:val="20"/>
                <w:szCs w:val="20"/>
                <w:color w:val="auto"/>
              </w:rPr>
            </w:pPr>
            <w:r>
              <w:rPr>
                <w:rFonts w:ascii="Arial" w:cs="Arial" w:eastAsia="Arial" w:hAnsi="Arial"/>
                <w:sz w:val="18"/>
                <w:szCs w:val="18"/>
                <w:b w:val="1"/>
                <w:bCs w:val="1"/>
                <w:color w:val="auto"/>
                <w:w w:val="92"/>
              </w:rPr>
              <w:t>British Columbia, Canada</w:t>
            </w:r>
          </w:p>
        </w:tc>
        <w:tc>
          <w:tcPr>
            <w:tcW w:w="3680" w:type="dxa"/>
            <w:vAlign w:val="bottom"/>
          </w:tcPr>
          <w:p>
            <w:pPr>
              <w:jc w:val="right"/>
              <w:ind w:right="1550"/>
              <w:spacing w:after="0"/>
              <w:rPr>
                <w:sz w:val="20"/>
                <w:szCs w:val="20"/>
                <w:color w:val="auto"/>
              </w:rPr>
            </w:pPr>
            <w:r>
              <w:rPr>
                <w:rFonts w:ascii="Arial" w:cs="Arial" w:eastAsia="Arial" w:hAnsi="Arial"/>
                <w:sz w:val="18"/>
                <w:szCs w:val="18"/>
                <w:b w:val="1"/>
                <w:bCs w:val="1"/>
                <w:color w:val="auto"/>
              </w:rPr>
              <w:t>001-39281</w:t>
            </w:r>
          </w:p>
        </w:tc>
        <w:tc>
          <w:tcPr>
            <w:tcW w:w="2360" w:type="dxa"/>
            <w:vAlign w:val="bottom"/>
          </w:tcPr>
          <w:p>
            <w:pPr>
              <w:jc w:val="center"/>
              <w:ind w:left="930"/>
              <w:spacing w:after="0"/>
              <w:rPr>
                <w:sz w:val="20"/>
                <w:szCs w:val="20"/>
                <w:color w:val="auto"/>
              </w:rPr>
            </w:pPr>
            <w:r>
              <w:rPr>
                <w:rFonts w:ascii="Arial" w:cs="Arial" w:eastAsia="Arial" w:hAnsi="Arial"/>
                <w:sz w:val="18"/>
                <w:szCs w:val="18"/>
                <w:b w:val="1"/>
                <w:bCs w:val="1"/>
                <w:color w:val="auto"/>
                <w:w w:val="90"/>
              </w:rPr>
              <w:t>Not Applicable</w:t>
            </w:r>
          </w:p>
        </w:tc>
      </w:tr>
      <w:tr>
        <w:trPr>
          <w:trHeight w:val="216"/>
        </w:trPr>
        <w:tc>
          <w:tcPr>
            <w:tcW w:w="3520" w:type="dxa"/>
            <w:vAlign w:val="bottom"/>
          </w:tcPr>
          <w:p>
            <w:pPr>
              <w:jc w:val="center"/>
              <w:ind w:right="590"/>
              <w:spacing w:after="0"/>
              <w:rPr>
                <w:sz w:val="20"/>
                <w:szCs w:val="20"/>
                <w:color w:val="auto"/>
              </w:rPr>
            </w:pPr>
            <w:r>
              <w:rPr>
                <w:rFonts w:ascii="Arial" w:cs="Arial" w:eastAsia="Arial" w:hAnsi="Arial"/>
                <w:sz w:val="18"/>
                <w:szCs w:val="18"/>
                <w:color w:val="auto"/>
                <w:w w:val="92"/>
              </w:rPr>
              <w:t>(State or other jurisdiction of</w:t>
            </w:r>
          </w:p>
        </w:tc>
        <w:tc>
          <w:tcPr>
            <w:tcW w:w="3680" w:type="dxa"/>
            <w:vAlign w:val="bottom"/>
          </w:tcPr>
          <w:p>
            <w:pPr>
              <w:jc w:val="center"/>
              <w:ind w:right="270"/>
              <w:spacing w:after="0"/>
              <w:rPr>
                <w:sz w:val="20"/>
                <w:szCs w:val="20"/>
                <w:color w:val="auto"/>
              </w:rPr>
            </w:pPr>
            <w:r>
              <w:rPr>
                <w:rFonts w:ascii="Arial" w:cs="Arial" w:eastAsia="Arial" w:hAnsi="Arial"/>
                <w:sz w:val="18"/>
                <w:szCs w:val="18"/>
                <w:color w:val="auto"/>
                <w:w w:val="93"/>
              </w:rPr>
              <w:t>(Commission File Number)</w:t>
            </w:r>
          </w:p>
        </w:tc>
        <w:tc>
          <w:tcPr>
            <w:tcW w:w="2360" w:type="dxa"/>
            <w:vAlign w:val="bottom"/>
          </w:tcPr>
          <w:p>
            <w:pPr>
              <w:jc w:val="center"/>
              <w:ind w:left="930"/>
              <w:spacing w:after="0"/>
              <w:rPr>
                <w:sz w:val="20"/>
                <w:szCs w:val="20"/>
                <w:color w:val="auto"/>
              </w:rPr>
            </w:pPr>
            <w:r>
              <w:rPr>
                <w:rFonts w:ascii="Arial" w:cs="Arial" w:eastAsia="Arial" w:hAnsi="Arial"/>
                <w:sz w:val="18"/>
                <w:szCs w:val="18"/>
                <w:color w:val="auto"/>
                <w:w w:val="93"/>
              </w:rPr>
              <w:t>(IRS Employer</w:t>
            </w:r>
          </w:p>
        </w:tc>
      </w:tr>
      <w:tr>
        <w:trPr>
          <w:trHeight w:val="230"/>
        </w:trPr>
        <w:tc>
          <w:tcPr>
            <w:tcW w:w="3520" w:type="dxa"/>
            <w:vAlign w:val="bottom"/>
          </w:tcPr>
          <w:p>
            <w:pPr>
              <w:jc w:val="center"/>
              <w:ind w:right="590"/>
              <w:spacing w:after="0"/>
              <w:rPr>
                <w:sz w:val="20"/>
                <w:szCs w:val="20"/>
                <w:color w:val="auto"/>
              </w:rPr>
            </w:pPr>
            <w:r>
              <w:rPr>
                <w:rFonts w:ascii="Arial" w:cs="Arial" w:eastAsia="Arial" w:hAnsi="Arial"/>
                <w:sz w:val="18"/>
                <w:szCs w:val="18"/>
                <w:color w:val="auto"/>
                <w:w w:val="94"/>
              </w:rPr>
              <w:t>incorporation)</w:t>
            </w:r>
          </w:p>
        </w:tc>
        <w:tc>
          <w:tcPr>
            <w:tcW w:w="3680" w:type="dxa"/>
            <w:vAlign w:val="bottom"/>
          </w:tcPr>
          <w:p>
            <w:pPr>
              <w:spacing w:after="0"/>
              <w:rPr>
                <w:sz w:val="20"/>
                <w:szCs w:val="20"/>
                <w:color w:val="auto"/>
              </w:rPr>
            </w:pPr>
          </w:p>
        </w:tc>
        <w:tc>
          <w:tcPr>
            <w:tcW w:w="2360" w:type="dxa"/>
            <w:vAlign w:val="bottom"/>
          </w:tcPr>
          <w:p>
            <w:pPr>
              <w:jc w:val="center"/>
              <w:ind w:left="930"/>
              <w:spacing w:after="0"/>
              <w:rPr>
                <w:sz w:val="20"/>
                <w:szCs w:val="20"/>
                <w:color w:val="auto"/>
              </w:rPr>
            </w:pPr>
            <w:r>
              <w:rPr>
                <w:rFonts w:ascii="Arial" w:cs="Arial" w:eastAsia="Arial" w:hAnsi="Arial"/>
                <w:sz w:val="18"/>
                <w:szCs w:val="18"/>
                <w:color w:val="auto"/>
                <w:w w:val="95"/>
              </w:rPr>
              <w:t>Identification No.)</w:t>
            </w:r>
          </w:p>
        </w:tc>
      </w:tr>
      <w:tr>
        <w:trPr>
          <w:trHeight w:val="414"/>
        </w:trPr>
        <w:tc>
          <w:tcPr>
            <w:tcW w:w="3520" w:type="dxa"/>
            <w:vAlign w:val="bottom"/>
          </w:tcPr>
          <w:p>
            <w:pPr>
              <w:jc w:val="center"/>
              <w:ind w:right="590"/>
              <w:spacing w:after="0"/>
              <w:rPr>
                <w:sz w:val="20"/>
                <w:szCs w:val="20"/>
                <w:color w:val="auto"/>
              </w:rPr>
            </w:pPr>
            <w:r>
              <w:rPr>
                <w:rFonts w:ascii="Arial" w:cs="Arial" w:eastAsia="Arial" w:hAnsi="Arial"/>
                <w:sz w:val="18"/>
                <w:szCs w:val="18"/>
                <w:b w:val="1"/>
                <w:bCs w:val="1"/>
                <w:color w:val="auto"/>
                <w:w w:val="91"/>
              </w:rPr>
              <w:t>595 Howe Street, 10th Floor</w:t>
            </w:r>
          </w:p>
        </w:tc>
        <w:tc>
          <w:tcPr>
            <w:tcW w:w="3680" w:type="dxa"/>
            <w:vAlign w:val="bottom"/>
          </w:tcPr>
          <w:p>
            <w:pPr>
              <w:spacing w:after="0"/>
              <w:rPr>
                <w:sz w:val="24"/>
                <w:szCs w:val="24"/>
                <w:color w:val="auto"/>
              </w:rPr>
            </w:pPr>
          </w:p>
        </w:tc>
        <w:tc>
          <w:tcPr>
            <w:tcW w:w="2360" w:type="dxa"/>
            <w:vAlign w:val="bottom"/>
          </w:tcPr>
          <w:p>
            <w:pPr>
              <w:spacing w:after="0"/>
              <w:rPr>
                <w:sz w:val="24"/>
                <w:szCs w:val="24"/>
                <w:color w:val="auto"/>
              </w:rPr>
            </w:pPr>
          </w:p>
        </w:tc>
      </w:tr>
      <w:tr>
        <w:trPr>
          <w:trHeight w:val="220"/>
        </w:trPr>
        <w:tc>
          <w:tcPr>
            <w:tcW w:w="3520" w:type="dxa"/>
            <w:vAlign w:val="bottom"/>
          </w:tcPr>
          <w:p>
            <w:pPr>
              <w:jc w:val="center"/>
              <w:ind w:right="590"/>
              <w:spacing w:after="0"/>
              <w:rPr>
                <w:sz w:val="20"/>
                <w:szCs w:val="20"/>
                <w:color w:val="auto"/>
              </w:rPr>
            </w:pPr>
            <w:r>
              <w:rPr>
                <w:rFonts w:ascii="Arial" w:cs="Arial" w:eastAsia="Arial" w:hAnsi="Arial"/>
                <w:sz w:val="18"/>
                <w:szCs w:val="18"/>
                <w:b w:val="1"/>
                <w:bCs w:val="1"/>
                <w:color w:val="auto"/>
                <w:w w:val="91"/>
              </w:rPr>
              <w:t>Vancouver, British Columbia</w:t>
            </w:r>
          </w:p>
        </w:tc>
        <w:tc>
          <w:tcPr>
            <w:tcW w:w="3680" w:type="dxa"/>
            <w:vAlign w:val="bottom"/>
          </w:tcPr>
          <w:p>
            <w:pPr>
              <w:spacing w:after="0"/>
              <w:rPr>
                <w:sz w:val="19"/>
                <w:szCs w:val="19"/>
                <w:color w:val="auto"/>
              </w:rPr>
            </w:pPr>
          </w:p>
        </w:tc>
        <w:tc>
          <w:tcPr>
            <w:tcW w:w="2360" w:type="dxa"/>
            <w:vAlign w:val="bottom"/>
          </w:tcPr>
          <w:p>
            <w:pPr>
              <w:jc w:val="center"/>
              <w:ind w:left="930"/>
              <w:spacing w:after="0"/>
              <w:rPr>
                <w:sz w:val="20"/>
                <w:szCs w:val="20"/>
                <w:color w:val="auto"/>
              </w:rPr>
            </w:pPr>
            <w:r>
              <w:rPr>
                <w:rFonts w:ascii="Arial" w:cs="Arial" w:eastAsia="Arial" w:hAnsi="Arial"/>
                <w:sz w:val="18"/>
                <w:szCs w:val="18"/>
                <w:b w:val="1"/>
                <w:bCs w:val="1"/>
                <w:color w:val="auto"/>
                <w:w w:val="98"/>
              </w:rPr>
              <w:t>V6C 2T5</w:t>
            </w:r>
          </w:p>
        </w:tc>
      </w:tr>
      <w:tr>
        <w:trPr>
          <w:trHeight w:val="230"/>
        </w:trPr>
        <w:tc>
          <w:tcPr>
            <w:tcW w:w="3520" w:type="dxa"/>
            <w:vAlign w:val="bottom"/>
          </w:tcPr>
          <w:p>
            <w:pPr>
              <w:jc w:val="center"/>
              <w:ind w:right="590"/>
              <w:spacing w:after="0"/>
              <w:rPr>
                <w:sz w:val="20"/>
                <w:szCs w:val="20"/>
                <w:color w:val="auto"/>
              </w:rPr>
            </w:pPr>
            <w:r>
              <w:rPr>
                <w:rFonts w:ascii="Arial" w:cs="Arial" w:eastAsia="Arial" w:hAnsi="Arial"/>
                <w:sz w:val="18"/>
                <w:szCs w:val="18"/>
                <w:color w:val="auto"/>
                <w:w w:val="92"/>
              </w:rPr>
              <w:t>(Address of principal executive offices)</w:t>
            </w:r>
          </w:p>
        </w:tc>
        <w:tc>
          <w:tcPr>
            <w:tcW w:w="3680" w:type="dxa"/>
            <w:vAlign w:val="bottom"/>
          </w:tcPr>
          <w:p>
            <w:pPr>
              <w:spacing w:after="0"/>
              <w:rPr>
                <w:sz w:val="20"/>
                <w:szCs w:val="20"/>
                <w:color w:val="auto"/>
              </w:rPr>
            </w:pPr>
          </w:p>
        </w:tc>
        <w:tc>
          <w:tcPr>
            <w:tcW w:w="2360" w:type="dxa"/>
            <w:vAlign w:val="bottom"/>
          </w:tcPr>
          <w:p>
            <w:pPr>
              <w:jc w:val="center"/>
              <w:ind w:left="910"/>
              <w:spacing w:after="0"/>
              <w:rPr>
                <w:sz w:val="20"/>
                <w:szCs w:val="20"/>
                <w:color w:val="auto"/>
              </w:rPr>
            </w:pPr>
            <w:r>
              <w:rPr>
                <w:rFonts w:ascii="Arial" w:cs="Arial" w:eastAsia="Arial" w:hAnsi="Arial"/>
                <w:sz w:val="18"/>
                <w:szCs w:val="18"/>
                <w:color w:val="auto"/>
                <w:w w:val="94"/>
              </w:rPr>
              <w:t>(Zip Code)</w:t>
            </w:r>
          </w:p>
        </w:tc>
      </w:tr>
    </w:tbl>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(604) 631-3115</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4"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80" w:firstLine="8"/>
        <w:spacing w:after="0" w:line="498" w:lineRule="auto"/>
        <w:tabs>
          <w:tab w:leader="none" w:pos="3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3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72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w:t>
            </w:r>
          </w:p>
        </w:tc>
      </w:tr>
      <w:tr>
        <w:trPr>
          <w:trHeight w:val="234"/>
        </w:trPr>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Title of each class</w:t>
            </w:r>
          </w:p>
        </w:tc>
        <w:tc>
          <w:tcPr>
            <w:tcW w:w="100" w:type="dxa"/>
            <w:vAlign w:val="bottom"/>
          </w:tcPr>
          <w:p>
            <w:pPr>
              <w:spacing w:after="0"/>
              <w:rPr>
                <w:sz w:val="20"/>
                <w:szCs w:val="20"/>
                <w:color w:val="auto"/>
              </w:rPr>
            </w:pPr>
          </w:p>
        </w:tc>
        <w:tc>
          <w:tcPr>
            <w:tcW w:w="36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Trading Symbol(s)</w:t>
            </w:r>
          </w:p>
        </w:tc>
        <w:tc>
          <w:tcPr>
            <w:tcW w:w="100" w:type="dxa"/>
            <w:vAlign w:val="bottom"/>
          </w:tcPr>
          <w:p>
            <w:pPr>
              <w:spacing w:after="0"/>
              <w:rPr>
                <w:sz w:val="20"/>
                <w:szCs w:val="20"/>
                <w:color w:val="auto"/>
              </w:rPr>
            </w:pPr>
          </w:p>
        </w:tc>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which registered</w:t>
            </w:r>
          </w:p>
        </w:tc>
      </w:tr>
      <w:tr>
        <w:trPr>
          <w:trHeight w:val="195"/>
        </w:trPr>
        <w:tc>
          <w:tcPr>
            <w:tcW w:w="3720" w:type="dxa"/>
            <w:vAlign w:val="bottom"/>
          </w:tcPr>
          <w:p>
            <w:pPr>
              <w:jc w:val="center"/>
              <w:spacing w:after="0" w:line="195" w:lineRule="exact"/>
              <w:rPr>
                <w:sz w:val="20"/>
                <w:szCs w:val="20"/>
                <w:color w:val="auto"/>
              </w:rPr>
            </w:pPr>
            <w:r>
              <w:rPr>
                <w:rFonts w:ascii="Arial" w:cs="Arial" w:eastAsia="Arial" w:hAnsi="Arial"/>
                <w:sz w:val="18"/>
                <w:szCs w:val="18"/>
                <w:color w:val="auto"/>
                <w:w w:val="91"/>
              </w:rPr>
              <w:t>TMC Common Shares without par value</w:t>
            </w:r>
          </w:p>
        </w:tc>
        <w:tc>
          <w:tcPr>
            <w:tcW w:w="100" w:type="dxa"/>
            <w:vAlign w:val="bottom"/>
          </w:tcPr>
          <w:p>
            <w:pPr>
              <w:spacing w:after="0"/>
              <w:rPr>
                <w:sz w:val="16"/>
                <w:szCs w:val="16"/>
                <w:color w:val="auto"/>
              </w:rPr>
            </w:pPr>
          </w:p>
        </w:tc>
        <w:tc>
          <w:tcPr>
            <w:tcW w:w="3600" w:type="dxa"/>
            <w:vAlign w:val="bottom"/>
          </w:tcPr>
          <w:p>
            <w:pPr>
              <w:jc w:val="center"/>
              <w:spacing w:after="0" w:line="195" w:lineRule="exact"/>
              <w:rPr>
                <w:sz w:val="20"/>
                <w:szCs w:val="20"/>
                <w:color w:val="auto"/>
              </w:rPr>
            </w:pPr>
            <w:r>
              <w:rPr>
                <w:rFonts w:ascii="Arial" w:cs="Arial" w:eastAsia="Arial" w:hAnsi="Arial"/>
                <w:sz w:val="18"/>
                <w:szCs w:val="18"/>
                <w:color w:val="auto"/>
              </w:rPr>
              <w:t>TMC</w:t>
            </w:r>
          </w:p>
        </w:tc>
        <w:tc>
          <w:tcPr>
            <w:tcW w:w="100" w:type="dxa"/>
            <w:vAlign w:val="bottom"/>
          </w:tcPr>
          <w:p>
            <w:pPr>
              <w:spacing w:after="0"/>
              <w:rPr>
                <w:sz w:val="16"/>
                <w:szCs w:val="16"/>
                <w:color w:val="auto"/>
              </w:rPr>
            </w:pPr>
          </w:p>
        </w:tc>
        <w:tc>
          <w:tcPr>
            <w:tcW w:w="3720" w:type="dxa"/>
            <w:vAlign w:val="bottom"/>
          </w:tcPr>
          <w:p>
            <w:pPr>
              <w:jc w:val="center"/>
              <w:spacing w:after="0" w:line="195" w:lineRule="exact"/>
              <w:rPr>
                <w:sz w:val="20"/>
                <w:szCs w:val="20"/>
                <w:color w:val="auto"/>
              </w:rPr>
            </w:pPr>
            <w:r>
              <w:rPr>
                <w:rFonts w:ascii="Arial" w:cs="Arial" w:eastAsia="Arial" w:hAnsi="Arial"/>
                <w:sz w:val="18"/>
                <w:szCs w:val="18"/>
                <w:color w:val="auto"/>
                <w:w w:val="91"/>
              </w:rPr>
              <w:t>The Nasdaq Stock Market LLC</w:t>
            </w:r>
          </w:p>
        </w:tc>
      </w:tr>
      <w:tr>
        <w:trPr>
          <w:trHeight w:val="216"/>
        </w:trPr>
        <w:tc>
          <w:tcPr>
            <w:tcW w:w="3720" w:type="dxa"/>
            <w:vAlign w:val="bottom"/>
          </w:tcPr>
          <w:p>
            <w:pPr>
              <w:jc w:val="center"/>
              <w:spacing w:after="0"/>
              <w:rPr>
                <w:sz w:val="20"/>
                <w:szCs w:val="20"/>
                <w:color w:val="auto"/>
              </w:rPr>
            </w:pPr>
            <w:r>
              <w:rPr>
                <w:rFonts w:ascii="Arial" w:cs="Arial" w:eastAsia="Arial" w:hAnsi="Arial"/>
                <w:sz w:val="18"/>
                <w:szCs w:val="18"/>
                <w:color w:val="auto"/>
                <w:w w:val="88"/>
              </w:rPr>
              <w:t>Redeemable warrants, each whole warrant</w:t>
            </w:r>
          </w:p>
        </w:tc>
        <w:tc>
          <w:tcPr>
            <w:tcW w:w="100" w:type="dxa"/>
            <w:vAlign w:val="bottom"/>
          </w:tcPr>
          <w:p>
            <w:pPr>
              <w:spacing w:after="0"/>
              <w:rPr>
                <w:sz w:val="18"/>
                <w:szCs w:val="18"/>
                <w:color w:val="auto"/>
              </w:rPr>
            </w:pPr>
          </w:p>
        </w:tc>
        <w:tc>
          <w:tcPr>
            <w:tcW w:w="3600" w:type="dxa"/>
            <w:vAlign w:val="bottom"/>
          </w:tcPr>
          <w:p>
            <w:pPr>
              <w:jc w:val="center"/>
              <w:spacing w:after="0"/>
              <w:rPr>
                <w:sz w:val="20"/>
                <w:szCs w:val="20"/>
                <w:color w:val="auto"/>
              </w:rPr>
            </w:pPr>
            <w:r>
              <w:rPr>
                <w:rFonts w:ascii="Arial" w:cs="Arial" w:eastAsia="Arial" w:hAnsi="Arial"/>
                <w:sz w:val="18"/>
                <w:szCs w:val="18"/>
                <w:color w:val="auto"/>
                <w:w w:val="98"/>
              </w:rPr>
              <w:t>TMCWW</w:t>
            </w:r>
          </w:p>
        </w:tc>
        <w:tc>
          <w:tcPr>
            <w:tcW w:w="100" w:type="dxa"/>
            <w:vAlign w:val="bottom"/>
          </w:tcPr>
          <w:p>
            <w:pPr>
              <w:spacing w:after="0"/>
              <w:rPr>
                <w:sz w:val="18"/>
                <w:szCs w:val="18"/>
                <w:color w:val="auto"/>
              </w:rPr>
            </w:pPr>
          </w:p>
        </w:tc>
        <w:tc>
          <w:tcPr>
            <w:tcW w:w="3720" w:type="dxa"/>
            <w:vAlign w:val="bottom"/>
          </w:tcPr>
          <w:p>
            <w:pPr>
              <w:jc w:val="center"/>
              <w:spacing w:after="0"/>
              <w:rPr>
                <w:sz w:val="20"/>
                <w:szCs w:val="20"/>
                <w:color w:val="auto"/>
              </w:rPr>
            </w:pPr>
            <w:r>
              <w:rPr>
                <w:rFonts w:ascii="Arial" w:cs="Arial" w:eastAsia="Arial" w:hAnsi="Arial"/>
                <w:sz w:val="18"/>
                <w:szCs w:val="18"/>
                <w:color w:val="auto"/>
                <w:w w:val="91"/>
              </w:rPr>
              <w:t>The Nasdaq Stock Market LLC</w:t>
            </w:r>
          </w:p>
        </w:tc>
      </w:tr>
      <w:tr>
        <w:trPr>
          <w:trHeight w:val="216"/>
        </w:trPr>
        <w:tc>
          <w:tcPr>
            <w:tcW w:w="3720" w:type="dxa"/>
            <w:vAlign w:val="bottom"/>
          </w:tcPr>
          <w:p>
            <w:pPr>
              <w:jc w:val="center"/>
              <w:spacing w:after="0"/>
              <w:rPr>
                <w:sz w:val="20"/>
                <w:szCs w:val="20"/>
                <w:color w:val="auto"/>
              </w:rPr>
            </w:pPr>
            <w:r>
              <w:rPr>
                <w:rFonts w:ascii="Arial" w:cs="Arial" w:eastAsia="Arial" w:hAnsi="Arial"/>
                <w:sz w:val="18"/>
                <w:szCs w:val="18"/>
                <w:color w:val="auto"/>
                <w:w w:val="89"/>
              </w:rPr>
              <w:t>exercisable for one TMC Common Share, each at</w:t>
            </w:r>
          </w:p>
        </w:tc>
        <w:tc>
          <w:tcPr>
            <w:tcW w:w="10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720" w:type="dxa"/>
            <w:vAlign w:val="bottom"/>
          </w:tcPr>
          <w:p>
            <w:pPr>
              <w:spacing w:after="0"/>
              <w:rPr>
                <w:sz w:val="18"/>
                <w:szCs w:val="18"/>
                <w:color w:val="auto"/>
              </w:rPr>
            </w:pPr>
          </w:p>
        </w:tc>
      </w:tr>
      <w:tr>
        <w:trPr>
          <w:trHeight w:val="230"/>
        </w:trPr>
        <w:tc>
          <w:tcPr>
            <w:tcW w:w="3720" w:type="dxa"/>
            <w:vAlign w:val="bottom"/>
          </w:tcPr>
          <w:p>
            <w:pPr>
              <w:jc w:val="center"/>
              <w:spacing w:after="0"/>
              <w:rPr>
                <w:sz w:val="20"/>
                <w:szCs w:val="20"/>
                <w:color w:val="auto"/>
              </w:rPr>
            </w:pPr>
            <w:r>
              <w:rPr>
                <w:rFonts w:ascii="Arial" w:cs="Arial" w:eastAsia="Arial" w:hAnsi="Arial"/>
                <w:sz w:val="18"/>
                <w:szCs w:val="18"/>
                <w:color w:val="auto"/>
                <w:w w:val="88"/>
              </w:rPr>
              <w:t>an exercise price of $11.50 per share</w:t>
            </w:r>
          </w:p>
        </w:tc>
        <w:tc>
          <w:tcPr>
            <w:tcW w:w="10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720" w:type="dxa"/>
            <w:vAlign w:val="bottom"/>
          </w:tcPr>
          <w:p>
            <w:pPr>
              <w:spacing w:after="0"/>
              <w:rPr>
                <w:sz w:val="20"/>
                <w:szCs w:val="20"/>
                <w:color w:val="auto"/>
              </w:rPr>
            </w:pPr>
          </w:p>
        </w:tc>
      </w:tr>
    </w:tbl>
    <w:p>
      <w:pPr>
        <w:spacing w:after="0" w:line="202" w:lineRule="exact"/>
        <w:rPr>
          <w:sz w:val="24"/>
          <w:szCs w:val="24"/>
          <w:color w:val="auto"/>
        </w:rPr>
      </w:pPr>
    </w:p>
    <w:p>
      <w:pPr>
        <w:jc w:val="both"/>
        <w:ind w:firstLine="324"/>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6" w:lineRule="exact"/>
        <w:rPr>
          <w:sz w:val="24"/>
          <w:szCs w:val="24"/>
          <w:color w:val="auto"/>
        </w:rPr>
      </w:pPr>
    </w:p>
    <w:p>
      <w:pPr>
        <w:ind w:left="906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93" w:lineRule="exact"/>
        <w:rPr>
          <w:sz w:val="24"/>
          <w:szCs w:val="24"/>
          <w:color w:val="auto"/>
        </w:rPr>
      </w:pPr>
    </w:p>
    <w:p>
      <w:pPr>
        <w:jc w:val="both"/>
        <w:ind w:firstLine="324"/>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136525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582295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 w:name="page2"/>
    <w:bookmarkEnd w:id="1"/>
    <w:p>
      <w:pPr>
        <w:spacing w:after="0"/>
        <w:tabs>
          <w:tab w:leader="none" w:pos="128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 previously reported, on April 19, 2023, TMC the metals company Inc. (the “Company”) received written notice from The Nasdaq Stock Market LLC (“Nasdaq”) notifying the Company that the closing bid price for the Company’s common shares (the “Common Shares”) had fallen below $1.00 per share for 30 consecutive business days, which is the minimum closing bid price required to maintain listing on the Nasdaq Stock Market under Nasdaq Listing Rule 5450(a)(1) (the “Minimum Bid Requirement”).</w:t>
      </w:r>
    </w:p>
    <w:p>
      <w:pPr>
        <w:spacing w:after="0" w:line="18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On June 30, 2023, the Company received written notice from the Nasdaq notifying the Company that since the closing bid price for the Common Shares was $1.00 per share or greater for ten consecutive business days, the Company has regained compliance with the Minimum Bid Requirement and this matter is now closed.</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40" w:type="dxa"/>
            <w:vAlign w:val="bottom"/>
          </w:tcPr>
          <w:p>
            <w:pPr>
              <w:spacing w:after="0"/>
              <w:rPr>
                <w:sz w:val="20"/>
                <w:szCs w:val="20"/>
                <w:color w:val="auto"/>
              </w:rPr>
            </w:pPr>
          </w:p>
        </w:tc>
        <w:tc>
          <w:tcPr>
            <w:tcW w:w="7700" w:type="dxa"/>
            <w:vAlign w:val="bottom"/>
            <w:gridSpan w:val="3"/>
          </w:tcPr>
          <w:p>
            <w:pPr>
              <w:ind w:left="2080"/>
              <w:spacing w:after="0"/>
              <w:rPr>
                <w:sz w:val="20"/>
                <w:szCs w:val="20"/>
                <w:color w:val="auto"/>
              </w:rPr>
            </w:pPr>
            <w:r>
              <w:rPr>
                <w:rFonts w:ascii="Arial" w:cs="Arial" w:eastAsia="Arial" w:hAnsi="Arial"/>
                <w:sz w:val="18"/>
                <w:szCs w:val="18"/>
                <w:b w:val="1"/>
                <w:bCs w:val="1"/>
                <w:color w:val="auto"/>
              </w:rPr>
              <w:t>TMC THE METALS COMPANY INC.</w:t>
            </w:r>
          </w:p>
        </w:tc>
      </w:tr>
      <w:tr>
        <w:trPr>
          <w:trHeight w:val="432"/>
        </w:trPr>
        <w:tc>
          <w:tcPr>
            <w:tcW w:w="3540" w:type="dxa"/>
            <w:vAlign w:val="bottom"/>
          </w:tcPr>
          <w:p>
            <w:pPr>
              <w:spacing w:after="0"/>
              <w:rPr>
                <w:sz w:val="20"/>
                <w:szCs w:val="20"/>
                <w:color w:val="auto"/>
              </w:rPr>
            </w:pPr>
            <w:r>
              <w:rPr>
                <w:rFonts w:ascii="Arial" w:cs="Arial" w:eastAsia="Arial" w:hAnsi="Arial"/>
                <w:sz w:val="18"/>
                <w:szCs w:val="18"/>
                <w:color w:val="auto"/>
              </w:rPr>
              <w:t>Date: June 30, 2023</w:t>
            </w:r>
          </w:p>
        </w:tc>
        <w:tc>
          <w:tcPr>
            <w:tcW w:w="2600" w:type="dxa"/>
            <w:vAlign w:val="bottom"/>
          </w:tcPr>
          <w:p>
            <w:pPr>
              <w:ind w:left="2080"/>
              <w:spacing w:after="0"/>
              <w:rPr>
                <w:sz w:val="20"/>
                <w:szCs w:val="20"/>
                <w:color w:val="auto"/>
              </w:rPr>
            </w:pPr>
            <w:r>
              <w:rPr>
                <w:rFonts w:ascii="Arial" w:cs="Arial" w:eastAsia="Arial" w:hAnsi="Arial"/>
                <w:sz w:val="18"/>
                <w:szCs w:val="18"/>
                <w:color w:val="auto"/>
              </w:rPr>
              <w:t>By:</w:t>
            </w:r>
          </w:p>
        </w:tc>
        <w:tc>
          <w:tcPr>
            <w:tcW w:w="5100" w:type="dxa"/>
            <w:vAlign w:val="bottom"/>
            <w:gridSpan w:val="2"/>
          </w:tcPr>
          <w:p>
            <w:pPr>
              <w:ind w:left="40"/>
              <w:spacing w:after="0"/>
              <w:rPr>
                <w:sz w:val="20"/>
                <w:szCs w:val="20"/>
                <w:color w:val="auto"/>
              </w:rPr>
            </w:pPr>
            <w:r>
              <w:rPr>
                <w:rFonts w:ascii="Arial" w:cs="Arial" w:eastAsia="Arial" w:hAnsi="Arial"/>
                <w:sz w:val="18"/>
                <w:szCs w:val="18"/>
                <w:color w:val="auto"/>
              </w:rPr>
              <w:t>/s/ Craig Shesky</w:t>
            </w:r>
          </w:p>
        </w:tc>
      </w:tr>
      <w:tr>
        <w:trPr>
          <w:trHeight w:val="195"/>
        </w:trPr>
        <w:tc>
          <w:tcPr>
            <w:tcW w:w="3540" w:type="dxa"/>
            <w:vAlign w:val="bottom"/>
          </w:tcPr>
          <w:p>
            <w:pPr>
              <w:spacing w:after="0"/>
              <w:rPr>
                <w:sz w:val="16"/>
                <w:szCs w:val="16"/>
                <w:color w:val="auto"/>
              </w:rPr>
            </w:pPr>
          </w:p>
        </w:tc>
        <w:tc>
          <w:tcPr>
            <w:tcW w:w="2600" w:type="dxa"/>
            <w:vAlign w:val="bottom"/>
          </w:tcPr>
          <w:p>
            <w:pPr>
              <w:ind w:left="2080"/>
              <w:spacing w:after="0" w:line="195" w:lineRule="exact"/>
              <w:rPr>
                <w:sz w:val="20"/>
                <w:szCs w:val="20"/>
                <w:color w:val="auto"/>
              </w:rPr>
            </w:pPr>
            <w:r>
              <w:rPr>
                <w:rFonts w:ascii="Arial" w:cs="Arial" w:eastAsia="Arial" w:hAnsi="Arial"/>
                <w:sz w:val="18"/>
                <w:szCs w:val="18"/>
                <w:color w:val="auto"/>
                <w:w w:val="94"/>
              </w:rPr>
              <w:t>Name:</w:t>
            </w:r>
          </w:p>
        </w:tc>
        <w:tc>
          <w:tcPr>
            <w:tcW w:w="60" w:type="dxa"/>
            <w:vAlign w:val="bottom"/>
          </w:tcPr>
          <w:p>
            <w:pPr>
              <w:spacing w:after="0"/>
              <w:rPr>
                <w:sz w:val="16"/>
                <w:szCs w:val="16"/>
                <w:color w:val="auto"/>
              </w:rPr>
            </w:pPr>
          </w:p>
        </w:tc>
        <w:tc>
          <w:tcPr>
            <w:tcW w:w="5040" w:type="dxa"/>
            <w:vAlign w:val="bottom"/>
            <w:tcBorders>
              <w:top w:val="single" w:sz="8" w:color="auto"/>
            </w:tcBorders>
          </w:tcPr>
          <w:p>
            <w:pPr>
              <w:ind w:left="40"/>
              <w:spacing w:after="0" w:line="195" w:lineRule="exact"/>
              <w:rPr>
                <w:sz w:val="20"/>
                <w:szCs w:val="20"/>
                <w:color w:val="auto"/>
              </w:rPr>
            </w:pPr>
            <w:r>
              <w:rPr>
                <w:rFonts w:ascii="Arial" w:cs="Arial" w:eastAsia="Arial" w:hAnsi="Arial"/>
                <w:sz w:val="18"/>
                <w:szCs w:val="18"/>
                <w:color w:val="auto"/>
              </w:rPr>
              <w:t>Craig Shesky</w:t>
            </w:r>
          </w:p>
        </w:tc>
      </w:tr>
      <w:tr>
        <w:trPr>
          <w:trHeight w:val="230"/>
        </w:trPr>
        <w:tc>
          <w:tcPr>
            <w:tcW w:w="3540" w:type="dxa"/>
            <w:vAlign w:val="bottom"/>
          </w:tcPr>
          <w:p>
            <w:pPr>
              <w:spacing w:after="0"/>
              <w:rPr>
                <w:sz w:val="20"/>
                <w:szCs w:val="20"/>
                <w:color w:val="auto"/>
              </w:rPr>
            </w:pPr>
          </w:p>
        </w:tc>
        <w:tc>
          <w:tcPr>
            <w:tcW w:w="2600" w:type="dxa"/>
            <w:vAlign w:val="bottom"/>
          </w:tcPr>
          <w:p>
            <w:pPr>
              <w:ind w:left="2080"/>
              <w:spacing w:after="0"/>
              <w:rPr>
                <w:sz w:val="20"/>
                <w:szCs w:val="20"/>
                <w:color w:val="auto"/>
              </w:rPr>
            </w:pPr>
            <w:r>
              <w:rPr>
                <w:rFonts w:ascii="Arial" w:cs="Arial" w:eastAsia="Arial" w:hAnsi="Arial"/>
                <w:sz w:val="18"/>
                <w:szCs w:val="18"/>
                <w:color w:val="auto"/>
              </w:rPr>
              <w:t>Title:</w:t>
            </w:r>
          </w:p>
        </w:tc>
        <w:tc>
          <w:tcPr>
            <w:tcW w:w="60" w:type="dxa"/>
            <w:vAlign w:val="bottom"/>
          </w:tcPr>
          <w:p>
            <w:pPr>
              <w:spacing w:after="0"/>
              <w:rPr>
                <w:sz w:val="20"/>
                <w:szCs w:val="20"/>
                <w:color w:val="auto"/>
              </w:rPr>
            </w:pPr>
          </w:p>
        </w:tc>
        <w:tc>
          <w:tcPr>
            <w:tcW w:w="5040" w:type="dxa"/>
            <w:vAlign w:val="bottom"/>
          </w:tcPr>
          <w:p>
            <w:pPr>
              <w:ind w:left="40"/>
              <w:spacing w:after="0"/>
              <w:rPr>
                <w:sz w:val="20"/>
                <w:szCs w:val="20"/>
                <w:color w:val="auto"/>
              </w:rPr>
            </w:pPr>
            <w:r>
              <w:rPr>
                <w:rFonts w:ascii="Arial" w:cs="Arial" w:eastAsia="Arial" w:hAnsi="Arial"/>
                <w:sz w:val="18"/>
                <w:szCs w:val="18"/>
                <w:color w:val="auto"/>
              </w:rPr>
              <w:t>Chief Financial Officer</w:t>
            </w:r>
          </w:p>
        </w:tc>
      </w:tr>
      <w:tr>
        <w:trPr>
          <w:trHeight w:val="675"/>
        </w:trPr>
        <w:tc>
          <w:tcPr>
            <w:tcW w:w="354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2023-06-30T13:28:02Z</dcterms:created>
  <dcterms:modified xsi:type="dcterms:W3CDTF">2023-06-30T13:28:02Z</dcterms:modified>
</cp:coreProperties>
</file>