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207645</wp:posOffset>
            </wp:positionH>
            <wp:positionV relativeFrom="page">
              <wp:posOffset>292100</wp:posOffset>
            </wp:positionV>
            <wp:extent cx="713422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225" cy="17145"/>
                    </a:xfrm>
                    <a:prstGeom prst="rect">
                      <a:avLst/>
                    </a:prstGeom>
                    <a:noFill/>
                  </pic:spPr>
                </pic:pic>
              </a:graphicData>
            </a:graphic>
          </wp:anchor>
        </w:drawing>
        <w:drawing>
          <wp:anchor simplePos="0" relativeHeight="251657728" behindDoc="1" locked="0" layoutInCell="0" allowOverlap="1">
            <wp:simplePos x="0" y="0"/>
            <wp:positionH relativeFrom="page">
              <wp:posOffset>207645</wp:posOffset>
            </wp:positionH>
            <wp:positionV relativeFrom="page">
              <wp:posOffset>326390</wp:posOffset>
            </wp:positionV>
            <wp:extent cx="71342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225"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7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29" w:lineRule="exact"/>
        <w:rPr>
          <w:sz w:val="24"/>
          <w:szCs w:val="24"/>
          <w:color w:val="auto"/>
        </w:rPr>
      </w:pPr>
    </w:p>
    <w:p>
      <w:pPr>
        <w:ind w:left="4780"/>
        <w:spacing w:after="0"/>
        <w:rPr>
          <w:sz w:val="20"/>
          <w:szCs w:val="20"/>
          <w:color w:val="auto"/>
        </w:rPr>
      </w:pPr>
      <w:r>
        <w:rPr>
          <w:rFonts w:ascii="Arial" w:cs="Arial" w:eastAsia="Arial" w:hAnsi="Arial"/>
          <w:sz w:val="18"/>
          <w:szCs w:val="18"/>
          <w:b w:val="1"/>
          <w:bCs w:val="1"/>
          <w:color w:val="auto"/>
        </w:rPr>
        <w:t>CURRENT REPORT</w:t>
      </w:r>
    </w:p>
    <w:p>
      <w:pPr>
        <w:spacing w:after="0" w:line="23" w:lineRule="exact"/>
        <w:rPr>
          <w:sz w:val="24"/>
          <w:szCs w:val="24"/>
          <w:color w:val="auto"/>
        </w:rPr>
      </w:pPr>
    </w:p>
    <w:p>
      <w:pPr>
        <w:ind w:left="4140"/>
        <w:spacing w:after="0"/>
        <w:rPr>
          <w:sz w:val="20"/>
          <w:szCs w:val="20"/>
          <w:color w:val="auto"/>
        </w:rPr>
      </w:pPr>
      <w:r>
        <w:rPr>
          <w:rFonts w:ascii="Arial" w:cs="Arial" w:eastAsia="Arial" w:hAnsi="Arial"/>
          <w:sz w:val="18"/>
          <w:szCs w:val="18"/>
          <w:b w:val="1"/>
          <w:bCs w:val="1"/>
          <w:color w:val="auto"/>
        </w:rPr>
        <w:t>Pursuant to Section 13 OR 15(d) of the</w:t>
      </w:r>
    </w:p>
    <w:p>
      <w:pPr>
        <w:spacing w:after="0" w:line="6" w:lineRule="exact"/>
        <w:rPr>
          <w:sz w:val="24"/>
          <w:szCs w:val="24"/>
          <w:color w:val="auto"/>
        </w:rPr>
      </w:pPr>
    </w:p>
    <w:p>
      <w:pPr>
        <w:ind w:left="4400"/>
        <w:spacing w:after="0"/>
        <w:rPr>
          <w:sz w:val="20"/>
          <w:szCs w:val="20"/>
          <w:color w:val="auto"/>
        </w:rPr>
      </w:pPr>
      <w:r>
        <w:rPr>
          <w:rFonts w:ascii="Arial" w:cs="Arial" w:eastAsia="Arial" w:hAnsi="Arial"/>
          <w:sz w:val="18"/>
          <w:szCs w:val="18"/>
          <w:b w:val="1"/>
          <w:bCs w:val="1"/>
          <w:color w:val="auto"/>
        </w:rPr>
        <w:t>Securities Exchange Act of 1934</w:t>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August 14,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151130</wp:posOffset>
            </wp:positionV>
            <wp:extent cx="71342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200" w:lineRule="exact"/>
        <w:rPr>
          <w:sz w:val="24"/>
          <w:szCs w:val="24"/>
          <w:color w:val="auto"/>
        </w:rPr>
      </w:pPr>
    </w:p>
    <w:p>
      <w:pPr>
        <w:spacing w:after="0" w:line="20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TMC THE METALS COMPANY INC.</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147320</wp:posOffset>
            </wp:positionV>
            <wp:extent cx="71342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tbl>
      <w:tblPr>
        <w:tblLayout w:type="fixed"/>
        <w:tblInd w:w="0" w:type="dxa"/>
        <w:tblCellMar>
          <w:top w:w="0" w:type="dxa"/>
          <w:left w:w="0" w:type="dxa"/>
          <w:bottom w:w="0" w:type="dxa"/>
          <w:right w:w="0" w:type="dxa"/>
        </w:tblCellMar>
      </w:tblPr>
      <w:tr>
        <w:trPr>
          <w:trHeight w:val="217"/>
        </w:trPr>
        <w:tc>
          <w:tcPr>
            <w:tcW w:w="3100" w:type="dxa"/>
            <w:vAlign w:val="bottom"/>
          </w:tcPr>
          <w:p>
            <w:pPr>
              <w:jc w:val="center"/>
              <w:ind w:left="531"/>
              <w:spacing w:after="0"/>
              <w:rPr>
                <w:sz w:val="20"/>
                <w:szCs w:val="20"/>
                <w:color w:val="auto"/>
              </w:rPr>
            </w:pPr>
            <w:r>
              <w:rPr>
                <w:rFonts w:ascii="Arial" w:cs="Arial" w:eastAsia="Arial" w:hAnsi="Arial"/>
                <w:sz w:val="18"/>
                <w:szCs w:val="18"/>
                <w:b w:val="1"/>
                <w:bCs w:val="1"/>
                <w:color w:val="auto"/>
                <w:w w:val="91"/>
              </w:rPr>
              <w:t>British Columbia, Canada</w:t>
            </w:r>
          </w:p>
        </w:tc>
        <w:tc>
          <w:tcPr>
            <w:tcW w:w="5280" w:type="dxa"/>
            <w:vAlign w:val="bottom"/>
          </w:tcPr>
          <w:p>
            <w:pPr>
              <w:jc w:val="center"/>
              <w:ind w:right="131"/>
              <w:spacing w:after="0"/>
              <w:rPr>
                <w:sz w:val="20"/>
                <w:szCs w:val="20"/>
                <w:color w:val="auto"/>
              </w:rPr>
            </w:pPr>
            <w:r>
              <w:rPr>
                <w:rFonts w:ascii="Arial" w:cs="Arial" w:eastAsia="Arial" w:hAnsi="Arial"/>
                <w:sz w:val="18"/>
                <w:szCs w:val="18"/>
                <w:b w:val="1"/>
                <w:bCs w:val="1"/>
                <w:color w:val="auto"/>
                <w:w w:val="90"/>
              </w:rPr>
              <w:t>001-39281</w:t>
            </w:r>
          </w:p>
        </w:tc>
        <w:tc>
          <w:tcPr>
            <w:tcW w:w="2860" w:type="dxa"/>
            <w:vAlign w:val="bottom"/>
          </w:tcPr>
          <w:p>
            <w:pPr>
              <w:jc w:val="center"/>
              <w:ind w:right="751"/>
              <w:spacing w:after="0"/>
              <w:rPr>
                <w:sz w:val="20"/>
                <w:szCs w:val="20"/>
                <w:color w:val="auto"/>
              </w:rPr>
            </w:pPr>
            <w:r>
              <w:rPr>
                <w:rFonts w:ascii="Arial" w:cs="Arial" w:eastAsia="Arial" w:hAnsi="Arial"/>
                <w:sz w:val="18"/>
                <w:szCs w:val="18"/>
                <w:b w:val="1"/>
                <w:bCs w:val="1"/>
                <w:color w:val="auto"/>
                <w:w w:val="90"/>
              </w:rPr>
              <w:t>Not Applicable</w:t>
            </w:r>
          </w:p>
        </w:tc>
      </w:tr>
      <w:tr>
        <w:trPr>
          <w:trHeight w:val="213"/>
        </w:trPr>
        <w:tc>
          <w:tcPr>
            <w:tcW w:w="3100" w:type="dxa"/>
            <w:vAlign w:val="bottom"/>
          </w:tcPr>
          <w:p>
            <w:pPr>
              <w:jc w:val="center"/>
              <w:ind w:left="491"/>
              <w:spacing w:after="0"/>
              <w:rPr>
                <w:sz w:val="20"/>
                <w:szCs w:val="20"/>
                <w:color w:val="auto"/>
              </w:rPr>
            </w:pPr>
            <w:r>
              <w:rPr>
                <w:rFonts w:ascii="Arial" w:cs="Arial" w:eastAsia="Arial" w:hAnsi="Arial"/>
                <w:sz w:val="18"/>
                <w:szCs w:val="18"/>
                <w:color w:val="auto"/>
                <w:w w:val="92"/>
              </w:rPr>
              <w:t>(State or other jurisdiction of</w:t>
            </w:r>
          </w:p>
        </w:tc>
        <w:tc>
          <w:tcPr>
            <w:tcW w:w="5280" w:type="dxa"/>
            <w:vAlign w:val="bottom"/>
          </w:tcPr>
          <w:p>
            <w:pPr>
              <w:jc w:val="center"/>
              <w:ind w:right="131"/>
              <w:spacing w:after="0"/>
              <w:rPr>
                <w:sz w:val="20"/>
                <w:szCs w:val="20"/>
                <w:color w:val="auto"/>
              </w:rPr>
            </w:pPr>
            <w:r>
              <w:rPr>
                <w:rFonts w:ascii="Arial" w:cs="Arial" w:eastAsia="Arial" w:hAnsi="Arial"/>
                <w:sz w:val="18"/>
                <w:szCs w:val="18"/>
                <w:color w:val="auto"/>
                <w:w w:val="92"/>
              </w:rPr>
              <w:t>(Commission File Number)</w:t>
            </w:r>
          </w:p>
        </w:tc>
        <w:tc>
          <w:tcPr>
            <w:tcW w:w="2860" w:type="dxa"/>
            <w:vAlign w:val="bottom"/>
          </w:tcPr>
          <w:p>
            <w:pPr>
              <w:jc w:val="center"/>
              <w:ind w:right="771"/>
              <w:spacing w:after="0"/>
              <w:rPr>
                <w:sz w:val="20"/>
                <w:szCs w:val="20"/>
                <w:color w:val="auto"/>
              </w:rPr>
            </w:pPr>
            <w:r>
              <w:rPr>
                <w:rFonts w:ascii="Arial" w:cs="Arial" w:eastAsia="Arial" w:hAnsi="Arial"/>
                <w:sz w:val="18"/>
                <w:szCs w:val="18"/>
                <w:color w:val="auto"/>
                <w:w w:val="92"/>
              </w:rPr>
              <w:t>(IRS Employer</w:t>
            </w:r>
          </w:p>
        </w:tc>
      </w:tr>
      <w:tr>
        <w:trPr>
          <w:trHeight w:val="226"/>
        </w:trPr>
        <w:tc>
          <w:tcPr>
            <w:tcW w:w="3100" w:type="dxa"/>
            <w:vAlign w:val="bottom"/>
          </w:tcPr>
          <w:p>
            <w:pPr>
              <w:jc w:val="center"/>
              <w:ind w:left="551"/>
              <w:spacing w:after="0"/>
              <w:rPr>
                <w:sz w:val="20"/>
                <w:szCs w:val="20"/>
                <w:color w:val="auto"/>
              </w:rPr>
            </w:pPr>
            <w:r>
              <w:rPr>
                <w:rFonts w:ascii="Arial" w:cs="Arial" w:eastAsia="Arial" w:hAnsi="Arial"/>
                <w:sz w:val="18"/>
                <w:szCs w:val="18"/>
                <w:color w:val="auto"/>
                <w:w w:val="92"/>
              </w:rPr>
              <w:t>incorporation)</w:t>
            </w:r>
          </w:p>
        </w:tc>
        <w:tc>
          <w:tcPr>
            <w:tcW w:w="5280" w:type="dxa"/>
            <w:vAlign w:val="bottom"/>
          </w:tcPr>
          <w:p>
            <w:pPr>
              <w:spacing w:after="0"/>
              <w:rPr>
                <w:sz w:val="19"/>
                <w:szCs w:val="19"/>
                <w:color w:val="auto"/>
              </w:rPr>
            </w:pPr>
          </w:p>
        </w:tc>
        <w:tc>
          <w:tcPr>
            <w:tcW w:w="2860" w:type="dxa"/>
            <w:vAlign w:val="bottom"/>
          </w:tcPr>
          <w:p>
            <w:pPr>
              <w:jc w:val="center"/>
              <w:ind w:right="731"/>
              <w:spacing w:after="0"/>
              <w:rPr>
                <w:sz w:val="20"/>
                <w:szCs w:val="20"/>
                <w:color w:val="auto"/>
              </w:rPr>
            </w:pPr>
            <w:r>
              <w:rPr>
                <w:rFonts w:ascii="Arial" w:cs="Arial" w:eastAsia="Arial" w:hAnsi="Arial"/>
                <w:sz w:val="18"/>
                <w:szCs w:val="18"/>
                <w:color w:val="auto"/>
                <w:w w:val="94"/>
              </w:rPr>
              <w:t>Identification No.)</w:t>
            </w:r>
          </w:p>
        </w:tc>
      </w:tr>
      <w:tr>
        <w:trPr>
          <w:trHeight w:val="410"/>
        </w:trPr>
        <w:tc>
          <w:tcPr>
            <w:tcW w:w="3100" w:type="dxa"/>
            <w:vAlign w:val="bottom"/>
          </w:tcPr>
          <w:p>
            <w:pPr>
              <w:jc w:val="center"/>
              <w:ind w:left="531"/>
              <w:spacing w:after="0"/>
              <w:rPr>
                <w:sz w:val="20"/>
                <w:szCs w:val="20"/>
                <w:color w:val="auto"/>
              </w:rPr>
            </w:pPr>
            <w:r>
              <w:rPr>
                <w:rFonts w:ascii="Arial" w:cs="Arial" w:eastAsia="Arial" w:hAnsi="Arial"/>
                <w:sz w:val="18"/>
                <w:szCs w:val="18"/>
                <w:b w:val="1"/>
                <w:bCs w:val="1"/>
                <w:color w:val="auto"/>
                <w:w w:val="89"/>
              </w:rPr>
              <w:t>595 Howe Street, 10th Floor</w:t>
            </w:r>
          </w:p>
        </w:tc>
        <w:tc>
          <w:tcPr>
            <w:tcW w:w="528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217"/>
        </w:trPr>
        <w:tc>
          <w:tcPr>
            <w:tcW w:w="3100" w:type="dxa"/>
            <w:vAlign w:val="bottom"/>
          </w:tcPr>
          <w:p>
            <w:pPr>
              <w:jc w:val="center"/>
              <w:ind w:left="551"/>
              <w:spacing w:after="0"/>
              <w:rPr>
                <w:sz w:val="20"/>
                <w:szCs w:val="20"/>
                <w:color w:val="auto"/>
              </w:rPr>
            </w:pPr>
            <w:r>
              <w:rPr>
                <w:rFonts w:ascii="Arial" w:cs="Arial" w:eastAsia="Arial" w:hAnsi="Arial"/>
                <w:sz w:val="18"/>
                <w:szCs w:val="18"/>
                <w:b w:val="1"/>
                <w:bCs w:val="1"/>
                <w:color w:val="auto"/>
                <w:w w:val="90"/>
              </w:rPr>
              <w:t>Vancouver, British Columbia</w:t>
            </w:r>
          </w:p>
        </w:tc>
        <w:tc>
          <w:tcPr>
            <w:tcW w:w="5280" w:type="dxa"/>
            <w:vAlign w:val="bottom"/>
          </w:tcPr>
          <w:p>
            <w:pPr>
              <w:spacing w:after="0"/>
              <w:rPr>
                <w:sz w:val="18"/>
                <w:szCs w:val="18"/>
                <w:color w:val="auto"/>
              </w:rPr>
            </w:pPr>
          </w:p>
        </w:tc>
        <w:tc>
          <w:tcPr>
            <w:tcW w:w="2860" w:type="dxa"/>
            <w:vAlign w:val="bottom"/>
          </w:tcPr>
          <w:p>
            <w:pPr>
              <w:jc w:val="center"/>
              <w:ind w:right="731"/>
              <w:spacing w:after="0"/>
              <w:rPr>
                <w:sz w:val="20"/>
                <w:szCs w:val="20"/>
                <w:color w:val="auto"/>
              </w:rPr>
            </w:pPr>
            <w:r>
              <w:rPr>
                <w:rFonts w:ascii="Arial" w:cs="Arial" w:eastAsia="Arial" w:hAnsi="Arial"/>
                <w:sz w:val="18"/>
                <w:szCs w:val="18"/>
                <w:b w:val="1"/>
                <w:bCs w:val="1"/>
                <w:color w:val="auto"/>
                <w:w w:val="95"/>
              </w:rPr>
              <w:t>V6C 2T5</w:t>
            </w:r>
          </w:p>
        </w:tc>
      </w:tr>
      <w:tr>
        <w:trPr>
          <w:trHeight w:val="213"/>
        </w:trPr>
        <w:tc>
          <w:tcPr>
            <w:tcW w:w="3100" w:type="dxa"/>
            <w:vAlign w:val="bottom"/>
          </w:tcPr>
          <w:p>
            <w:pPr>
              <w:jc w:val="center"/>
              <w:ind w:left="531"/>
              <w:spacing w:after="0"/>
              <w:rPr>
                <w:sz w:val="20"/>
                <w:szCs w:val="20"/>
                <w:color w:val="auto"/>
              </w:rPr>
            </w:pPr>
            <w:r>
              <w:rPr>
                <w:rFonts w:ascii="Arial" w:cs="Arial" w:eastAsia="Arial" w:hAnsi="Arial"/>
                <w:sz w:val="18"/>
                <w:szCs w:val="18"/>
                <w:color w:val="auto"/>
                <w:w w:val="91"/>
              </w:rPr>
              <w:t>(Address of principal executive</w:t>
            </w:r>
          </w:p>
        </w:tc>
        <w:tc>
          <w:tcPr>
            <w:tcW w:w="5280" w:type="dxa"/>
            <w:vAlign w:val="bottom"/>
          </w:tcPr>
          <w:p>
            <w:pPr>
              <w:spacing w:after="0"/>
              <w:rPr>
                <w:sz w:val="18"/>
                <w:szCs w:val="18"/>
                <w:color w:val="auto"/>
              </w:rPr>
            </w:pPr>
          </w:p>
        </w:tc>
        <w:tc>
          <w:tcPr>
            <w:tcW w:w="2860" w:type="dxa"/>
            <w:vAlign w:val="bottom"/>
          </w:tcPr>
          <w:p>
            <w:pPr>
              <w:jc w:val="center"/>
              <w:ind w:right="751"/>
              <w:spacing w:after="0"/>
              <w:rPr>
                <w:sz w:val="20"/>
                <w:szCs w:val="20"/>
                <w:color w:val="auto"/>
              </w:rPr>
            </w:pPr>
            <w:r>
              <w:rPr>
                <w:rFonts w:ascii="Arial" w:cs="Arial" w:eastAsia="Arial" w:hAnsi="Arial"/>
                <w:sz w:val="18"/>
                <w:szCs w:val="18"/>
                <w:color w:val="auto"/>
                <w:w w:val="91"/>
              </w:rPr>
              <w:t>(Zip Code)</w:t>
            </w:r>
          </w:p>
        </w:tc>
      </w:tr>
      <w:tr>
        <w:trPr>
          <w:trHeight w:val="226"/>
        </w:trPr>
        <w:tc>
          <w:tcPr>
            <w:tcW w:w="3100" w:type="dxa"/>
            <w:vAlign w:val="bottom"/>
          </w:tcPr>
          <w:p>
            <w:pPr>
              <w:jc w:val="center"/>
              <w:ind w:left="551"/>
              <w:spacing w:after="0"/>
              <w:rPr>
                <w:sz w:val="20"/>
                <w:szCs w:val="20"/>
                <w:color w:val="auto"/>
              </w:rPr>
            </w:pPr>
            <w:r>
              <w:rPr>
                <w:rFonts w:ascii="Arial" w:cs="Arial" w:eastAsia="Arial" w:hAnsi="Arial"/>
                <w:sz w:val="18"/>
                <w:szCs w:val="18"/>
                <w:color w:val="auto"/>
                <w:w w:val="92"/>
              </w:rPr>
              <w:t>offices)</w:t>
            </w:r>
          </w:p>
        </w:tc>
        <w:tc>
          <w:tcPr>
            <w:tcW w:w="5280" w:type="dxa"/>
            <w:vAlign w:val="bottom"/>
          </w:tcPr>
          <w:p>
            <w:pPr>
              <w:spacing w:after="0"/>
              <w:rPr>
                <w:sz w:val="19"/>
                <w:szCs w:val="19"/>
                <w:color w:val="auto"/>
              </w:rPr>
            </w:pPr>
          </w:p>
        </w:tc>
        <w:tc>
          <w:tcPr>
            <w:tcW w:w="2860" w:type="dxa"/>
            <w:vAlign w:val="bottom"/>
          </w:tcPr>
          <w:p>
            <w:pPr>
              <w:spacing w:after="0"/>
              <w:rPr>
                <w:sz w:val="19"/>
                <w:szCs w:val="19"/>
                <w:color w:val="auto"/>
              </w:rPr>
            </w:pPr>
          </w:p>
        </w:tc>
      </w:tr>
      <w:tr>
        <w:trPr>
          <w:trHeight w:val="427"/>
        </w:trPr>
        <w:tc>
          <w:tcPr>
            <w:tcW w:w="3100" w:type="dxa"/>
            <w:vAlign w:val="bottom"/>
          </w:tcPr>
          <w:p>
            <w:pPr>
              <w:spacing w:after="0"/>
              <w:rPr>
                <w:sz w:val="24"/>
                <w:szCs w:val="24"/>
                <w:color w:val="auto"/>
              </w:rPr>
            </w:pPr>
          </w:p>
        </w:tc>
        <w:tc>
          <w:tcPr>
            <w:tcW w:w="5280" w:type="dxa"/>
            <w:vAlign w:val="bottom"/>
          </w:tcPr>
          <w:p>
            <w:pPr>
              <w:jc w:val="center"/>
              <w:ind w:right="151"/>
              <w:spacing w:after="0"/>
              <w:rPr>
                <w:sz w:val="20"/>
                <w:szCs w:val="20"/>
                <w:color w:val="auto"/>
              </w:rPr>
            </w:pPr>
            <w:r>
              <w:rPr>
                <w:rFonts w:ascii="Arial" w:cs="Arial" w:eastAsia="Arial" w:hAnsi="Arial"/>
                <w:sz w:val="18"/>
                <w:szCs w:val="18"/>
                <w:color w:val="auto"/>
                <w:w w:val="88"/>
              </w:rPr>
              <w:t xml:space="preserve">Registrant’s telephone number, including area code: </w:t>
            </w:r>
            <w:r>
              <w:rPr>
                <w:rFonts w:ascii="Arial" w:cs="Arial" w:eastAsia="Arial" w:hAnsi="Arial"/>
                <w:sz w:val="18"/>
                <w:szCs w:val="18"/>
                <w:b w:val="1"/>
                <w:bCs w:val="1"/>
                <w:color w:val="auto"/>
                <w:w w:val="88"/>
              </w:rPr>
              <w:t>(604) 631-3115</w:t>
            </w:r>
          </w:p>
        </w:tc>
        <w:tc>
          <w:tcPr>
            <w:tcW w:w="2860" w:type="dxa"/>
            <w:vAlign w:val="bottom"/>
          </w:tcPr>
          <w:p>
            <w:pPr>
              <w:spacing w:after="0"/>
              <w:rPr>
                <w:sz w:val="24"/>
                <w:szCs w:val="24"/>
                <w:color w:val="auto"/>
              </w:rPr>
            </w:pPr>
          </w:p>
        </w:tc>
      </w:tr>
      <w:tr>
        <w:trPr>
          <w:trHeight w:val="414"/>
        </w:trPr>
        <w:tc>
          <w:tcPr>
            <w:tcW w:w="3100" w:type="dxa"/>
            <w:vAlign w:val="bottom"/>
          </w:tcPr>
          <w:p>
            <w:pPr>
              <w:spacing w:after="0"/>
              <w:rPr>
                <w:sz w:val="24"/>
                <w:szCs w:val="24"/>
                <w:color w:val="auto"/>
              </w:rPr>
            </w:pPr>
          </w:p>
        </w:tc>
        <w:tc>
          <w:tcPr>
            <w:tcW w:w="5280" w:type="dxa"/>
            <w:vAlign w:val="bottom"/>
          </w:tcPr>
          <w:p>
            <w:pPr>
              <w:jc w:val="center"/>
              <w:ind w:right="131"/>
              <w:spacing w:after="0"/>
              <w:rPr>
                <w:sz w:val="20"/>
                <w:szCs w:val="20"/>
                <w:color w:val="auto"/>
              </w:rPr>
            </w:pPr>
            <w:r>
              <w:rPr>
                <w:rFonts w:ascii="Arial" w:cs="Arial" w:eastAsia="Arial" w:hAnsi="Arial"/>
                <w:sz w:val="18"/>
                <w:szCs w:val="18"/>
                <w:b w:val="1"/>
                <w:bCs w:val="1"/>
                <w:color w:val="auto"/>
                <w:w w:val="89"/>
              </w:rPr>
              <w:t>Not applicable</w:t>
            </w:r>
          </w:p>
        </w:tc>
        <w:tc>
          <w:tcPr>
            <w:tcW w:w="2860" w:type="dxa"/>
            <w:vAlign w:val="bottom"/>
          </w:tcPr>
          <w:p>
            <w:pPr>
              <w:spacing w:after="0"/>
              <w:rPr>
                <w:sz w:val="24"/>
                <w:szCs w:val="24"/>
                <w:color w:val="auto"/>
              </w:rPr>
            </w:pPr>
          </w:p>
        </w:tc>
      </w:tr>
      <w:tr>
        <w:trPr>
          <w:trHeight w:val="227"/>
        </w:trPr>
        <w:tc>
          <w:tcPr>
            <w:tcW w:w="3100" w:type="dxa"/>
            <w:vAlign w:val="bottom"/>
            <w:tcBorders>
              <w:bottom w:val="single" w:sz="8" w:color="auto"/>
            </w:tcBorders>
          </w:tcPr>
          <w:p>
            <w:pPr>
              <w:spacing w:after="0"/>
              <w:rPr>
                <w:sz w:val="19"/>
                <w:szCs w:val="19"/>
                <w:color w:val="auto"/>
              </w:rPr>
            </w:pPr>
          </w:p>
        </w:tc>
        <w:tc>
          <w:tcPr>
            <w:tcW w:w="5280" w:type="dxa"/>
            <w:vAlign w:val="bottom"/>
            <w:tcBorders>
              <w:bottom w:val="single" w:sz="8" w:color="auto"/>
            </w:tcBorders>
          </w:tcPr>
          <w:p>
            <w:pPr>
              <w:jc w:val="center"/>
              <w:ind w:right="131"/>
              <w:spacing w:after="0"/>
              <w:rPr>
                <w:sz w:val="20"/>
                <w:szCs w:val="20"/>
                <w:color w:val="auto"/>
              </w:rPr>
            </w:pPr>
            <w:r>
              <w:rPr>
                <w:rFonts w:ascii="Arial" w:cs="Arial" w:eastAsia="Arial" w:hAnsi="Arial"/>
                <w:sz w:val="18"/>
                <w:szCs w:val="18"/>
                <w:color w:val="auto"/>
                <w:w w:val="88"/>
              </w:rPr>
              <w:t>(Former name or former address, if changed since last report)</w:t>
            </w:r>
          </w:p>
        </w:tc>
        <w:tc>
          <w:tcPr>
            <w:tcW w:w="2860" w:type="dxa"/>
            <w:vAlign w:val="bottom"/>
            <w:tcBorders>
              <w:bottom w:val="single" w:sz="8" w:color="auto"/>
            </w:tcBorders>
          </w:tcPr>
          <w:p>
            <w:pPr>
              <w:spacing w:after="0"/>
              <w:rPr>
                <w:sz w:val="19"/>
                <w:szCs w:val="19"/>
                <w:color w:val="auto"/>
              </w:rPr>
            </w:pPr>
          </w:p>
        </w:tc>
      </w:tr>
    </w:tbl>
    <w:p>
      <w:pPr>
        <w:spacing w:after="0" w:line="199" w:lineRule="exact"/>
        <w:rPr>
          <w:sz w:val="24"/>
          <w:szCs w:val="24"/>
          <w:color w:val="auto"/>
        </w:rPr>
      </w:pPr>
    </w:p>
    <w:p>
      <w:pPr>
        <w:jc w:val="both"/>
        <w:spacing w:after="0" w:line="270"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320" w:hanging="313"/>
        <w:spacing w:after="0"/>
        <w:tabs>
          <w:tab w:leader="none" w:pos="3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9" w:lineRule="exact"/>
        <w:rPr>
          <w:rFonts w:ascii="MS PGothic" w:cs="MS PGothic" w:eastAsia="MS PGothic" w:hAnsi="MS PGothic"/>
          <w:sz w:val="18"/>
          <w:szCs w:val="18"/>
          <w:color w:val="auto"/>
        </w:rPr>
      </w:pPr>
    </w:p>
    <w:p>
      <w:pPr>
        <w:ind w:left="320" w:hanging="313"/>
        <w:spacing w:after="0"/>
        <w:tabs>
          <w:tab w:leader="none" w:pos="3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9" w:lineRule="exact"/>
        <w:rPr>
          <w:rFonts w:ascii="MS PGothic" w:cs="MS PGothic" w:eastAsia="MS PGothic" w:hAnsi="MS PGothic"/>
          <w:sz w:val="18"/>
          <w:szCs w:val="18"/>
          <w:color w:val="auto"/>
        </w:rPr>
      </w:pPr>
    </w:p>
    <w:p>
      <w:pPr>
        <w:ind w:left="320" w:hanging="313"/>
        <w:spacing w:after="0"/>
        <w:tabs>
          <w:tab w:leader="none" w:pos="3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9" w:lineRule="exact"/>
        <w:rPr>
          <w:rFonts w:ascii="MS PGothic" w:cs="MS PGothic" w:eastAsia="MS PGothic" w:hAnsi="MS PGothic"/>
          <w:sz w:val="18"/>
          <w:szCs w:val="18"/>
          <w:color w:val="auto"/>
        </w:rPr>
      </w:pPr>
    </w:p>
    <w:p>
      <w:pPr>
        <w:ind w:right="2960" w:firstLine="7"/>
        <w:spacing w:after="0" w:line="492" w:lineRule="auto"/>
        <w:tabs>
          <w:tab w:leader="none" w:pos="3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3"/>
        </w:trPr>
        <w:tc>
          <w:tcPr>
            <w:tcW w:w="4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60" w:type="dxa"/>
            <w:vAlign w:val="bottom"/>
          </w:tcPr>
          <w:p>
            <w:pPr>
              <w:jc w:val="center"/>
              <w:spacing w:after="0"/>
              <w:rPr>
                <w:sz w:val="20"/>
                <w:szCs w:val="20"/>
                <w:color w:val="auto"/>
              </w:rPr>
            </w:pPr>
            <w:r>
              <w:rPr>
                <w:rFonts w:ascii="Arial" w:cs="Arial" w:eastAsia="Arial" w:hAnsi="Arial"/>
                <w:sz w:val="18"/>
                <w:szCs w:val="18"/>
                <w:b w:val="1"/>
                <w:bCs w:val="1"/>
                <w:color w:val="auto"/>
                <w:w w:val="86"/>
              </w:rPr>
              <w:t>Name of each exchange on</w:t>
            </w:r>
          </w:p>
        </w:tc>
      </w:tr>
      <w:tr>
        <w:trPr>
          <w:trHeight w:val="230"/>
        </w:trPr>
        <w:tc>
          <w:tcPr>
            <w:tcW w:w="4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Title of each class</w:t>
            </w:r>
          </w:p>
        </w:tc>
        <w:tc>
          <w:tcPr>
            <w:tcW w:w="24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Trading Symbol(s)</w:t>
            </w:r>
          </w:p>
        </w:tc>
        <w:tc>
          <w:tcPr>
            <w:tcW w:w="4260" w:type="dxa"/>
            <w:vAlign w:val="bottom"/>
          </w:tcPr>
          <w:p>
            <w:pPr>
              <w:jc w:val="center"/>
              <w:spacing w:after="0"/>
              <w:rPr>
                <w:sz w:val="20"/>
                <w:szCs w:val="20"/>
                <w:color w:val="auto"/>
              </w:rPr>
            </w:pPr>
            <w:r>
              <w:rPr>
                <w:rFonts w:ascii="Arial" w:cs="Arial" w:eastAsia="Arial" w:hAnsi="Arial"/>
                <w:sz w:val="18"/>
                <w:szCs w:val="18"/>
                <w:b w:val="1"/>
                <w:bCs w:val="1"/>
                <w:color w:val="auto"/>
                <w:w w:val="88"/>
              </w:rPr>
              <w:t>which registered</w:t>
            </w:r>
          </w:p>
        </w:tc>
      </w:tr>
      <w:tr>
        <w:trPr>
          <w:trHeight w:val="194"/>
        </w:trPr>
        <w:tc>
          <w:tcPr>
            <w:tcW w:w="4280" w:type="dxa"/>
            <w:vAlign w:val="bottom"/>
            <w:tcBorders>
              <w:top w:val="single" w:sz="8" w:color="auto"/>
            </w:tcBorders>
          </w:tcPr>
          <w:p>
            <w:pPr>
              <w:jc w:val="center"/>
              <w:spacing w:after="0" w:line="194" w:lineRule="exact"/>
              <w:rPr>
                <w:sz w:val="20"/>
                <w:szCs w:val="20"/>
                <w:color w:val="auto"/>
              </w:rPr>
            </w:pPr>
            <w:r>
              <w:rPr>
                <w:rFonts w:ascii="Arial" w:cs="Arial" w:eastAsia="Arial" w:hAnsi="Arial"/>
                <w:sz w:val="18"/>
                <w:szCs w:val="18"/>
                <w:color w:val="auto"/>
                <w:w w:val="90"/>
              </w:rPr>
              <w:t>TMC Common Shares without par value</w:t>
            </w:r>
          </w:p>
        </w:tc>
        <w:tc>
          <w:tcPr>
            <w:tcW w:w="220" w:type="dxa"/>
            <w:vAlign w:val="bottom"/>
          </w:tcPr>
          <w:p>
            <w:pPr>
              <w:spacing w:after="0"/>
              <w:rPr>
                <w:sz w:val="16"/>
                <w:szCs w:val="16"/>
                <w:color w:val="auto"/>
              </w:rPr>
            </w:pPr>
          </w:p>
        </w:tc>
        <w:tc>
          <w:tcPr>
            <w:tcW w:w="2260" w:type="dxa"/>
            <w:vAlign w:val="bottom"/>
            <w:tcBorders>
              <w:top w:val="single" w:sz="8" w:color="auto"/>
            </w:tcBorders>
          </w:tcPr>
          <w:p>
            <w:pPr>
              <w:jc w:val="center"/>
              <w:spacing w:after="0" w:line="194" w:lineRule="exact"/>
              <w:rPr>
                <w:sz w:val="20"/>
                <w:szCs w:val="20"/>
                <w:color w:val="auto"/>
              </w:rPr>
            </w:pPr>
            <w:r>
              <w:rPr>
                <w:rFonts w:ascii="Arial" w:cs="Arial" w:eastAsia="Arial" w:hAnsi="Arial"/>
                <w:sz w:val="18"/>
                <w:szCs w:val="18"/>
                <w:color w:val="auto"/>
                <w:w w:val="97"/>
              </w:rPr>
              <w:t>TMC</w:t>
            </w:r>
          </w:p>
        </w:tc>
        <w:tc>
          <w:tcPr>
            <w:tcW w:w="220" w:type="dxa"/>
            <w:vAlign w:val="bottom"/>
          </w:tcPr>
          <w:p>
            <w:pPr>
              <w:spacing w:after="0"/>
              <w:rPr>
                <w:sz w:val="16"/>
                <w:szCs w:val="16"/>
                <w:color w:val="auto"/>
              </w:rPr>
            </w:pPr>
          </w:p>
        </w:tc>
        <w:tc>
          <w:tcPr>
            <w:tcW w:w="4260" w:type="dxa"/>
            <w:vAlign w:val="bottom"/>
            <w:tcBorders>
              <w:top w:val="single" w:sz="8" w:color="auto"/>
            </w:tcBorders>
          </w:tcPr>
          <w:p>
            <w:pPr>
              <w:jc w:val="center"/>
              <w:spacing w:after="0" w:line="194" w:lineRule="exact"/>
              <w:rPr>
                <w:sz w:val="20"/>
                <w:szCs w:val="20"/>
                <w:color w:val="auto"/>
              </w:rPr>
            </w:pPr>
            <w:r>
              <w:rPr>
                <w:rFonts w:ascii="Arial" w:cs="Arial" w:eastAsia="Arial" w:hAnsi="Arial"/>
                <w:sz w:val="18"/>
                <w:szCs w:val="18"/>
                <w:color w:val="auto"/>
                <w:w w:val="91"/>
              </w:rPr>
              <w:t>The Nasdaq Stock Market LLC</w:t>
            </w:r>
          </w:p>
        </w:tc>
      </w:tr>
      <w:tr>
        <w:trPr>
          <w:trHeight w:val="213"/>
        </w:trPr>
        <w:tc>
          <w:tcPr>
            <w:tcW w:w="450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Redeemable warrants, each whole warrant exercisable for</w:t>
            </w:r>
          </w:p>
        </w:tc>
        <w:tc>
          <w:tcPr>
            <w:tcW w:w="2480" w:type="dxa"/>
            <w:vAlign w:val="bottom"/>
            <w:gridSpan w:val="2"/>
          </w:tcPr>
          <w:p>
            <w:pPr>
              <w:jc w:val="center"/>
              <w:ind w:right="200"/>
              <w:spacing w:after="0"/>
              <w:rPr>
                <w:sz w:val="20"/>
                <w:szCs w:val="20"/>
                <w:color w:val="auto"/>
              </w:rPr>
            </w:pPr>
            <w:r>
              <w:rPr>
                <w:rFonts w:ascii="Arial" w:cs="Arial" w:eastAsia="Arial" w:hAnsi="Arial"/>
                <w:sz w:val="18"/>
                <w:szCs w:val="18"/>
                <w:color w:val="auto"/>
                <w:w w:val="98"/>
              </w:rPr>
              <w:t>TMCWW</w:t>
            </w:r>
          </w:p>
        </w:tc>
        <w:tc>
          <w:tcPr>
            <w:tcW w:w="4260" w:type="dxa"/>
            <w:vAlign w:val="bottom"/>
          </w:tcPr>
          <w:p>
            <w:pPr>
              <w:jc w:val="center"/>
              <w:spacing w:after="0"/>
              <w:rPr>
                <w:sz w:val="20"/>
                <w:szCs w:val="20"/>
                <w:color w:val="auto"/>
              </w:rPr>
            </w:pPr>
            <w:r>
              <w:rPr>
                <w:rFonts w:ascii="Arial" w:cs="Arial" w:eastAsia="Arial" w:hAnsi="Arial"/>
                <w:sz w:val="18"/>
                <w:szCs w:val="18"/>
                <w:color w:val="auto"/>
                <w:w w:val="91"/>
              </w:rPr>
              <w:t>The Nasdaq Stock Market LLC</w:t>
            </w:r>
          </w:p>
        </w:tc>
      </w:tr>
      <w:tr>
        <w:trPr>
          <w:trHeight w:val="213"/>
        </w:trPr>
        <w:tc>
          <w:tcPr>
            <w:tcW w:w="450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one TMC Common Share, each at an exercise price of</w:t>
            </w:r>
          </w:p>
        </w:tc>
        <w:tc>
          <w:tcPr>
            <w:tcW w:w="2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60" w:type="dxa"/>
            <w:vAlign w:val="bottom"/>
          </w:tcPr>
          <w:p>
            <w:pPr>
              <w:spacing w:after="0"/>
              <w:rPr>
                <w:sz w:val="18"/>
                <w:szCs w:val="18"/>
                <w:color w:val="auto"/>
              </w:rPr>
            </w:pPr>
          </w:p>
        </w:tc>
      </w:tr>
      <w:tr>
        <w:trPr>
          <w:trHeight w:val="226"/>
        </w:trPr>
        <w:tc>
          <w:tcPr>
            <w:tcW w:w="4500" w:type="dxa"/>
            <w:vAlign w:val="bottom"/>
            <w:gridSpan w:val="2"/>
          </w:tcPr>
          <w:p>
            <w:pPr>
              <w:jc w:val="center"/>
              <w:ind w:right="220"/>
              <w:spacing w:after="0"/>
              <w:rPr>
                <w:sz w:val="20"/>
                <w:szCs w:val="20"/>
                <w:color w:val="auto"/>
              </w:rPr>
            </w:pPr>
            <w:r>
              <w:rPr>
                <w:rFonts w:ascii="Arial" w:cs="Arial" w:eastAsia="Arial" w:hAnsi="Arial"/>
                <w:sz w:val="18"/>
                <w:szCs w:val="18"/>
                <w:color w:val="auto"/>
                <w:w w:val="85"/>
              </w:rPr>
              <w:t>$11.50 per share</w:t>
            </w:r>
          </w:p>
        </w:tc>
        <w:tc>
          <w:tcPr>
            <w:tcW w:w="2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60" w:type="dxa"/>
            <w:vAlign w:val="bottom"/>
          </w:tcPr>
          <w:p>
            <w:pPr>
              <w:spacing w:after="0"/>
              <w:rPr>
                <w:sz w:val="19"/>
                <w:szCs w:val="19"/>
                <w:color w:val="auto"/>
              </w:rPr>
            </w:pPr>
          </w:p>
        </w:tc>
      </w:tr>
    </w:tbl>
    <w:p>
      <w:pPr>
        <w:spacing w:after="0" w:line="200" w:lineRule="exact"/>
        <w:rPr>
          <w:sz w:val="24"/>
          <w:szCs w:val="24"/>
          <w:color w:val="auto"/>
        </w:rPr>
      </w:pPr>
    </w:p>
    <w:p>
      <w:pPr>
        <w:jc w:val="both"/>
        <w:ind w:right="20" w:firstLine="320"/>
        <w:spacing w:after="0" w:line="270"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0" w:lineRule="exact"/>
        <w:rPr>
          <w:sz w:val="24"/>
          <w:szCs w:val="24"/>
          <w:color w:val="auto"/>
        </w:rPr>
      </w:pPr>
    </w:p>
    <w:p>
      <w:pPr>
        <w:ind w:left="910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8" w:lineRule="exact"/>
        <w:rPr>
          <w:sz w:val="24"/>
          <w:szCs w:val="24"/>
          <w:color w:val="auto"/>
        </w:rPr>
      </w:pPr>
    </w:p>
    <w:p>
      <w:pPr>
        <w:jc w:val="both"/>
        <w:ind w:firstLine="320"/>
        <w:spacing w:after="0" w:line="235"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118110</wp:posOffset>
            </wp:positionV>
            <wp:extent cx="71342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143510</wp:posOffset>
            </wp:positionV>
            <wp:extent cx="713422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4225" cy="17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583565</wp:posOffset>
            </wp:positionV>
            <wp:extent cx="71342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99" w:right="339" w:bottom="1440" w:gutter="0" w:footer="0" w:header="0"/>
        </w:sectPr>
      </w:pPr>
    </w:p>
    <w:bookmarkStart w:id="1" w:name="page2"/>
    <w:bookmarkEnd w:id="1"/>
    <w:p>
      <w:pPr>
        <w:spacing w:after="0"/>
        <w:tabs>
          <w:tab w:leader="none" w:pos="126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24" w:lineRule="exact"/>
        <w:rPr>
          <w:sz w:val="20"/>
          <w:szCs w:val="20"/>
          <w:color w:val="auto"/>
        </w:rPr>
      </w:pPr>
    </w:p>
    <w:p>
      <w:pPr>
        <w:jc w:val="both"/>
        <w:ind w:firstLine="640"/>
        <w:spacing w:after="0" w:line="285" w:lineRule="auto"/>
        <w:rPr>
          <w:sz w:val="20"/>
          <w:szCs w:val="20"/>
          <w:color w:val="auto"/>
        </w:rPr>
      </w:pPr>
      <w:r>
        <w:rPr>
          <w:rFonts w:ascii="Arial" w:cs="Arial" w:eastAsia="Arial" w:hAnsi="Arial"/>
          <w:sz w:val="16"/>
          <w:szCs w:val="16"/>
          <w:color w:val="auto"/>
        </w:rPr>
        <w:t>On August 14, 2023, TMC the metals company Inc. (the “Company”) entered into a securities purchase agreement (the “Purchase Agreement”) with certain investors (the “Purchasers”), pursuant to which the Company agreed to sell and issue, in a registered direct offering (the “Registered Offering”), an aggregate of 13,461,540 common shares (the “Shares”) of the Company, without par value (the “Common Shares”), and accompanying Class A warrants (the “Class A Warrants” and collectively with the Shares, the “Securities”) to purchase an aggregate of 6,730,770 Common Shares. The aggregate gross proceeds to the Company from the Registered Offering are expected to be approximately $26.9 million, before deducting fees payable to the financial advisors and other estimated offering expenses payable by the Company, not including the exercise of the Class A Warrants. In addition, certain investors may purchase up to an aggregate of 5,500,000 additional Shares and accompanying Class A Warrants to purchase up to an aggregate of 2,750,000 additional Common Shares upon notice to the Company on or before September 15, 2023 if the closing price of the Common Shares on the trading day before such investor's notice is $3.00 or less for an aggregate of up to an additional $11 million.</w:t>
      </w:r>
    </w:p>
    <w:p>
      <w:pPr>
        <w:spacing w:after="0" w:line="168" w:lineRule="exact"/>
        <w:rPr>
          <w:sz w:val="20"/>
          <w:szCs w:val="20"/>
          <w:color w:val="auto"/>
        </w:rPr>
      </w:pPr>
    </w:p>
    <w:p>
      <w:pPr>
        <w:jc w:val="both"/>
        <w:ind w:firstLine="640"/>
        <w:spacing w:after="0" w:line="252" w:lineRule="auto"/>
        <w:rPr>
          <w:sz w:val="20"/>
          <w:szCs w:val="20"/>
          <w:color w:val="auto"/>
        </w:rPr>
      </w:pPr>
      <w:r>
        <w:rPr>
          <w:rFonts w:ascii="Arial" w:cs="Arial" w:eastAsia="Arial" w:hAnsi="Arial"/>
          <w:sz w:val="18"/>
          <w:szCs w:val="18"/>
          <w:color w:val="auto"/>
        </w:rPr>
        <w:t>ERAS Capital LLC, the family fund of the Company’s director, Andrei Karkar, and existing shareholder in the Company, agreed to purchase 5,000,000 Common Shares and accompanying Class A Warrants to purchase 2,500,000 Common Shares for a total purchase price of $10 million. In addition, Allseas Group S.A., a strategic partner of the Company and existing shareholder in the Company, agreed to purchase 3,500,000 Common Shares and accompanying Class A Warrants to purchase 1,750,000 Common Shares for a total purchase price of $7 million. The Company’s Chief Executive Officer and Chairman, Gerard Barron, the Company’s Chief Financial Officer, Craig Shesky, and other members of the Company’s board of directors also agreed to purchase Securities in the Registered Offering.</w:t>
      </w:r>
    </w:p>
    <w:p>
      <w:pPr>
        <w:spacing w:after="0" w:line="190" w:lineRule="exact"/>
        <w:rPr>
          <w:sz w:val="20"/>
          <w:szCs w:val="20"/>
          <w:color w:val="auto"/>
        </w:rPr>
      </w:pPr>
    </w:p>
    <w:p>
      <w:pPr>
        <w:jc w:val="both"/>
        <w:ind w:firstLine="640"/>
        <w:spacing w:after="0" w:line="258" w:lineRule="auto"/>
        <w:rPr>
          <w:sz w:val="20"/>
          <w:szCs w:val="20"/>
          <w:color w:val="auto"/>
        </w:rPr>
      </w:pPr>
      <w:r>
        <w:rPr>
          <w:rFonts w:ascii="Arial" w:cs="Arial" w:eastAsia="Arial" w:hAnsi="Arial"/>
          <w:sz w:val="18"/>
          <w:szCs w:val="18"/>
          <w:color w:val="auto"/>
        </w:rPr>
        <w:t>The Securities are being offered by the Company pursuant to the Company’s registration statement on Form S-3 (Reg. No. 333-267479), previously filed with the U.S. Securities and Exchange Commission (the “SEC”) on September 16, 2022, as amended, and declared effective by the SEC on October 14, 2022, the base prospectus contained therein, and a prospectus supplement dated August 14, 2023.</w:t>
      </w:r>
    </w:p>
    <w:p>
      <w:pPr>
        <w:spacing w:after="0" w:line="186" w:lineRule="exact"/>
        <w:rPr>
          <w:sz w:val="20"/>
          <w:szCs w:val="20"/>
          <w:color w:val="auto"/>
        </w:rPr>
      </w:pPr>
    </w:p>
    <w:p>
      <w:pPr>
        <w:jc w:val="both"/>
        <w:ind w:firstLine="640"/>
        <w:spacing w:after="0" w:line="258" w:lineRule="auto"/>
        <w:rPr>
          <w:sz w:val="20"/>
          <w:szCs w:val="20"/>
          <w:color w:val="auto"/>
        </w:rPr>
      </w:pPr>
      <w:r>
        <w:rPr>
          <w:rFonts w:ascii="Arial" w:cs="Arial" w:eastAsia="Arial" w:hAnsi="Arial"/>
          <w:sz w:val="18"/>
          <w:szCs w:val="18"/>
          <w:color w:val="auto"/>
        </w:rPr>
        <w:t>The initial closing of the Registered Offering is expected on or about August 16, 2023, subject to the satisfaction of customary closing conditions. Two additional closings for $2.5 million and $6.5 million are expected to occur on or before November 30, 2023 and January 31, 2024, respectively, with respect to one of the investors in the Registered Offering pursuant to the terms of the Purchase Agreement.</w:t>
      </w:r>
    </w:p>
    <w:p>
      <w:pPr>
        <w:spacing w:after="0" w:line="186" w:lineRule="exact"/>
        <w:rPr>
          <w:sz w:val="20"/>
          <w:szCs w:val="20"/>
          <w:color w:val="auto"/>
        </w:rPr>
      </w:pPr>
    </w:p>
    <w:p>
      <w:pPr>
        <w:ind w:left="640"/>
        <w:spacing w:after="0"/>
        <w:rPr>
          <w:sz w:val="20"/>
          <w:szCs w:val="20"/>
          <w:color w:val="auto"/>
        </w:rPr>
      </w:pPr>
      <w:r>
        <w:rPr>
          <w:rFonts w:ascii="Arial" w:cs="Arial" w:eastAsia="Arial" w:hAnsi="Arial"/>
          <w:sz w:val="17"/>
          <w:szCs w:val="17"/>
          <w:color w:val="auto"/>
        </w:rPr>
        <w:t>Each Common Share and the accompanying Class A Warrant to purchase 0.5 of a Common Share are being sold at a price of $2.00.</w:t>
      </w:r>
    </w:p>
    <w:p>
      <w:pPr>
        <w:spacing w:after="0" w:line="231" w:lineRule="exact"/>
        <w:rPr>
          <w:sz w:val="20"/>
          <w:szCs w:val="20"/>
          <w:color w:val="auto"/>
        </w:rPr>
      </w:pPr>
    </w:p>
    <w:p>
      <w:pPr>
        <w:jc w:val="both"/>
        <w:ind w:firstLine="640"/>
        <w:spacing w:after="0" w:line="282" w:lineRule="auto"/>
        <w:rPr>
          <w:sz w:val="20"/>
          <w:szCs w:val="20"/>
          <w:color w:val="auto"/>
        </w:rPr>
      </w:pPr>
      <w:r>
        <w:rPr>
          <w:rFonts w:ascii="Arial" w:cs="Arial" w:eastAsia="Arial" w:hAnsi="Arial"/>
          <w:sz w:val="16"/>
          <w:szCs w:val="16"/>
          <w:color w:val="auto"/>
        </w:rPr>
        <w:t>The Class A Warrants have an initial exercise price of $3.00, are exercisable immediately upon issuance and will expire on December 31, 2027. The Class A Warrants are subject to adjustment in the event of certain share dividends and distributions, share splits, share combinations, reclassifications or similar events affecting the Common Shares upon any distributions for no consideration of assets to the Company’s shareholders. Subject to customary exceptions contained in the Class A Warrants, until December 31, 2024, the Class A Warrants are subject to price-based adjustment in the event of any issuances of Common Shares, or security convertible, exercisable or exchangeable for Common Shares, at a price below the lower of (i) $2.00 (as equitably adjusted for share splits, recapitalization, share dividends and the like) and (ii) the then effective exercise price. The Company may also repurchase the Class A Warrants for $0.0001 per Common Share underlying the Class A Warrants if the volume weighted average price for the Common Shares for each trading day in a 30-consecutive trading day period exceeds $6.50. In the event of certain corporate transactions, the holders of the Class A Warrants will be entitled to receive, upon exercise of the Class A Warrants, the kind and amount of securities, cash or other property that the holders would have received had they exercised the Class A Warrants immediately prior to such transaction. Each holder of a Class A Warrant will not have the right to exercise any portion of its Class A Warrant if the holder, together with its affiliates, would beneficially own in excess of 4.99% (or 9.99% or 19.99% at the election of a holder prior to the date of issuance) of the number of Common Shares outstanding immediately after giving effect to such exercise (the “Common Warrant Beneficial Ownership Limitation”); provided, however, that upon 61 days’ prior notice to the Company, the holder may increase the Common Warrant Beneficial Ownership Limitation, but not to above 9.99%, or 19.99% with the Company’s approval. The Class A Warrants do not entitle the holders thereof to any voting rights or any of the other rights or privileges to which holders of Common Stock are entitled.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407035</wp:posOffset>
            </wp:positionV>
            <wp:extent cx="71342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 w:name="page3"/>
    <w:bookmarkEnd w:id="2"/>
    <w:p>
      <w:pPr>
        <w:jc w:val="both"/>
        <w:ind w:right="20" w:firstLine="640"/>
        <w:spacing w:after="0" w:line="270" w:lineRule="auto"/>
        <w:rPr>
          <w:sz w:val="20"/>
          <w:szCs w:val="20"/>
          <w:color w:val="auto"/>
        </w:rPr>
      </w:pPr>
      <w:r>
        <w:rPr>
          <w:rFonts w:ascii="Arial" w:cs="Arial" w:eastAsia="Arial" w:hAnsi="Arial"/>
          <w:sz w:val="18"/>
          <w:szCs w:val="18"/>
          <w:color w:val="auto"/>
        </w:rPr>
        <w:t>The Class A Warrants are not listed, and the Company does not intend to list the Class A Warrants, for trading on the Nasdaq Global Select Market or any other national securities exchange or any other nationally recognized trading system.</w:t>
      </w:r>
    </w:p>
    <w:p>
      <w:pPr>
        <w:spacing w:after="0" w:line="175" w:lineRule="exact"/>
        <w:rPr>
          <w:sz w:val="20"/>
          <w:szCs w:val="20"/>
          <w:color w:val="auto"/>
        </w:rPr>
      </w:pPr>
    </w:p>
    <w:p>
      <w:pPr>
        <w:jc w:val="both"/>
        <w:ind w:firstLine="640"/>
        <w:spacing w:after="0" w:line="270" w:lineRule="auto"/>
        <w:rPr>
          <w:sz w:val="20"/>
          <w:szCs w:val="20"/>
          <w:color w:val="auto"/>
        </w:rPr>
      </w:pPr>
      <w:r>
        <w:rPr>
          <w:rFonts w:ascii="Arial" w:cs="Arial" w:eastAsia="Arial" w:hAnsi="Arial"/>
          <w:sz w:val="18"/>
          <w:szCs w:val="18"/>
          <w:color w:val="auto"/>
        </w:rPr>
        <w:t>Cantor Fitzgerald &amp; Co., Wedbush Securities LLC, EAS Advisors LLC, Fearnley Securities Inc. and ThinkEquity LLC are engaged by the Company as financial advisors.</w:t>
      </w:r>
    </w:p>
    <w:p>
      <w:pPr>
        <w:spacing w:after="0" w:line="175" w:lineRule="exact"/>
        <w:rPr>
          <w:sz w:val="20"/>
          <w:szCs w:val="20"/>
          <w:color w:val="auto"/>
        </w:rPr>
      </w:pPr>
    </w:p>
    <w:p>
      <w:pPr>
        <w:jc w:val="both"/>
        <w:ind w:firstLine="640"/>
        <w:spacing w:after="0" w:line="252" w:lineRule="auto"/>
        <w:rPr>
          <w:sz w:val="20"/>
          <w:szCs w:val="20"/>
          <w:color w:val="auto"/>
        </w:rPr>
      </w:pPr>
      <w:r>
        <w:rPr>
          <w:rFonts w:ascii="Arial" w:cs="Arial" w:eastAsia="Arial" w:hAnsi="Arial"/>
          <w:sz w:val="18"/>
          <w:szCs w:val="18"/>
          <w:color w:val="auto"/>
        </w:rPr>
        <w:t>The Purchase Agreement contains customary representations, warranties, covenants and agreements by the Company, customary conditions to closing, indemnification obligations, other obligations of the parties and termination provisions. The representations, warranties and covenants contained in the Purchase Agreement were made only for purposes of such agreement and as of specific dates, were solely for the benefit of the parties to such agreement and may be subject to limitations agreed upon by the contracting parties. No statement in this Current Report on Form 8-K or the attached exhibits is an offer to purchase or a solicitation of an offer to sell securities. No offer, solicitation or sale will be made in any jurisdiction in which such offer, solicitation or sale is unlawful.</w:t>
      </w:r>
    </w:p>
    <w:p>
      <w:pPr>
        <w:spacing w:after="0" w:line="190" w:lineRule="exact"/>
        <w:rPr>
          <w:sz w:val="20"/>
          <w:szCs w:val="20"/>
          <w:color w:val="auto"/>
        </w:rPr>
      </w:pPr>
    </w:p>
    <w:p>
      <w:pPr>
        <w:jc w:val="both"/>
        <w:ind w:firstLine="640"/>
        <w:spacing w:after="0" w:line="296" w:lineRule="auto"/>
        <w:rPr>
          <w:sz w:val="20"/>
          <w:szCs w:val="20"/>
          <w:color w:val="auto"/>
        </w:rPr>
      </w:pPr>
      <w:r>
        <w:rPr>
          <w:rFonts w:ascii="Arial" w:cs="Arial" w:eastAsia="Arial" w:hAnsi="Arial"/>
          <w:sz w:val="16"/>
          <w:szCs w:val="16"/>
          <w:color w:val="auto"/>
        </w:rPr>
        <w:t>A copy of the legal opinion of Fasken Martineau DuMoulin LLP and Mintz, Levin, Cohn, Ferris, Glovsky and Popeo, P.C., each counsel to the Company, relating to the Securities is filed with this Current Report on Form 8-K as Exhibit 5.1 and 5.2, respectively. The forms of the Purchase Agreement and Class A Warrant are filed with this Current Report on Form 8-K as Exhibits 10.1 and 4.1, respectively, and are incorporated herein by reference. The foregoing description of such documents and the transactions contemplated thereby is qualified in its entirety by reference to such exhibits.</w:t>
      </w:r>
    </w:p>
    <w:p>
      <w:pPr>
        <w:spacing w:after="0" w:line="160" w:lineRule="exact"/>
        <w:rPr>
          <w:sz w:val="20"/>
          <w:szCs w:val="20"/>
          <w:color w:val="auto"/>
        </w:rPr>
      </w:pPr>
    </w:p>
    <w:p>
      <w:pPr>
        <w:jc w:val="both"/>
        <w:ind w:firstLine="640"/>
        <w:spacing w:after="0" w:line="258" w:lineRule="auto"/>
        <w:rPr>
          <w:sz w:val="20"/>
          <w:szCs w:val="20"/>
          <w:color w:val="auto"/>
        </w:rPr>
      </w:pPr>
      <w:r>
        <w:rPr>
          <w:rFonts w:ascii="Arial" w:cs="Arial" w:eastAsia="Arial" w:hAnsi="Arial"/>
          <w:sz w:val="18"/>
          <w:szCs w:val="18"/>
          <w:color w:val="auto"/>
        </w:rPr>
        <w:t>This Current Report on Form 8-K shall not constitute an offer to sell or a solicitation of an offer to buy the Securities, nor shall there be any sale of the Securities in any state or jurisdiction in which such offer, solicitation or sale would be unlawful prior to the registration or qualification under the securities laws of any such state or jurisdiction.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Forward-Looking Statements</w:t>
      </w:r>
    </w:p>
    <w:p>
      <w:pPr>
        <w:spacing w:after="0" w:line="220" w:lineRule="exact"/>
        <w:rPr>
          <w:sz w:val="20"/>
          <w:szCs w:val="20"/>
          <w:color w:val="auto"/>
        </w:rPr>
      </w:pPr>
    </w:p>
    <w:p>
      <w:pPr>
        <w:jc w:val="both"/>
        <w:ind w:firstLine="640"/>
        <w:spacing w:after="0" w:line="268" w:lineRule="auto"/>
        <w:rPr>
          <w:sz w:val="20"/>
          <w:szCs w:val="20"/>
          <w:color w:val="auto"/>
        </w:rPr>
      </w:pPr>
      <w:r>
        <w:rPr>
          <w:rFonts w:ascii="Arial" w:cs="Arial" w:eastAsia="Arial" w:hAnsi="Arial"/>
          <w:sz w:val="17"/>
          <w:szCs w:val="17"/>
          <w:color w:val="auto"/>
        </w:rPr>
        <w:t>This Current Report on Form 8-K contains forward-looking statements that involve risks and uncertainties, such as statements related to the anticipated closing of the Registered Offering and the anticipated proceeds from the Registered Offering. The risks and uncertainties involved include the Company’s ability to satisfy certain conditions to closing the Registered Offering on a timely basis or at all, market and other conditions, and other risks detailed from time to time in the Company’s periodic reports and other filings with the SEC. You are cautioned not to place undue reliance on forward-looking statements, which are based on the Company’s current expectations and assumptions and speak only as of the date of this Current Report on Form 8-K. The Company does not intend to revise or update any forward-looking statement in this Current Report on Form 8-K as a result of new information, future events or otherwise, except as required by law.</w:t>
      </w:r>
    </w:p>
    <w:p>
      <w:pPr>
        <w:spacing w:after="0" w:line="176"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4" w:lineRule="exact"/>
        <w:rPr>
          <w:sz w:val="20"/>
          <w:szCs w:val="20"/>
          <w:color w:val="auto"/>
        </w:rPr>
      </w:pPr>
    </w:p>
    <w:p>
      <w:pPr>
        <w:jc w:val="both"/>
        <w:ind w:firstLine="640"/>
        <w:spacing w:after="0" w:line="270" w:lineRule="auto"/>
        <w:rPr>
          <w:sz w:val="20"/>
          <w:szCs w:val="20"/>
          <w:color w:val="auto"/>
        </w:rPr>
      </w:pPr>
      <w:r>
        <w:rPr>
          <w:rFonts w:ascii="Arial" w:cs="Arial" w:eastAsia="Arial" w:hAnsi="Arial"/>
          <w:sz w:val="18"/>
          <w:szCs w:val="18"/>
          <w:color w:val="auto"/>
        </w:rPr>
        <w:t>On August 14, 2023, the Company issued a press release announcing Registered Offering. A copy of the press release is attached as Exhibit 99.2 to this Current Report on Form 8-K and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408305</wp:posOffset>
            </wp:positionV>
            <wp:extent cx="71342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3" w:name="page4"/>
    <w:bookmarkEnd w:id="3"/>
    <w:p>
      <w:pPr>
        <w:spacing w:after="0"/>
        <w:tabs>
          <w:tab w:leader="none" w:pos="12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exhibits are being filed herewith:</w:t>
      </w:r>
    </w:p>
    <w:p>
      <w:pPr>
        <w:spacing w:after="0" w:line="220" w:lineRule="exact"/>
        <w:rPr>
          <w:sz w:val="20"/>
          <w:szCs w:val="20"/>
          <w:color w:val="auto"/>
        </w:rPr>
      </w:pPr>
    </w:p>
    <w:p>
      <w:pPr>
        <w:ind w:left="640" w:hanging="633"/>
        <w:spacing w:after="0"/>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80" w:type="dxa"/>
            <w:vAlign w:val="bottom"/>
            <w:gridSpan w:val="3"/>
          </w:tcPr>
          <w:p>
            <w:pPr>
              <w:spacing w:after="0"/>
              <w:rPr>
                <w:sz w:val="20"/>
                <w:szCs w:val="20"/>
                <w:color w:val="auto"/>
              </w:rPr>
            </w:pPr>
            <w:r>
              <w:rPr>
                <w:rFonts w:ascii="Arial" w:cs="Arial" w:eastAsia="Arial" w:hAnsi="Arial"/>
                <w:sz w:val="18"/>
                <w:szCs w:val="18"/>
                <w:b w:val="1"/>
                <w:bCs w:val="1"/>
                <w:color w:val="auto"/>
              </w:rPr>
              <w:t>Exhibit No.</w:t>
            </w:r>
          </w:p>
        </w:tc>
        <w:tc>
          <w:tcPr>
            <w:tcW w:w="10160" w:type="dxa"/>
            <w:vAlign w:val="bottom"/>
            <w:gridSpan w:val="10"/>
          </w:tcPr>
          <w:p>
            <w:pPr>
              <w:ind w:left="200"/>
              <w:spacing w:after="0"/>
              <w:rPr>
                <w:sz w:val="20"/>
                <w:szCs w:val="20"/>
                <w:color w:val="auto"/>
              </w:rPr>
            </w:pPr>
            <w:r>
              <w:rPr>
                <w:rFonts w:ascii="Arial" w:cs="Arial" w:eastAsia="Arial" w:hAnsi="Arial"/>
                <w:sz w:val="18"/>
                <w:szCs w:val="18"/>
                <w:b w:val="1"/>
                <w:bCs w:val="1"/>
                <w:color w:val="auto"/>
              </w:rPr>
              <w:t>Description</w:t>
            </w:r>
          </w:p>
        </w:tc>
      </w:tr>
      <w:tr>
        <w:trPr>
          <w:trHeight w:val="388"/>
        </w:trPr>
        <w:tc>
          <w:tcPr>
            <w:tcW w:w="22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79"/>
              </w:rPr>
              <w:t>4.</w:t>
            </w:r>
            <w:r>
              <w:rPr>
                <w:rFonts w:ascii="Arial" w:cs="Arial" w:eastAsia="Arial" w:hAnsi="Arial"/>
                <w:sz w:val="18"/>
                <w:szCs w:val="18"/>
                <w:u w:val="single" w:color="auto"/>
                <w:color w:val="0000EE"/>
                <w:w w:val="79"/>
              </w:rPr>
              <w:t>1</w:t>
            </w: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8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89"/>
              </w:rPr>
              <w:t>Form of Class A Warrant to Purchase Common Stock.</w:t>
            </w:r>
          </w:p>
        </w:tc>
        <w:tc>
          <w:tcPr>
            <w:tcW w:w="6080" w:type="dxa"/>
            <w:vAlign w:val="bottom"/>
            <w:gridSpan w:val="6"/>
          </w:tcPr>
          <w:p>
            <w:pPr>
              <w:spacing w:after="0"/>
              <w:rPr>
                <w:sz w:val="24"/>
                <w:szCs w:val="24"/>
                <w:color w:val="auto"/>
              </w:rPr>
            </w:pPr>
          </w:p>
        </w:tc>
      </w:tr>
      <w:tr>
        <w:trPr>
          <w:trHeight w:val="407"/>
        </w:trPr>
        <w:tc>
          <w:tcPr>
            <w:tcW w:w="22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79"/>
              </w:rPr>
              <w:t>5.</w:t>
            </w:r>
            <w:r>
              <w:rPr>
                <w:rFonts w:ascii="Arial" w:cs="Arial" w:eastAsia="Arial" w:hAnsi="Arial"/>
                <w:sz w:val="18"/>
                <w:szCs w:val="18"/>
                <w:u w:val="single" w:color="auto"/>
                <w:color w:val="0000EE"/>
                <w:w w:val="79"/>
              </w:rPr>
              <w:t>1</w:t>
            </w: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8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92"/>
              </w:rPr>
              <w:t>Opinion of Fasken Martineau DuMoulin LLP.</w:t>
            </w:r>
          </w:p>
        </w:tc>
        <w:tc>
          <w:tcPr>
            <w:tcW w:w="6680" w:type="dxa"/>
            <w:vAlign w:val="bottom"/>
            <w:gridSpan w:val="7"/>
          </w:tcPr>
          <w:p>
            <w:pPr>
              <w:spacing w:after="0"/>
              <w:rPr>
                <w:sz w:val="24"/>
                <w:szCs w:val="24"/>
                <w:color w:val="auto"/>
              </w:rPr>
            </w:pPr>
          </w:p>
        </w:tc>
      </w:tr>
      <w:tr>
        <w:trPr>
          <w:trHeight w:val="407"/>
        </w:trPr>
        <w:tc>
          <w:tcPr>
            <w:tcW w:w="22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79"/>
              </w:rPr>
              <w:t>5.</w:t>
            </w:r>
            <w:r>
              <w:rPr>
                <w:rFonts w:ascii="Arial" w:cs="Arial" w:eastAsia="Arial" w:hAnsi="Arial"/>
                <w:sz w:val="18"/>
                <w:szCs w:val="18"/>
                <w:u w:val="single" w:color="auto"/>
                <w:color w:val="0000EE"/>
                <w:w w:val="79"/>
              </w:rPr>
              <w:t>2</w:t>
            </w: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0" w:type="dxa"/>
            <w:vAlign w:val="bottom"/>
            <w:tcBorders>
              <w:bottom w:val="single" w:sz="8" w:color="0000EE"/>
            </w:tcBorders>
            <w:gridSpan w:val="5"/>
          </w:tcPr>
          <w:p>
            <w:pPr>
              <w:spacing w:after="0"/>
              <w:rPr>
                <w:sz w:val="20"/>
                <w:szCs w:val="20"/>
                <w:color w:val="auto"/>
              </w:rPr>
            </w:pPr>
            <w:r>
              <w:rPr>
                <w:rFonts w:ascii="Arial" w:cs="Arial" w:eastAsia="Arial" w:hAnsi="Arial"/>
                <w:sz w:val="18"/>
                <w:szCs w:val="18"/>
                <w:color w:val="0000EE"/>
                <w:w w:val="91"/>
              </w:rPr>
              <w:t>Opinion of Mintz, Levin, Cohn, Ferris, Glovsky and Popeo, P.C.</w:t>
            </w:r>
          </w:p>
        </w:tc>
        <w:tc>
          <w:tcPr>
            <w:tcW w:w="5360" w:type="dxa"/>
            <w:vAlign w:val="bottom"/>
            <w:gridSpan w:val="4"/>
          </w:tcPr>
          <w:p>
            <w:pPr>
              <w:spacing w:after="0"/>
              <w:rPr>
                <w:sz w:val="24"/>
                <w:szCs w:val="24"/>
                <w:color w:val="auto"/>
              </w:rPr>
            </w:pPr>
          </w:p>
        </w:tc>
      </w:tr>
      <w:tr>
        <w:trPr>
          <w:trHeight w:val="407"/>
        </w:trPr>
        <w:tc>
          <w:tcPr>
            <w:tcW w:w="320" w:type="dxa"/>
            <w:vAlign w:val="bottom"/>
            <w:gridSpan w:val="2"/>
          </w:tcPr>
          <w:p>
            <w:pPr>
              <w:spacing w:after="0"/>
              <w:rPr>
                <w:sz w:val="20"/>
                <w:szCs w:val="20"/>
                <w:color w:val="auto"/>
              </w:rPr>
            </w:pPr>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1</w:t>
            </w: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960" w:type="dxa"/>
            <w:vAlign w:val="bottom"/>
            <w:gridSpan w:val="9"/>
          </w:tcPr>
          <w:p>
            <w:pPr>
              <w:spacing w:after="0"/>
              <w:rPr>
                <w:sz w:val="20"/>
                <w:szCs w:val="20"/>
                <w:color w:val="auto"/>
              </w:rPr>
            </w:pPr>
            <w:r>
              <w:rPr>
                <w:rFonts w:ascii="Arial" w:cs="Arial" w:eastAsia="Arial" w:hAnsi="Arial"/>
                <w:sz w:val="18"/>
                <w:szCs w:val="18"/>
                <w:color w:val="0000EE"/>
              </w:rPr>
              <w:t>Form of Securities Purchase Agreement, dated August 14, 2023.</w:t>
            </w: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720" w:type="dxa"/>
            <w:vAlign w:val="bottom"/>
            <w:shd w:val="clear" w:color="auto" w:fill="0000EE"/>
          </w:tcPr>
          <w:p>
            <w:pPr>
              <w:spacing w:after="0" w:line="20" w:lineRule="exact"/>
              <w:rPr>
                <w:sz w:val="1"/>
                <w:szCs w:val="1"/>
                <w:color w:val="auto"/>
              </w:rPr>
            </w:pPr>
          </w:p>
        </w:tc>
        <w:tc>
          <w:tcPr>
            <w:tcW w:w="1860" w:type="dxa"/>
            <w:vAlign w:val="bottom"/>
            <w:gridSpan w:val="3"/>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407"/>
        </w:trPr>
        <w:tc>
          <w:tcPr>
            <w:tcW w:w="320" w:type="dxa"/>
            <w:vAlign w:val="bottom"/>
            <w:gridSpan w:val="2"/>
          </w:tcPr>
          <w:p>
            <w:pPr>
              <w:spacing w:after="0"/>
              <w:rPr>
                <w:sz w:val="20"/>
                <w:szCs w:val="20"/>
                <w:color w:val="auto"/>
              </w:rPr>
            </w:pPr>
            <w:r>
              <w:rPr>
                <w:rFonts w:ascii="Arial" w:cs="Arial" w:eastAsia="Arial" w:hAnsi="Arial"/>
                <w:sz w:val="18"/>
                <w:szCs w:val="18"/>
                <w:color w:val="0000EE"/>
                <w:w w:val="85"/>
              </w:rPr>
              <w:t>23.</w:t>
            </w:r>
            <w:r>
              <w:rPr>
                <w:rFonts w:ascii="Arial" w:cs="Arial" w:eastAsia="Arial" w:hAnsi="Arial"/>
                <w:sz w:val="18"/>
                <w:szCs w:val="18"/>
                <w:u w:val="single" w:color="auto"/>
                <w:color w:val="0000EE"/>
                <w:w w:val="85"/>
              </w:rPr>
              <w:t>1</w:t>
            </w: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960" w:type="dxa"/>
            <w:vAlign w:val="bottom"/>
            <w:gridSpan w:val="9"/>
          </w:tcPr>
          <w:p>
            <w:pPr>
              <w:spacing w:after="0"/>
              <w:rPr>
                <w:sz w:val="20"/>
                <w:szCs w:val="20"/>
                <w:color w:val="auto"/>
              </w:rPr>
            </w:pPr>
            <w:r>
              <w:rPr>
                <w:rFonts w:ascii="Arial" w:cs="Arial" w:eastAsia="Arial" w:hAnsi="Arial"/>
                <w:sz w:val="18"/>
                <w:szCs w:val="18"/>
                <w:color w:val="0000EE"/>
              </w:rPr>
              <w:t>Consent of Fasken Martineau DuMoulin LLP (included in Exhibit 5.1).</w:t>
            </w: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720" w:type="dxa"/>
            <w:vAlign w:val="bottom"/>
            <w:shd w:val="clear" w:color="auto" w:fill="0000EE"/>
          </w:tcPr>
          <w:p>
            <w:pPr>
              <w:spacing w:after="0" w:line="20" w:lineRule="exact"/>
              <w:rPr>
                <w:sz w:val="1"/>
                <w:szCs w:val="1"/>
                <w:color w:val="auto"/>
              </w:rPr>
            </w:pPr>
          </w:p>
        </w:tc>
        <w:tc>
          <w:tcPr>
            <w:tcW w:w="2360" w:type="dxa"/>
            <w:vAlign w:val="bottom"/>
            <w:gridSpan w:val="5"/>
            <w:shd w:val="clear" w:color="auto" w:fill="0000EE"/>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407"/>
        </w:trPr>
        <w:tc>
          <w:tcPr>
            <w:tcW w:w="320" w:type="dxa"/>
            <w:vAlign w:val="bottom"/>
            <w:gridSpan w:val="2"/>
          </w:tcPr>
          <w:p>
            <w:pPr>
              <w:spacing w:after="0"/>
              <w:rPr>
                <w:sz w:val="20"/>
                <w:szCs w:val="20"/>
                <w:color w:val="auto"/>
              </w:rPr>
            </w:pPr>
            <w:r>
              <w:rPr>
                <w:rFonts w:ascii="Arial" w:cs="Arial" w:eastAsia="Arial" w:hAnsi="Arial"/>
                <w:sz w:val="18"/>
                <w:szCs w:val="18"/>
                <w:color w:val="0000EE"/>
                <w:w w:val="85"/>
              </w:rPr>
              <w:t>23.</w:t>
            </w:r>
            <w:r>
              <w:rPr>
                <w:rFonts w:ascii="Arial" w:cs="Arial" w:eastAsia="Arial" w:hAnsi="Arial"/>
                <w:sz w:val="18"/>
                <w:szCs w:val="18"/>
                <w:u w:val="single" w:color="auto"/>
                <w:color w:val="0000EE"/>
                <w:w w:val="85"/>
              </w:rPr>
              <w:t>2</w:t>
            </w: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960" w:type="dxa"/>
            <w:vAlign w:val="bottom"/>
            <w:gridSpan w:val="9"/>
          </w:tcPr>
          <w:p>
            <w:pPr>
              <w:spacing w:after="0"/>
              <w:rPr>
                <w:sz w:val="20"/>
                <w:szCs w:val="20"/>
                <w:color w:val="auto"/>
              </w:rPr>
            </w:pPr>
            <w:r>
              <w:rPr>
                <w:rFonts w:ascii="Arial" w:cs="Arial" w:eastAsia="Arial" w:hAnsi="Arial"/>
                <w:sz w:val="18"/>
                <w:szCs w:val="18"/>
                <w:color w:val="0000EE"/>
              </w:rPr>
              <w:t>Consent of Mintz, Levin, Cohn, Ferris, Glovsky and Popeo, P.C. (included in Exhibit 5.2).</w:t>
            </w: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720" w:type="dxa"/>
            <w:vAlign w:val="bottom"/>
            <w:shd w:val="clear" w:color="auto" w:fill="0000EE"/>
          </w:tcPr>
          <w:p>
            <w:pPr>
              <w:spacing w:after="0" w:line="20" w:lineRule="exact"/>
              <w:rPr>
                <w:sz w:val="1"/>
                <w:szCs w:val="1"/>
                <w:color w:val="auto"/>
              </w:rPr>
            </w:pPr>
          </w:p>
        </w:tc>
        <w:tc>
          <w:tcPr>
            <w:tcW w:w="3700" w:type="dxa"/>
            <w:vAlign w:val="bottom"/>
            <w:gridSpan w:val="6"/>
            <w:shd w:val="clear" w:color="auto" w:fill="0000EE"/>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407"/>
        </w:trPr>
        <w:tc>
          <w:tcPr>
            <w:tcW w:w="320" w:type="dxa"/>
            <w:vAlign w:val="bottom"/>
            <w:gridSpan w:val="2"/>
          </w:tcPr>
          <w:p>
            <w:pPr>
              <w:spacing w:after="0"/>
              <w:rPr>
                <w:sz w:val="20"/>
                <w:szCs w:val="20"/>
                <w:color w:val="auto"/>
              </w:rPr>
            </w:pPr>
            <w:r>
              <w:rPr>
                <w:rFonts w:ascii="Arial" w:cs="Arial" w:eastAsia="Arial" w:hAnsi="Arial"/>
                <w:sz w:val="18"/>
                <w:szCs w:val="18"/>
                <w:color w:val="0000EE"/>
                <w:w w:val="85"/>
              </w:rPr>
              <w:t>99.</w:t>
            </w:r>
            <w:r>
              <w:rPr>
                <w:rFonts w:ascii="Arial" w:cs="Arial" w:eastAsia="Arial" w:hAnsi="Arial"/>
                <w:sz w:val="18"/>
                <w:szCs w:val="18"/>
                <w:u w:val="single" w:color="auto"/>
                <w:color w:val="0000EE"/>
                <w:w w:val="85"/>
              </w:rPr>
              <w:t>1</w:t>
            </w: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960" w:type="dxa"/>
            <w:vAlign w:val="bottom"/>
            <w:gridSpan w:val="9"/>
          </w:tcPr>
          <w:p>
            <w:pPr>
              <w:spacing w:after="0"/>
              <w:rPr>
                <w:sz w:val="20"/>
                <w:szCs w:val="20"/>
                <w:color w:val="auto"/>
              </w:rPr>
            </w:pPr>
            <w:r>
              <w:rPr>
                <w:rFonts w:ascii="Arial" w:cs="Arial" w:eastAsia="Arial" w:hAnsi="Arial"/>
                <w:sz w:val="18"/>
                <w:szCs w:val="18"/>
                <w:color w:val="0000EE"/>
              </w:rPr>
              <w:t>Information relating to Part II, Item 14 of the Registration Statement on Form S-3 (Registration No.: 333-267479).</w:t>
            </w:r>
          </w:p>
        </w:tc>
      </w:tr>
      <w:tr>
        <w:trPr>
          <w:trHeight w:val="407"/>
        </w:trPr>
        <w:tc>
          <w:tcPr>
            <w:tcW w:w="320" w:type="dxa"/>
            <w:vAlign w:val="bottom"/>
            <w:tcBorders>
              <w:top w:val="single" w:sz="8" w:color="0000EE"/>
            </w:tcBorders>
            <w:gridSpan w:val="2"/>
          </w:tcPr>
          <w:p>
            <w:pPr>
              <w:spacing w:after="0"/>
              <w:rPr>
                <w:sz w:val="20"/>
                <w:szCs w:val="20"/>
                <w:color w:val="auto"/>
              </w:rPr>
            </w:pPr>
            <w:r>
              <w:rPr>
                <w:rFonts w:ascii="Arial" w:cs="Arial" w:eastAsia="Arial" w:hAnsi="Arial"/>
                <w:sz w:val="18"/>
                <w:szCs w:val="18"/>
                <w:color w:val="0000EE"/>
                <w:w w:val="85"/>
              </w:rPr>
              <w:t>99.</w:t>
            </w:r>
            <w:r>
              <w:rPr>
                <w:rFonts w:ascii="Arial" w:cs="Arial" w:eastAsia="Arial" w:hAnsi="Arial"/>
                <w:sz w:val="18"/>
                <w:szCs w:val="18"/>
                <w:u w:val="single" w:color="auto"/>
                <w:color w:val="0000EE"/>
                <w:w w:val="85"/>
              </w:rPr>
              <w:t>2</w:t>
            </w: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160" w:type="dxa"/>
            <w:vAlign w:val="bottom"/>
            <w:tcBorders>
              <w:top w:val="single" w:sz="8" w:color="0000EE"/>
            </w:tcBorders>
            <w:gridSpan w:val="8"/>
          </w:tcPr>
          <w:p>
            <w:pPr>
              <w:spacing w:after="0"/>
              <w:rPr>
                <w:sz w:val="20"/>
                <w:szCs w:val="20"/>
                <w:color w:val="auto"/>
              </w:rPr>
            </w:pPr>
            <w:r>
              <w:rPr>
                <w:rFonts w:ascii="Arial" w:cs="Arial" w:eastAsia="Arial" w:hAnsi="Arial"/>
                <w:sz w:val="18"/>
                <w:szCs w:val="18"/>
                <w:color w:val="0000EE"/>
              </w:rPr>
              <w:t>Press Release, dated August 14, 2023.</w:t>
            </w:r>
          </w:p>
        </w:tc>
        <w:tc>
          <w:tcPr>
            <w:tcW w:w="1800" w:type="dxa"/>
            <w:vAlign w:val="bottom"/>
          </w:tcPr>
          <w:p>
            <w:pPr>
              <w:spacing w:after="0"/>
              <w:rPr>
                <w:sz w:val="24"/>
                <w:szCs w:val="24"/>
                <w:color w:val="auto"/>
              </w:rPr>
            </w:pP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720" w:type="dxa"/>
            <w:vAlign w:val="bottom"/>
            <w:shd w:val="clear" w:color="auto" w:fill="0000EE"/>
          </w:tcPr>
          <w:p>
            <w:pPr>
              <w:spacing w:after="0" w:line="20" w:lineRule="exact"/>
              <w:rPr>
                <w:sz w:val="1"/>
                <w:szCs w:val="1"/>
                <w:color w:val="auto"/>
              </w:rPr>
            </w:pPr>
          </w:p>
        </w:tc>
        <w:tc>
          <w:tcPr>
            <w:tcW w:w="7240" w:type="dxa"/>
            <w:vAlign w:val="bottom"/>
            <w:gridSpan w:val="8"/>
          </w:tcPr>
          <w:p>
            <w:pPr>
              <w:spacing w:after="0" w:line="20" w:lineRule="exact"/>
              <w:rPr>
                <w:sz w:val="1"/>
                <w:szCs w:val="1"/>
                <w:color w:val="auto"/>
              </w:rPr>
            </w:pPr>
          </w:p>
        </w:tc>
      </w:tr>
      <w:tr>
        <w:trPr>
          <w:trHeight w:val="446"/>
        </w:trPr>
        <w:tc>
          <w:tcPr>
            <w:tcW w:w="320" w:type="dxa"/>
            <w:vAlign w:val="bottom"/>
            <w:gridSpan w:val="2"/>
          </w:tcPr>
          <w:p>
            <w:pPr>
              <w:spacing w:after="0"/>
              <w:rPr>
                <w:sz w:val="20"/>
                <w:szCs w:val="20"/>
                <w:color w:val="auto"/>
              </w:rPr>
            </w:pPr>
            <w:r>
              <w:rPr>
                <w:rFonts w:ascii="Arial" w:cs="Arial" w:eastAsia="Arial" w:hAnsi="Arial"/>
                <w:sz w:val="18"/>
                <w:szCs w:val="18"/>
                <w:color w:val="auto"/>
                <w:w w:val="99"/>
              </w:rPr>
              <w:t>104</w:t>
            </w: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960" w:type="dxa"/>
            <w:vAlign w:val="bottom"/>
            <w:gridSpan w:val="9"/>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669"/>
        </w:trPr>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95"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SIGNATURES</w:t>
      </w:r>
    </w:p>
    <w:p>
      <w:pPr>
        <w:spacing w:after="0" w:line="224" w:lineRule="exact"/>
        <w:rPr>
          <w:sz w:val="20"/>
          <w:szCs w:val="20"/>
          <w:color w:val="auto"/>
        </w:rPr>
      </w:pPr>
    </w:p>
    <w:p>
      <w:pPr>
        <w:ind w:firstLine="320"/>
        <w:spacing w:after="0" w:line="270"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20" w:type="dxa"/>
            <w:vAlign w:val="bottom"/>
          </w:tcPr>
          <w:p>
            <w:pPr>
              <w:spacing w:after="0"/>
              <w:rPr>
                <w:sz w:val="20"/>
                <w:szCs w:val="20"/>
                <w:color w:val="auto"/>
              </w:rPr>
            </w:pPr>
          </w:p>
        </w:tc>
        <w:tc>
          <w:tcPr>
            <w:tcW w:w="7620" w:type="dxa"/>
            <w:vAlign w:val="bottom"/>
            <w:gridSpan w:val="2"/>
          </w:tcPr>
          <w:p>
            <w:pPr>
              <w:ind w:left="2020"/>
              <w:spacing w:after="0"/>
              <w:rPr>
                <w:sz w:val="20"/>
                <w:szCs w:val="20"/>
                <w:color w:val="auto"/>
              </w:rPr>
            </w:pPr>
            <w:r>
              <w:rPr>
                <w:rFonts w:ascii="Arial" w:cs="Arial" w:eastAsia="Arial" w:hAnsi="Arial"/>
                <w:sz w:val="18"/>
                <w:szCs w:val="18"/>
                <w:b w:val="1"/>
                <w:bCs w:val="1"/>
                <w:color w:val="auto"/>
              </w:rPr>
              <w:t>TMC THE METALS COMPANY INC.</w:t>
            </w:r>
          </w:p>
        </w:tc>
      </w:tr>
      <w:tr>
        <w:trPr>
          <w:trHeight w:val="427"/>
        </w:trPr>
        <w:tc>
          <w:tcPr>
            <w:tcW w:w="3620" w:type="dxa"/>
            <w:vAlign w:val="bottom"/>
          </w:tcPr>
          <w:p>
            <w:pPr>
              <w:spacing w:after="0"/>
              <w:rPr>
                <w:sz w:val="20"/>
                <w:szCs w:val="20"/>
                <w:color w:val="auto"/>
              </w:rPr>
            </w:pPr>
            <w:r>
              <w:rPr>
                <w:rFonts w:ascii="Arial" w:cs="Arial" w:eastAsia="Arial" w:hAnsi="Arial"/>
                <w:sz w:val="18"/>
                <w:szCs w:val="18"/>
                <w:color w:val="auto"/>
              </w:rPr>
              <w:t>Date: August 14, 2023</w:t>
            </w:r>
          </w:p>
        </w:tc>
        <w:tc>
          <w:tcPr>
            <w:tcW w:w="2580" w:type="dxa"/>
            <w:vAlign w:val="bottom"/>
          </w:tcPr>
          <w:p>
            <w:pPr>
              <w:ind w:left="202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Craig Shesky</w:t>
            </w:r>
          </w:p>
        </w:tc>
      </w:tr>
      <w:tr>
        <w:trPr>
          <w:trHeight w:val="194"/>
        </w:trPr>
        <w:tc>
          <w:tcPr>
            <w:tcW w:w="3620" w:type="dxa"/>
            <w:vAlign w:val="bottom"/>
          </w:tcPr>
          <w:p>
            <w:pPr>
              <w:spacing w:after="0"/>
              <w:rPr>
                <w:sz w:val="16"/>
                <w:szCs w:val="16"/>
                <w:color w:val="auto"/>
              </w:rPr>
            </w:pPr>
          </w:p>
        </w:tc>
        <w:tc>
          <w:tcPr>
            <w:tcW w:w="2580" w:type="dxa"/>
            <w:vAlign w:val="bottom"/>
          </w:tcPr>
          <w:p>
            <w:pPr>
              <w:ind w:left="2020"/>
              <w:spacing w:after="0" w:line="194" w:lineRule="exact"/>
              <w:rPr>
                <w:sz w:val="20"/>
                <w:szCs w:val="20"/>
                <w:color w:val="auto"/>
              </w:rPr>
            </w:pPr>
            <w:r>
              <w:rPr>
                <w:rFonts w:ascii="Arial" w:cs="Arial" w:eastAsia="Arial" w:hAnsi="Arial"/>
                <w:sz w:val="18"/>
                <w:szCs w:val="18"/>
                <w:color w:val="auto"/>
              </w:rPr>
              <w:t>Name:</w:t>
            </w:r>
          </w:p>
        </w:tc>
        <w:tc>
          <w:tcPr>
            <w:tcW w:w="5040" w:type="dxa"/>
            <w:vAlign w:val="bottom"/>
          </w:tcPr>
          <w:p>
            <w:pPr>
              <w:spacing w:after="0" w:line="194" w:lineRule="exact"/>
              <w:rPr>
                <w:sz w:val="20"/>
                <w:szCs w:val="20"/>
                <w:color w:val="auto"/>
              </w:rPr>
            </w:pPr>
            <w:r>
              <w:rPr>
                <w:rFonts w:ascii="Arial" w:cs="Arial" w:eastAsia="Arial" w:hAnsi="Arial"/>
                <w:sz w:val="18"/>
                <w:szCs w:val="18"/>
                <w:color w:val="auto"/>
              </w:rPr>
              <w:t>Craig Shesky</w:t>
            </w:r>
          </w:p>
        </w:tc>
      </w:tr>
      <w:tr>
        <w:trPr>
          <w:trHeight w:val="226"/>
        </w:trPr>
        <w:tc>
          <w:tcPr>
            <w:tcW w:w="3620" w:type="dxa"/>
            <w:vAlign w:val="bottom"/>
          </w:tcPr>
          <w:p>
            <w:pPr>
              <w:spacing w:after="0"/>
              <w:rPr>
                <w:sz w:val="19"/>
                <w:szCs w:val="19"/>
                <w:color w:val="auto"/>
              </w:rPr>
            </w:pPr>
          </w:p>
        </w:tc>
        <w:tc>
          <w:tcPr>
            <w:tcW w:w="2580" w:type="dxa"/>
            <w:vAlign w:val="bottom"/>
          </w:tcPr>
          <w:p>
            <w:pPr>
              <w:ind w:left="2020"/>
              <w:spacing w:after="0"/>
              <w:rPr>
                <w:sz w:val="20"/>
                <w:szCs w:val="20"/>
                <w:color w:val="auto"/>
              </w:rPr>
            </w:pPr>
            <w:r>
              <w:rPr>
                <w:rFonts w:ascii="Arial" w:cs="Arial" w:eastAsia="Arial" w:hAnsi="Arial"/>
                <w:sz w:val="18"/>
                <w:szCs w:val="18"/>
                <w:color w:val="auto"/>
              </w:rPr>
              <w:t>Title:</w:t>
            </w:r>
          </w:p>
        </w:tc>
        <w:tc>
          <w:tcPr>
            <w:tcW w:w="504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669"/>
        </w:trPr>
        <w:tc>
          <w:tcPr>
            <w:tcW w:w="36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95" w:right="339" w:bottom="1440" w:gutter="0" w:footer="0" w:header="0"/>
        </w:sectPr>
      </w:pPr>
    </w:p>
    <w:bookmarkStart w:id="5" w:name="page6"/>
    <w:bookmarkEnd w:id="5"/>
    <w:p>
      <w:pPr>
        <w:ind w:left="10240"/>
        <w:spacing w:after="0"/>
        <w:rPr>
          <w:sz w:val="20"/>
          <w:szCs w:val="20"/>
          <w:color w:val="auto"/>
        </w:rPr>
      </w:pPr>
      <w:r>
        <w:rPr>
          <w:rFonts w:ascii="Arial" w:cs="Arial" w:eastAsia="Arial" w:hAnsi="Arial"/>
          <w:sz w:val="19"/>
          <w:szCs w:val="19"/>
          <w:b w:val="1"/>
          <w:bCs w:val="1"/>
          <w:color w:val="auto"/>
        </w:rPr>
        <w:t>Exhibit 4.1</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WARRANT</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CLASS A COMMON SHARE PURCHASE WARRANT</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TMC THE METALS COMPANY INC.</w:t>
      </w:r>
    </w:p>
    <w:p>
      <w:pPr>
        <w:spacing w:after="0" w:line="224" w:lineRule="exact"/>
        <w:rPr>
          <w:sz w:val="20"/>
          <w:szCs w:val="20"/>
          <w:color w:val="auto"/>
        </w:rPr>
      </w:pPr>
    </w:p>
    <w:p>
      <w:pPr>
        <w:spacing w:after="0"/>
        <w:tabs>
          <w:tab w:leader="none" w:pos="9060" w:val="left"/>
        </w:tabs>
        <w:rPr>
          <w:sz w:val="20"/>
          <w:szCs w:val="20"/>
          <w:color w:val="auto"/>
        </w:rPr>
      </w:pPr>
      <w:r>
        <w:rPr>
          <w:rFonts w:ascii="Arial" w:cs="Arial" w:eastAsia="Arial" w:hAnsi="Arial"/>
          <w:sz w:val="18"/>
          <w:szCs w:val="18"/>
          <w:color w:val="auto"/>
        </w:rPr>
        <w:t>Warrant Shares: _______</w:t>
      </w:r>
      <w:r>
        <w:rPr>
          <w:sz w:val="20"/>
          <w:szCs w:val="20"/>
          <w:color w:val="auto"/>
        </w:rPr>
        <w:tab/>
      </w:r>
      <w:r>
        <w:rPr>
          <w:rFonts w:ascii="Arial" w:cs="Arial" w:eastAsia="Arial" w:hAnsi="Arial"/>
          <w:sz w:val="16"/>
          <w:szCs w:val="16"/>
          <w:color w:val="auto"/>
        </w:rPr>
        <w:t>Issue Date: August ___, 2023</w:t>
      </w:r>
    </w:p>
    <w:p>
      <w:pPr>
        <w:spacing w:after="0" w:line="216" w:lineRule="exact"/>
        <w:rPr>
          <w:sz w:val="20"/>
          <w:szCs w:val="20"/>
          <w:color w:val="auto"/>
        </w:rPr>
      </w:pPr>
    </w:p>
    <w:p>
      <w:pPr>
        <w:ind w:left="640"/>
        <w:spacing w:after="0"/>
        <w:rPr>
          <w:sz w:val="20"/>
          <w:szCs w:val="20"/>
          <w:color w:val="auto"/>
        </w:rPr>
      </w:pPr>
      <w:r>
        <w:rPr>
          <w:rFonts w:ascii="Arial" w:cs="Arial" w:eastAsia="Arial" w:hAnsi="Arial"/>
          <w:sz w:val="17"/>
          <w:szCs w:val="17"/>
          <w:color w:val="auto"/>
        </w:rPr>
        <w:t xml:space="preserve">THIS </w:t>
      </w:r>
      <w:r>
        <w:rPr>
          <w:rFonts w:ascii="Arial" w:cs="Arial" w:eastAsia="Arial" w:hAnsi="Arial"/>
          <w:sz w:val="17"/>
          <w:szCs w:val="17"/>
          <w:b w:val="1"/>
          <w:bCs w:val="1"/>
          <w:color w:val="auto"/>
        </w:rPr>
        <w:t>CLASS A COMMON SHARE PURCHASE WARRANT</w:t>
      </w:r>
      <w:r>
        <w:rPr>
          <w:rFonts w:ascii="Arial" w:cs="Arial" w:eastAsia="Arial" w:hAnsi="Arial"/>
          <w:sz w:val="17"/>
          <w:szCs w:val="17"/>
          <w:color w:val="auto"/>
        </w:rPr>
        <w:t xml:space="preserve"> (the “</w:t>
      </w:r>
      <w:r>
        <w:rPr>
          <w:rFonts w:ascii="Arial" w:cs="Arial" w:eastAsia="Arial" w:hAnsi="Arial"/>
          <w:sz w:val="17"/>
          <w:szCs w:val="17"/>
          <w:u w:val="single" w:color="auto"/>
          <w:color w:val="auto"/>
        </w:rPr>
        <w:t>Warrant</w:t>
      </w:r>
      <w:r>
        <w:rPr>
          <w:rFonts w:ascii="Arial" w:cs="Arial" w:eastAsia="Arial" w:hAnsi="Arial"/>
          <w:sz w:val="17"/>
          <w:szCs w:val="17"/>
          <w:color w:val="auto"/>
        </w:rPr>
        <w:t>”) certifies that, for value received, _____________ or its assigns</w:t>
      </w:r>
    </w:p>
    <w:p>
      <w:pPr>
        <w:spacing w:after="0" w:line="35"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(the “</w:t>
      </w:r>
      <w:r>
        <w:rPr>
          <w:rFonts w:ascii="Arial" w:cs="Arial" w:eastAsia="Arial" w:hAnsi="Arial"/>
          <w:sz w:val="17"/>
          <w:szCs w:val="17"/>
          <w:u w:val="single" w:color="auto"/>
          <w:color w:val="auto"/>
        </w:rPr>
        <w:t>Holder</w:t>
      </w:r>
      <w:r>
        <w:rPr>
          <w:rFonts w:ascii="Arial" w:cs="Arial" w:eastAsia="Arial" w:hAnsi="Arial"/>
          <w:sz w:val="17"/>
          <w:szCs w:val="17"/>
          <w:color w:val="auto"/>
        </w:rPr>
        <w:t>”) is entitled, upon the terms and subject to the limitations on exercise and the conditions hereinafter set forth, at any time on or after the issue date set forth above (the “</w:t>
      </w:r>
      <w:r>
        <w:rPr>
          <w:rFonts w:ascii="Arial" w:cs="Arial" w:eastAsia="Arial" w:hAnsi="Arial"/>
          <w:sz w:val="17"/>
          <w:szCs w:val="17"/>
          <w:u w:val="single" w:color="auto"/>
          <w:color w:val="auto"/>
        </w:rPr>
        <w:t>Issue Date</w:t>
      </w:r>
      <w:r>
        <w:rPr>
          <w:rFonts w:ascii="Arial" w:cs="Arial" w:eastAsia="Arial" w:hAnsi="Arial"/>
          <w:sz w:val="17"/>
          <w:szCs w:val="17"/>
          <w:color w:val="auto"/>
        </w:rPr>
        <w:t>”) and on or prior to 5:00 p.m. (New York City time) on December 31, 2027 (the “</w:t>
      </w:r>
      <w:r>
        <w:rPr>
          <w:rFonts w:ascii="Arial" w:cs="Arial" w:eastAsia="Arial" w:hAnsi="Arial"/>
          <w:sz w:val="17"/>
          <w:szCs w:val="17"/>
          <w:u w:val="single" w:color="auto"/>
          <w:color w:val="auto"/>
        </w:rPr>
        <w:t>Termination Date</w:t>
      </w:r>
      <w:r>
        <w:rPr>
          <w:rFonts w:ascii="Arial" w:cs="Arial" w:eastAsia="Arial" w:hAnsi="Arial"/>
          <w:sz w:val="17"/>
          <w:szCs w:val="17"/>
          <w:color w:val="auto"/>
        </w:rPr>
        <w:t>”) but not thereafter, to subscribe for and purchase from TMC the metals company Inc., a corporation incorporated under the laws of the Province of British Columbia (the “</w:t>
      </w:r>
      <w:r>
        <w:rPr>
          <w:rFonts w:ascii="Arial" w:cs="Arial" w:eastAsia="Arial" w:hAnsi="Arial"/>
          <w:sz w:val="17"/>
          <w:szCs w:val="17"/>
          <w:u w:val="single" w:color="auto"/>
          <w:color w:val="auto"/>
        </w:rPr>
        <w:t>Company</w:t>
      </w:r>
      <w:r>
        <w:rPr>
          <w:rFonts w:ascii="Arial" w:cs="Arial" w:eastAsia="Arial" w:hAnsi="Arial"/>
          <w:sz w:val="17"/>
          <w:szCs w:val="17"/>
          <w:color w:val="auto"/>
        </w:rPr>
        <w:t>”), up to ______ Common Shares (as subject to adjustment hereunder, the “</w:t>
      </w:r>
      <w:r>
        <w:rPr>
          <w:rFonts w:ascii="Arial" w:cs="Arial" w:eastAsia="Arial" w:hAnsi="Arial"/>
          <w:sz w:val="17"/>
          <w:szCs w:val="17"/>
          <w:u w:val="single" w:color="auto"/>
          <w:color w:val="auto"/>
        </w:rPr>
        <w:t>Warrant Shares</w:t>
      </w:r>
      <w:r>
        <w:rPr>
          <w:rFonts w:ascii="Arial" w:cs="Arial" w:eastAsia="Arial" w:hAnsi="Arial"/>
          <w:sz w:val="17"/>
          <w:szCs w:val="17"/>
          <w:color w:val="auto"/>
        </w:rPr>
        <w:t>”). The purchase price of one Common Share under this Warrant shall be equal to the Exercise Price, as defined in Section 2(b).</w:t>
      </w:r>
    </w:p>
    <w:p>
      <w:pPr>
        <w:spacing w:after="0" w:line="181" w:lineRule="exact"/>
        <w:rPr>
          <w:sz w:val="20"/>
          <w:szCs w:val="20"/>
          <w:color w:val="auto"/>
        </w:rPr>
      </w:pPr>
    </w:p>
    <w:p>
      <w:pPr>
        <w:jc w:val="both"/>
        <w:ind w:firstLine="640"/>
        <w:spacing w:after="0" w:line="300" w:lineRule="auto"/>
        <w:rPr>
          <w:sz w:val="20"/>
          <w:szCs w:val="20"/>
          <w:color w:val="auto"/>
        </w:rPr>
      </w:pPr>
      <w:r>
        <w:rPr>
          <w:rFonts w:ascii="Arial" w:cs="Arial" w:eastAsia="Arial" w:hAnsi="Arial"/>
          <w:sz w:val="17"/>
          <w:szCs w:val="17"/>
          <w:u w:val="single" w:color="auto"/>
          <w:color w:val="auto"/>
        </w:rPr>
        <w:t>Section 1</w:t>
      </w:r>
      <w:r>
        <w:rPr>
          <w:rFonts w:ascii="Arial" w:cs="Arial" w:eastAsia="Arial" w:hAnsi="Arial"/>
          <w:sz w:val="17"/>
          <w:szCs w:val="17"/>
          <w:color w:val="auto"/>
        </w:rPr>
        <w:t xml:space="preserve">. </w:t>
      </w:r>
      <w:r>
        <w:rPr>
          <w:rFonts w:ascii="Arial" w:cs="Arial" w:eastAsia="Arial" w:hAnsi="Arial"/>
          <w:sz w:val="17"/>
          <w:szCs w:val="17"/>
          <w:u w:val="single" w:color="auto"/>
          <w:color w:val="auto"/>
        </w:rPr>
        <w:t>Definitions</w:t>
      </w:r>
      <w:r>
        <w:rPr>
          <w:rFonts w:ascii="Arial" w:cs="Arial" w:eastAsia="Arial" w:hAnsi="Arial"/>
          <w:sz w:val="17"/>
          <w:szCs w:val="17"/>
          <w:color w:val="auto"/>
        </w:rPr>
        <w:t>. Capitalized terms used and not otherwise defined herein shall have the meanings set forth in that certain Securities Purchase Agreement (the “</w:t>
      </w:r>
      <w:r>
        <w:rPr>
          <w:rFonts w:ascii="Arial" w:cs="Arial" w:eastAsia="Arial" w:hAnsi="Arial"/>
          <w:sz w:val="17"/>
          <w:szCs w:val="17"/>
          <w:u w:val="single" w:color="auto"/>
          <w:color w:val="auto"/>
        </w:rPr>
        <w:t>Purchase Agreement</w:t>
      </w:r>
      <w:r>
        <w:rPr>
          <w:rFonts w:ascii="Arial" w:cs="Arial" w:eastAsia="Arial" w:hAnsi="Arial"/>
          <w:sz w:val="17"/>
          <w:szCs w:val="17"/>
          <w:color w:val="auto"/>
        </w:rPr>
        <w:t>”), dated August ___, 2023, among the Company and the purchasers signatories thereto.</w:t>
      </w:r>
    </w:p>
    <w:p>
      <w:pPr>
        <w:spacing w:after="0" w:line="152" w:lineRule="exact"/>
        <w:rPr>
          <w:sz w:val="20"/>
          <w:szCs w:val="20"/>
          <w:color w:val="auto"/>
        </w:rPr>
      </w:pPr>
    </w:p>
    <w:p>
      <w:pPr>
        <w:ind w:left="640"/>
        <w:spacing w:after="0"/>
        <w:rPr>
          <w:sz w:val="20"/>
          <w:szCs w:val="20"/>
          <w:color w:val="auto"/>
        </w:rPr>
      </w:pP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w:t>
      </w:r>
      <w:r>
        <w:rPr>
          <w:rFonts w:ascii="Arial" w:cs="Arial" w:eastAsia="Arial" w:hAnsi="Arial"/>
          <w:sz w:val="18"/>
          <w:szCs w:val="18"/>
          <w:u w:val="single" w:color="auto"/>
          <w:color w:val="auto"/>
        </w:rPr>
        <w:t>Exercise</w:t>
      </w:r>
      <w:r>
        <w:rPr>
          <w:rFonts w:ascii="Arial" w:cs="Arial" w:eastAsia="Arial" w:hAnsi="Arial"/>
          <w:sz w:val="18"/>
          <w:szCs w:val="18"/>
          <w:color w:val="auto"/>
        </w:rPr>
        <w:t>.</w:t>
      </w:r>
    </w:p>
    <w:p>
      <w:pPr>
        <w:spacing w:after="0" w:line="220" w:lineRule="exact"/>
        <w:rPr>
          <w:sz w:val="20"/>
          <w:szCs w:val="20"/>
          <w:color w:val="auto"/>
        </w:rPr>
      </w:pPr>
    </w:p>
    <w:p>
      <w:pPr>
        <w:jc w:val="both"/>
        <w:ind w:left="640" w:firstLine="648"/>
        <w:spacing w:after="0" w:line="281" w:lineRule="auto"/>
        <w:tabs>
          <w:tab w:leader="none" w:pos="1463" w:val="left"/>
        </w:tabs>
        <w:numPr>
          <w:ilvl w:val="0"/>
          <w:numId w:val="3"/>
        </w:numPr>
        <w:rPr>
          <w:rFonts w:ascii="Arial" w:cs="Arial" w:eastAsia="Arial" w:hAnsi="Arial"/>
          <w:sz w:val="16"/>
          <w:szCs w:val="16"/>
          <w:color w:val="auto"/>
        </w:rPr>
      </w:pPr>
      <w:r>
        <w:rPr>
          <w:rFonts w:ascii="Arial" w:cs="Arial" w:eastAsia="Arial" w:hAnsi="Arial"/>
          <w:sz w:val="16"/>
          <w:szCs w:val="16"/>
          <w:u w:val="single" w:color="auto"/>
          <w:color w:val="auto"/>
        </w:rPr>
        <w:t>Exercise of Warrant</w:t>
      </w:r>
      <w:r>
        <w:rPr>
          <w:rFonts w:ascii="Arial" w:cs="Arial" w:eastAsia="Arial" w:hAnsi="Arial"/>
          <w:sz w:val="16"/>
          <w:szCs w:val="16"/>
          <w:color w:val="auto"/>
        </w:rPr>
        <w:t>. Exercise of the purchase rights represented by this Warrant may be made, in whole or in part, at any time or times on or after the Issue Date and on or before the Termination Date by delivery to the Company of a duly executed PDF copy submitted by e-mail (or e-mail attachment) of the Notice of Exercise in the form annexed hereto (the “</w:t>
      </w:r>
      <w:r>
        <w:rPr>
          <w:rFonts w:ascii="Arial" w:cs="Arial" w:eastAsia="Arial" w:hAnsi="Arial"/>
          <w:sz w:val="16"/>
          <w:szCs w:val="16"/>
          <w:u w:val="single" w:color="auto"/>
          <w:color w:val="auto"/>
        </w:rPr>
        <w:t>Notice of Exercise</w:t>
      </w:r>
      <w:r>
        <w:rPr>
          <w:rFonts w:ascii="Arial" w:cs="Arial" w:eastAsia="Arial" w:hAnsi="Arial"/>
          <w:sz w:val="16"/>
          <w:szCs w:val="16"/>
          <w:color w:val="auto"/>
        </w:rPr>
        <w:t xml:space="preserve">”). Within the earlier of (i) two (2) Trading Days (as defined below) and (ii) the number of Trading Days comprising the Standard Settlement Period (as defined in Section 2(d)(i) herein) following the date of exercise as aforesaid, the Holder shall deliver the aggregate Exercise Price for the Warrant Shares specified in the applicable Notice of Exercise by wire transfer or cashier’s check drawn on a United States bank unless the cashless exercise procedure specified in Section 2(c) below is specified in the applicable Notice of Exercise. No ink-original Notice of Exercise shall be required, nor shall any medallion guarantee (or other type of guarantee or notarization) of any Notice of Exercise be required. Notwithstanding anything herein to the contrary,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within three (3) Trading Days of the date on which the final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Company shall deliver any objection to any Notice of Exercise within one (1) Trading Day of receipt of such notice. </w:t>
      </w:r>
      <w:r>
        <w:rPr>
          <w:rFonts w:ascii="Arial" w:cs="Arial" w:eastAsia="Arial" w:hAnsi="Arial"/>
          <w:sz w:val="16"/>
          <w:szCs w:val="16"/>
          <w:b w:val="1"/>
          <w:bCs w:val="1"/>
          <w:color w:val="auto"/>
        </w:rPr>
        <w:t>The Holder and any assignee, by acceptance of this Warrant, acknowledge and agree that, by</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reason of the provisions of this paragraph, following the purchase of a portion of the Warrant Shares hereunder, the number of Warrant Shares available for purchase hereunder at any given time may be less than the amount stated on the face hereof. </w:t>
      </w:r>
      <w:r>
        <w:rPr>
          <w:rFonts w:ascii="Arial" w:cs="Arial" w:eastAsia="Arial" w:hAnsi="Arial"/>
          <w:sz w:val="16"/>
          <w:szCs w:val="16"/>
          <w:color w:val="auto"/>
        </w:rPr>
        <w:t>As used herein, “</w:t>
      </w:r>
      <w:r>
        <w:rPr>
          <w:rFonts w:ascii="Arial" w:cs="Arial" w:eastAsia="Arial" w:hAnsi="Arial"/>
          <w:sz w:val="16"/>
          <w:szCs w:val="16"/>
          <w:u w:val="single" w:color="auto"/>
          <w:color w:val="auto"/>
        </w:rPr>
        <w:t>Trading</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Day</w:t>
      </w:r>
      <w:r>
        <w:rPr>
          <w:rFonts w:ascii="Arial" w:cs="Arial" w:eastAsia="Arial" w:hAnsi="Arial"/>
          <w:sz w:val="16"/>
          <w:szCs w:val="16"/>
          <w:color w:val="auto"/>
        </w:rPr>
        <w:t>” means a day on which the Common Shares is traded on a Trading Market (as defined below).</w:t>
      </w:r>
    </w:p>
    <w:p>
      <w:pPr>
        <w:spacing w:after="0" w:line="178" w:lineRule="exact"/>
        <w:rPr>
          <w:rFonts w:ascii="Arial" w:cs="Arial" w:eastAsia="Arial" w:hAnsi="Arial"/>
          <w:sz w:val="16"/>
          <w:szCs w:val="16"/>
          <w:color w:val="auto"/>
        </w:rPr>
      </w:pPr>
    </w:p>
    <w:p>
      <w:pPr>
        <w:ind w:left="1480" w:hanging="192"/>
        <w:spacing w:after="0"/>
        <w:tabs>
          <w:tab w:leader="none" w:pos="1480" w:val="left"/>
        </w:tabs>
        <w:numPr>
          <w:ilvl w:val="0"/>
          <w:numId w:val="3"/>
        </w:numPr>
        <w:rPr>
          <w:rFonts w:ascii="Arial" w:cs="Arial" w:eastAsia="Arial" w:hAnsi="Arial"/>
          <w:sz w:val="16"/>
          <w:szCs w:val="16"/>
          <w:color w:val="auto"/>
        </w:rPr>
      </w:pPr>
      <w:r>
        <w:rPr>
          <w:rFonts w:ascii="Arial" w:cs="Arial" w:eastAsia="Arial" w:hAnsi="Arial"/>
          <w:sz w:val="16"/>
          <w:szCs w:val="16"/>
          <w:u w:val="single" w:color="auto"/>
          <w:color w:val="auto"/>
        </w:rPr>
        <w:t>Exercise Price</w:t>
      </w:r>
      <w:r>
        <w:rPr>
          <w:rFonts w:ascii="Arial" w:cs="Arial" w:eastAsia="Arial" w:hAnsi="Arial"/>
          <w:sz w:val="16"/>
          <w:szCs w:val="16"/>
          <w:color w:val="auto"/>
        </w:rPr>
        <w:t>. The exercise price per Common Share under this Warrant shall be $3.00, subject to adjustment hereunder (the “</w:t>
      </w:r>
      <w:r>
        <w:rPr>
          <w:rFonts w:ascii="Arial" w:cs="Arial" w:eastAsia="Arial" w:hAnsi="Arial"/>
          <w:sz w:val="16"/>
          <w:szCs w:val="16"/>
          <w:u w:val="single" w:color="auto"/>
          <w:color w:val="auto"/>
        </w:rPr>
        <w:t>Exercise</w:t>
      </w:r>
    </w:p>
    <w:p>
      <w:pPr>
        <w:spacing w:after="0" w:line="42"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8"/>
          <w:szCs w:val="18"/>
          <w:u w:val="single" w:color="auto"/>
          <w:color w:val="auto"/>
        </w:rPr>
        <w:t>Price</w:t>
      </w:r>
      <w:r>
        <w:rPr>
          <w:rFonts w:ascii="Arial" w:cs="Arial" w:eastAsia="Arial" w:hAnsi="Arial"/>
          <w:sz w:val="18"/>
          <w:szCs w:val="18"/>
          <w:color w:val="auto"/>
        </w:rPr>
        <w:t>”).</w:t>
      </w:r>
    </w:p>
    <w:p>
      <w:pPr>
        <w:spacing w:after="0" w:line="206" w:lineRule="exact"/>
        <w:rPr>
          <w:rFonts w:ascii="Arial" w:cs="Arial" w:eastAsia="Arial" w:hAnsi="Arial"/>
          <w:sz w:val="16"/>
          <w:szCs w:val="16"/>
          <w:color w:val="auto"/>
        </w:rPr>
      </w:pPr>
    </w:p>
    <w:p>
      <w:pPr>
        <w:jc w:val="both"/>
        <w:ind w:left="640" w:firstLine="648"/>
        <w:spacing w:after="0" w:line="255" w:lineRule="auto"/>
        <w:tabs>
          <w:tab w:leader="none" w:pos="1476"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Cashless Exercise</w:t>
      </w:r>
      <w:r>
        <w:rPr>
          <w:rFonts w:ascii="Arial" w:cs="Arial" w:eastAsia="Arial" w:hAnsi="Arial"/>
          <w:sz w:val="18"/>
          <w:szCs w:val="18"/>
          <w:color w:val="auto"/>
        </w:rPr>
        <w:t>. If at the time of exercise hereof there is no effective registration statement registering, or the prospectus contained therein is not available for the issuance of the Warrant Shares to the Holder, then this Warrant may also be exercised, in whole or in part, at such time by means of a “cashless exercise” in which the Holder shall be entitled to receive a number of Warrant Shares equal to the quotient obtained by dividing [(A-B) (X)] by (A), where: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416560</wp:posOffset>
            </wp:positionV>
            <wp:extent cx="713422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6" w:name="page7"/>
    <w:bookmarkEnd w:id="6"/>
    <w:p>
      <w:pPr>
        <w:jc w:val="right"/>
        <w:ind w:left="640" w:hanging="513"/>
        <w:spacing w:after="0" w:line="282" w:lineRule="auto"/>
        <w:tabs>
          <w:tab w:leader="none" w:pos="424" w:val="left"/>
        </w:tabs>
        <w:numPr>
          <w:ilvl w:val="0"/>
          <w:numId w:val="4"/>
        </w:numPr>
        <w:rPr>
          <w:rFonts w:ascii="Arial" w:cs="Arial" w:eastAsia="Arial" w:hAnsi="Arial"/>
          <w:sz w:val="16"/>
          <w:szCs w:val="16"/>
          <w:color w:val="auto"/>
        </w:rPr>
      </w:pPr>
      <w:r>
        <w:rPr>
          <w:rFonts w:ascii="Arial" w:cs="Arial" w:eastAsia="Arial" w:hAnsi="Arial"/>
          <w:sz w:val="16"/>
          <w:szCs w:val="16"/>
          <w:color w:val="auto"/>
        </w:rPr>
        <w:t>=  as applicable: (i) the VWAP (as defined below) on the Trading Day immediately preceding the date of the applicable Notice of Exercise if such Notice of Exercise is (1) both executed and delivered pursuant to Section 2(a) hereof on a day that is not a Trading Day or (2) both executed and delivered pursuant to Section 2(a) hereof on a Trading Day prior to the opening of “regular trading hours” (as defined in Rule 600(b) of Regulation NMS promulgated under the federal securities laws) on such Trading Day, (ii) at the option of the Holder, either</w:t>
      </w:r>
    </w:p>
    <w:p>
      <w:pPr>
        <w:spacing w:after="0" w:line="2" w:lineRule="exact"/>
        <w:rPr>
          <w:rFonts w:ascii="Arial" w:cs="Arial" w:eastAsia="Arial" w:hAnsi="Arial"/>
          <w:sz w:val="16"/>
          <w:szCs w:val="16"/>
          <w:color w:val="auto"/>
        </w:rPr>
      </w:pPr>
    </w:p>
    <w:p>
      <w:pPr>
        <w:jc w:val="both"/>
        <w:ind w:left="640" w:hanging="6"/>
        <w:spacing w:after="0" w:line="248" w:lineRule="auto"/>
        <w:tabs>
          <w:tab w:leader="none" w:pos="909" w:val="left"/>
        </w:tabs>
        <w:numPr>
          <w:ilvl w:val="1"/>
          <w:numId w:val="4"/>
        </w:numPr>
        <w:rPr>
          <w:rFonts w:ascii="Arial" w:cs="Arial" w:eastAsia="Arial" w:hAnsi="Arial"/>
          <w:sz w:val="18"/>
          <w:szCs w:val="18"/>
          <w:color w:val="auto"/>
        </w:rPr>
      </w:pPr>
      <w:r>
        <w:rPr>
          <w:rFonts w:ascii="Arial" w:cs="Arial" w:eastAsia="Arial" w:hAnsi="Arial"/>
          <w:sz w:val="18"/>
          <w:szCs w:val="18"/>
          <w:color w:val="auto"/>
        </w:rPr>
        <w:t>the VWAP on the Trading Day immediately preceding the date of the applicable Notice of Exercise or (z) the Bid Price (as defined below) of the Common Shares on the principal Trading Market as reported by Bloomberg L.P. (“</w:t>
      </w:r>
      <w:r>
        <w:rPr>
          <w:rFonts w:ascii="Arial" w:cs="Arial" w:eastAsia="Arial" w:hAnsi="Arial"/>
          <w:sz w:val="18"/>
          <w:szCs w:val="18"/>
          <w:u w:val="single" w:color="auto"/>
          <w:color w:val="auto"/>
        </w:rPr>
        <w:t>Bloomberg</w:t>
      </w:r>
      <w:r>
        <w:rPr>
          <w:rFonts w:ascii="Arial" w:cs="Arial" w:eastAsia="Arial" w:hAnsi="Arial"/>
          <w:sz w:val="18"/>
          <w:szCs w:val="18"/>
          <w:color w:val="auto"/>
        </w:rPr>
        <w:t>”) as of the time of the Holder’s execution of the applicable Notice of Exercise if such Notice of Exercise is executed during “regular trading hours” on a Trading Day and is delivered within two (2) hours thereafter (including until two (2) hours after the close of “regular trading hours” on a Trading Day) pursuant to Section 2(a) hereof or (iii) the VWAP on the date of the applicable Notice of Exercise if the date of such Notice of Exercise is a Trading Day and such Notice of Exercise is both executed and delivered pursuant to Section 2(a) hereof after the close of “regular trading hours” on such Trading Day;</w:t>
      </w:r>
    </w:p>
    <w:p>
      <w:pPr>
        <w:spacing w:after="0" w:line="197" w:lineRule="exact"/>
        <w:rPr>
          <w:rFonts w:ascii="Arial" w:cs="Arial" w:eastAsia="Arial" w:hAnsi="Arial"/>
          <w:sz w:val="18"/>
          <w:szCs w:val="18"/>
          <w:color w:val="auto"/>
        </w:rPr>
      </w:pPr>
    </w:p>
    <w:p>
      <w:pPr>
        <w:ind w:left="400" w:hanging="273"/>
        <w:spacing w:after="0"/>
        <w:tabs>
          <w:tab w:leader="none" w:pos="400" w:val="left"/>
        </w:tabs>
        <w:numPr>
          <w:ilvl w:val="0"/>
          <w:numId w:val="4"/>
        </w:numPr>
        <w:rPr>
          <w:rFonts w:ascii="Arial" w:cs="Arial" w:eastAsia="Arial" w:hAnsi="Arial"/>
          <w:sz w:val="18"/>
          <w:szCs w:val="18"/>
          <w:color w:val="auto"/>
        </w:rPr>
      </w:pPr>
      <w:r>
        <w:rPr>
          <w:rFonts w:ascii="Arial" w:cs="Arial" w:eastAsia="Arial" w:hAnsi="Arial"/>
          <w:sz w:val="18"/>
          <w:szCs w:val="18"/>
          <w:color w:val="auto"/>
        </w:rPr>
        <w:t>=  the Exercise Price of this Warrant, as adjusted hereunder; and</w:t>
      </w:r>
    </w:p>
    <w:p>
      <w:pPr>
        <w:spacing w:after="0" w:line="220" w:lineRule="exact"/>
        <w:rPr>
          <w:sz w:val="20"/>
          <w:szCs w:val="20"/>
          <w:color w:val="auto"/>
        </w:rPr>
      </w:pPr>
    </w:p>
    <w:p>
      <w:pPr>
        <w:ind w:left="640" w:hanging="513"/>
        <w:spacing w:after="0" w:line="270" w:lineRule="auto"/>
        <w:tabs>
          <w:tab w:leader="none" w:pos="424" w:val="left"/>
        </w:tabs>
        <w:numPr>
          <w:ilvl w:val="0"/>
          <w:numId w:val="5"/>
        </w:numPr>
        <w:rPr>
          <w:rFonts w:ascii="Arial" w:cs="Arial" w:eastAsia="Arial" w:hAnsi="Arial"/>
          <w:sz w:val="18"/>
          <w:szCs w:val="18"/>
          <w:color w:val="auto"/>
        </w:rPr>
      </w:pPr>
      <w:r>
        <w:rPr>
          <w:rFonts w:ascii="Arial" w:cs="Arial" w:eastAsia="Arial" w:hAnsi="Arial"/>
          <w:sz w:val="18"/>
          <w:szCs w:val="18"/>
          <w:color w:val="auto"/>
        </w:rPr>
        <w:t>= the number of Warrant Shares that would be issuable upon exercise of this Warrant in accordance with the terms of this Warrant if such exercise were by means of a cash exercise rather than a cashless exercise.</w:t>
      </w:r>
    </w:p>
    <w:p>
      <w:pPr>
        <w:spacing w:after="0" w:line="175" w:lineRule="exact"/>
        <w:rPr>
          <w:sz w:val="20"/>
          <w:szCs w:val="20"/>
          <w:color w:val="auto"/>
        </w:rPr>
      </w:pPr>
    </w:p>
    <w:p>
      <w:pPr>
        <w:jc w:val="both"/>
        <w:ind w:firstLine="640"/>
        <w:spacing w:after="0" w:line="258" w:lineRule="auto"/>
        <w:rPr>
          <w:sz w:val="20"/>
          <w:szCs w:val="20"/>
          <w:color w:val="auto"/>
        </w:rPr>
      </w:pPr>
      <w:r>
        <w:rPr>
          <w:rFonts w:ascii="Arial" w:cs="Arial" w:eastAsia="Arial" w:hAnsi="Arial"/>
          <w:sz w:val="18"/>
          <w:szCs w:val="18"/>
          <w:color w:val="auto"/>
        </w:rPr>
        <w:t>If Warrant Shares are issued in such a cashless exercise, the parties acknowledge and agree that in accordance with Section 3(a)(9) of the Securities Act, the Warrant Shares shall take on the registered characteristics of the Warrants being exercised. The Company agrees not to take any position contrary to this Section 2(c).</w:t>
      </w:r>
    </w:p>
    <w:p>
      <w:pPr>
        <w:spacing w:after="0" w:line="186" w:lineRule="exact"/>
        <w:rPr>
          <w:sz w:val="20"/>
          <w:szCs w:val="20"/>
          <w:color w:val="auto"/>
        </w:rPr>
      </w:pPr>
    </w:p>
    <w:p>
      <w:pPr>
        <w:jc w:val="both"/>
        <w:ind w:firstLine="640"/>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Bid Price</w:t>
      </w:r>
      <w:r>
        <w:rPr>
          <w:rFonts w:ascii="Arial" w:cs="Arial" w:eastAsia="Arial" w:hAnsi="Arial"/>
          <w:sz w:val="16"/>
          <w:szCs w:val="16"/>
          <w:color w:val="auto"/>
        </w:rPr>
        <w:t>” means, for any date, the price determined by the first of the following clauses that applies: (a) if the Common Shares are then listed or quoted on a Trading Market, the bid price of a Common Share for the time in question (or the nearest preceding date) on the Trading Market on which the Common Shares are then listed or quoted as reported by Bloomberg (based on a Trading Day from 9:30 a.m. (New York City time) to 4:02 p.m. (New York City time)), (b) if OTCQB or OTCQX is not a Trading Market, the volume weighted average price of a Common Share for such date (or the nearest preceding date) on OTCQB or OTCQX as applicable, (c) if the Common Shares are not then listed or quoted for trading on OTCQB or OTCQX and if prices for the Common Shares are then reported on The Pink Open Market (or a similar organization or agency succeeding to its functions of reporting prices), the most recent bid price per Common Share so reported, or (d) in all other cases, the fair market value of a Common Share as determined by an independent appraiser selected in good faith by the Purchasers of a majority in interest of the Securities then outstanding and reasonably acceptable to the Company, the fees and expenses of which shall be paid by the Company.</w:t>
      </w:r>
    </w:p>
    <w:p>
      <w:pPr>
        <w:spacing w:after="0" w:line="168" w:lineRule="exact"/>
        <w:rPr>
          <w:sz w:val="20"/>
          <w:szCs w:val="20"/>
          <w:color w:val="auto"/>
        </w:rPr>
      </w:pPr>
    </w:p>
    <w:p>
      <w:pPr>
        <w:jc w:val="both"/>
        <w:ind w:firstLine="64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Trading Market</w:t>
      </w:r>
      <w:r>
        <w:rPr>
          <w:rFonts w:ascii="Arial" w:cs="Arial" w:eastAsia="Arial" w:hAnsi="Arial"/>
          <w:sz w:val="18"/>
          <w:szCs w:val="18"/>
          <w:color w:val="auto"/>
        </w:rPr>
        <w:t>” means any of the following markets or exchanges on which the Common Shares are listed or quoted for trading on the date in question: the NYSE American, the Nasdaq Capital Market, the Nasdaq Global Market, the Nasdaq Global Select Market, the New York Stock Exchange, the OTCQB or the OTCQX (or any successors to any of the foregoing).</w:t>
      </w:r>
    </w:p>
    <w:p>
      <w:pPr>
        <w:spacing w:after="0" w:line="186" w:lineRule="exact"/>
        <w:rPr>
          <w:sz w:val="20"/>
          <w:szCs w:val="20"/>
          <w:color w:val="auto"/>
        </w:rPr>
      </w:pPr>
    </w:p>
    <w:p>
      <w:pPr>
        <w:jc w:val="both"/>
        <w:ind w:firstLine="640"/>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VWAP</w:t>
      </w:r>
      <w:r>
        <w:rPr>
          <w:rFonts w:ascii="Arial" w:cs="Arial" w:eastAsia="Arial" w:hAnsi="Arial"/>
          <w:sz w:val="16"/>
          <w:szCs w:val="16"/>
          <w:color w:val="auto"/>
        </w:rPr>
        <w:t>” means, for any date, the price determined by the first of the following clauses that applies: (a) if the Common Share is then listed or quoted on a Trading Market, the daily volume weighted average price of a Common Share for such date (or the nearest preceding date) on the Trading Market on which the Common Shares are then listed or quoted as reported by Bloomberg (based on a Trading Day from 9:30 a.m. (New York City time) to 4:02 p.m. (New York City time)), (b) if OTCQB or OTCQX is not a Trading Market, the volume weighted average price of a Common Share for such date (or the nearest preceding date) on OTCQB or OTCQX as applicable, (c) if the Common Shares are not then listed or quoted for trading on OTCQB or OTCQX and if prices for a Common Share are then reported in The Pink Open Market (or a similar organization or agency succeeding to its functions of reporting prices), the most recent bid price per Common Share so reported, or (d) in all other cases, the fair market value of a Common Share as determined by an independent appraiser selected in good faith by the Purchasers of a majority in interest of the Securities then outstanding and reasonably acceptable to the Company, the fees and expenses of which shall be paid by the Company.</w:t>
      </w:r>
    </w:p>
    <w:p>
      <w:pPr>
        <w:spacing w:after="0" w:line="382"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13335</wp:posOffset>
            </wp:positionV>
            <wp:extent cx="71342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0600"/>
          </w:cols>
          <w:pgMar w:left="960" w:top="899" w:right="339" w:bottom="1440" w:gutter="0" w:footer="0" w:header="0"/>
        </w:sectPr>
      </w:pPr>
    </w:p>
    <w:bookmarkStart w:id="7" w:name="page8"/>
    <w:bookmarkEnd w:id="7"/>
    <w:p>
      <w:pPr>
        <w:ind w:left="360" w:hanging="192"/>
        <w:spacing w:after="0"/>
        <w:tabs>
          <w:tab w:leader="none" w:pos="36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Mechanics of Exercise</w:t>
      </w:r>
      <w:r>
        <w:rPr>
          <w:rFonts w:ascii="Arial" w:cs="Arial" w:eastAsia="Arial" w:hAnsi="Arial"/>
          <w:sz w:val="18"/>
          <w:szCs w:val="18"/>
          <w:color w:val="auto"/>
        </w:rPr>
        <w:t>.</w:t>
      </w:r>
    </w:p>
    <w:p>
      <w:pPr>
        <w:spacing w:after="0" w:line="219" w:lineRule="exact"/>
        <w:rPr>
          <w:rFonts w:ascii="Arial" w:cs="Arial" w:eastAsia="Arial" w:hAnsi="Arial"/>
          <w:sz w:val="18"/>
          <w:szCs w:val="18"/>
          <w:color w:val="auto"/>
        </w:rPr>
      </w:pPr>
    </w:p>
    <w:p>
      <w:pPr>
        <w:jc w:val="both"/>
        <w:ind w:left="800" w:firstLine="649"/>
        <w:spacing w:after="0" w:line="281" w:lineRule="auto"/>
        <w:tabs>
          <w:tab w:leader="none" w:pos="1694" w:val="left"/>
        </w:tabs>
        <w:numPr>
          <w:ilvl w:val="1"/>
          <w:numId w:val="6"/>
        </w:numPr>
        <w:rPr>
          <w:rFonts w:ascii="Arial" w:cs="Arial" w:eastAsia="Arial" w:hAnsi="Arial"/>
          <w:sz w:val="16"/>
          <w:szCs w:val="16"/>
          <w:color w:val="auto"/>
        </w:rPr>
      </w:pPr>
      <w:r>
        <w:rPr>
          <w:rFonts w:ascii="Arial" w:cs="Arial" w:eastAsia="Arial" w:hAnsi="Arial"/>
          <w:sz w:val="16"/>
          <w:szCs w:val="16"/>
          <w:u w:val="single" w:color="auto"/>
          <w:color w:val="auto"/>
        </w:rPr>
        <w:t>Delivery of Warrant Shares Upon Exercise</w:t>
      </w:r>
      <w:r>
        <w:rPr>
          <w:rFonts w:ascii="Arial" w:cs="Arial" w:eastAsia="Arial" w:hAnsi="Arial"/>
          <w:sz w:val="16"/>
          <w:szCs w:val="16"/>
          <w:color w:val="auto"/>
        </w:rPr>
        <w:t>. The Company shall cause the Warrant Shares purchased hereunder to be transmitted by the Transfer Agent (as defined below) to the Holder by crediting the account of the Holder’s or its designee’s balance account with The Depository Trust Company through its Deposit or Withdrawal at Custodian system (“</w:t>
      </w:r>
      <w:r>
        <w:rPr>
          <w:rFonts w:ascii="Arial" w:cs="Arial" w:eastAsia="Arial" w:hAnsi="Arial"/>
          <w:sz w:val="16"/>
          <w:szCs w:val="16"/>
          <w:u w:val="single" w:color="auto"/>
          <w:color w:val="auto"/>
        </w:rPr>
        <w:t>DWAC</w:t>
      </w:r>
      <w:r>
        <w:rPr>
          <w:rFonts w:ascii="Arial" w:cs="Arial" w:eastAsia="Arial" w:hAnsi="Arial"/>
          <w:sz w:val="16"/>
          <w:szCs w:val="16"/>
          <w:color w:val="auto"/>
        </w:rPr>
        <w:t>”) if the Company is then a participant in such system and either (A) there is an effective registration statement permitting the issuance of the Warrant Shares to or resale of the Warrant Shares by the Holder or (B) this Warrant is being exercised via cashless exercise, and otherwise by physical delivery of a certificate, registered in the Company’s share register in the name of the Holder or its designee, for the number of Warrant Shares to which the Holder is entitled pursuant to such exercise to the address specified by the Holder in the Notice of Exercise by the date that is the earliest of (i) two (2) Trading Days after the delivery to the Company of the Notice of Exercise, (ii) one (1) Trading Day after delivery of the aggregate Exercise Price to the Company and (iii) the number of Trading Days comprising the Standard Settlement Period after the delivery to the Company of the Notice of Exercise (such date, the “</w:t>
      </w:r>
      <w:r>
        <w:rPr>
          <w:rFonts w:ascii="Arial" w:cs="Arial" w:eastAsia="Arial" w:hAnsi="Arial"/>
          <w:sz w:val="16"/>
          <w:szCs w:val="16"/>
          <w:u w:val="single" w:color="auto"/>
          <w:color w:val="auto"/>
        </w:rPr>
        <w:t>Warrant Share Delivery Date</w:t>
      </w:r>
      <w:r>
        <w:rPr>
          <w:rFonts w:ascii="Arial" w:cs="Arial" w:eastAsia="Arial" w:hAnsi="Arial"/>
          <w:sz w:val="16"/>
          <w:szCs w:val="16"/>
          <w:color w:val="auto"/>
        </w:rPr>
        <w:t>”). The Holder shall be deemed for all corporate purposes to have become the holder of record of the Warrant Shares upon the receipt of the aggregate Exercise Price by the Company. If the Company fails for any reason to deliver to the Holder the Warrant Shares subject to a Notice of Exercise by the Warrant Share Delivery Date, the Company shall pay to the Holder, in cash, as liquidated damages and not as a penalty, for each $1,000 of Warrant Shares subject to such exercise (based on the VWAP of a Common Share on the date of the applicable Notice of Exercise), $10 per Trading Day (increasing to $20 per Trading Day on the fifth Trading Day after the Warrant Share Delivery Date) for each Trading Day after such Warrant Share Delivery Date until such Warrant Shares are delivered or Holder rescinds such exercise. The Company agrees to maintain a transfer agent that is a participant in the FAST program so long as this Warrant remains outstanding and exercisable. As used herein, “</w:t>
      </w:r>
      <w:r>
        <w:rPr>
          <w:rFonts w:ascii="Arial" w:cs="Arial" w:eastAsia="Arial" w:hAnsi="Arial"/>
          <w:sz w:val="16"/>
          <w:szCs w:val="16"/>
          <w:u w:val="single" w:color="auto"/>
          <w:color w:val="auto"/>
        </w:rPr>
        <w:t>Standard Settlement Period</w:t>
      </w:r>
      <w:r>
        <w:rPr>
          <w:rFonts w:ascii="Arial" w:cs="Arial" w:eastAsia="Arial" w:hAnsi="Arial"/>
          <w:sz w:val="16"/>
          <w:szCs w:val="16"/>
          <w:color w:val="auto"/>
        </w:rPr>
        <w:t>” means the standard settlement period, expressed in a number of Trading Days, on the Company’s primary Trading Market with respect to the Common Shares as in effect on the date of delivery of the Notice of Exercise. As used herein, “</w:t>
      </w:r>
      <w:r>
        <w:rPr>
          <w:rFonts w:ascii="Arial" w:cs="Arial" w:eastAsia="Arial" w:hAnsi="Arial"/>
          <w:sz w:val="16"/>
          <w:szCs w:val="16"/>
          <w:u w:val="single" w:color="auto"/>
          <w:color w:val="auto"/>
        </w:rPr>
        <w:t>Transfer Agent</w:t>
      </w:r>
      <w:r>
        <w:rPr>
          <w:rFonts w:ascii="Arial" w:cs="Arial" w:eastAsia="Arial" w:hAnsi="Arial"/>
          <w:sz w:val="16"/>
          <w:szCs w:val="16"/>
          <w:color w:val="auto"/>
        </w:rPr>
        <w:t>” means Continental Stock Transfer &amp; Trust Company, and any successor transfer agent of the Company.</w:t>
      </w:r>
    </w:p>
    <w:p>
      <w:pPr>
        <w:spacing w:after="0" w:line="170" w:lineRule="exact"/>
        <w:rPr>
          <w:rFonts w:ascii="Arial" w:cs="Arial" w:eastAsia="Arial" w:hAnsi="Arial"/>
          <w:sz w:val="16"/>
          <w:szCs w:val="16"/>
          <w:color w:val="auto"/>
        </w:rPr>
      </w:pPr>
    </w:p>
    <w:p>
      <w:pPr>
        <w:jc w:val="both"/>
        <w:ind w:left="800" w:firstLine="649"/>
        <w:spacing w:after="0" w:line="274" w:lineRule="auto"/>
        <w:tabs>
          <w:tab w:leader="none" w:pos="1628" w:val="left"/>
        </w:tabs>
        <w:numPr>
          <w:ilvl w:val="1"/>
          <w:numId w:val="6"/>
        </w:numPr>
        <w:rPr>
          <w:rFonts w:ascii="Arial" w:cs="Arial" w:eastAsia="Arial" w:hAnsi="Arial"/>
          <w:sz w:val="17"/>
          <w:szCs w:val="17"/>
          <w:color w:val="auto"/>
        </w:rPr>
      </w:pPr>
      <w:r>
        <w:rPr>
          <w:rFonts w:ascii="Arial" w:cs="Arial" w:eastAsia="Arial" w:hAnsi="Arial"/>
          <w:sz w:val="17"/>
          <w:szCs w:val="17"/>
          <w:u w:val="single" w:color="auto"/>
          <w:color w:val="auto"/>
        </w:rPr>
        <w:t>Delivery of New Warrants Upon Exercise</w:t>
      </w:r>
      <w:r>
        <w:rPr>
          <w:rFonts w:ascii="Arial" w:cs="Arial" w:eastAsia="Arial" w:hAnsi="Arial"/>
          <w:sz w:val="17"/>
          <w:szCs w:val="17"/>
          <w:color w:val="auto"/>
        </w:rPr>
        <w:t>. If this Warrant shall have been exercised in part, the Company shall, at the request of a Holder and upon surrender of this Warrant certificate, at the time of delivery of the Warrant Shares, deliver to the Holder a new Warrant evidencing the rights of the Holder to purchase the unpurchased Warrant Shares called for by this Warrant, which new Warrant shall in all other respects be identical with this Warrant.</w:t>
      </w:r>
    </w:p>
    <w:p>
      <w:pPr>
        <w:spacing w:after="0" w:line="174" w:lineRule="exact"/>
        <w:rPr>
          <w:rFonts w:ascii="Arial" w:cs="Arial" w:eastAsia="Arial" w:hAnsi="Arial"/>
          <w:sz w:val="17"/>
          <w:szCs w:val="17"/>
          <w:color w:val="auto"/>
        </w:rPr>
      </w:pPr>
    </w:p>
    <w:p>
      <w:pPr>
        <w:ind w:left="800" w:firstLine="649"/>
        <w:spacing w:after="0" w:line="333" w:lineRule="auto"/>
        <w:tabs>
          <w:tab w:leader="none" w:pos="1691" w:val="left"/>
        </w:tabs>
        <w:numPr>
          <w:ilvl w:val="1"/>
          <w:numId w:val="6"/>
        </w:numPr>
        <w:rPr>
          <w:rFonts w:ascii="Arial" w:cs="Arial" w:eastAsia="Arial" w:hAnsi="Arial"/>
          <w:sz w:val="16"/>
          <w:szCs w:val="16"/>
          <w:color w:val="auto"/>
        </w:rPr>
      </w:pPr>
      <w:r>
        <w:rPr>
          <w:rFonts w:ascii="Arial" w:cs="Arial" w:eastAsia="Arial" w:hAnsi="Arial"/>
          <w:sz w:val="16"/>
          <w:szCs w:val="16"/>
          <w:u w:val="single" w:color="auto"/>
          <w:color w:val="auto"/>
        </w:rPr>
        <w:t>Rescission Rights</w:t>
      </w:r>
      <w:r>
        <w:rPr>
          <w:rFonts w:ascii="Arial" w:cs="Arial" w:eastAsia="Arial" w:hAnsi="Arial"/>
          <w:sz w:val="16"/>
          <w:szCs w:val="16"/>
          <w:color w:val="auto"/>
        </w:rPr>
        <w:t>. If the Company fails to cause the Transfer Agent to transmit to the Holder the Warrant Shares pursuant to Section 2(d)(i) by the Warrant Share Delivery Date, then the Holder will have the right to rescind such exercise.</w:t>
      </w:r>
    </w:p>
    <w:p>
      <w:pPr>
        <w:spacing w:after="0" w:line="34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13335</wp:posOffset>
            </wp:positionV>
            <wp:extent cx="71342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0120"/>
          </w:cols>
          <w:pgMar w:left="1440" w:top="899" w:right="339" w:bottom="1440" w:gutter="0" w:footer="0" w:header="0"/>
        </w:sectPr>
      </w:pPr>
    </w:p>
    <w:bookmarkStart w:id="8" w:name="page9"/>
    <w:bookmarkEnd w:id="8"/>
    <w:p>
      <w:pPr>
        <w:jc w:val="both"/>
        <w:ind w:left="800" w:firstLine="649"/>
        <w:spacing w:after="0" w:line="281" w:lineRule="auto"/>
        <w:tabs>
          <w:tab w:leader="none" w:pos="1656" w:val="left"/>
        </w:tabs>
        <w:numPr>
          <w:ilvl w:val="0"/>
          <w:numId w:val="7"/>
        </w:numPr>
        <w:rPr>
          <w:rFonts w:ascii="Arial" w:cs="Arial" w:eastAsia="Arial" w:hAnsi="Arial"/>
          <w:sz w:val="16"/>
          <w:szCs w:val="16"/>
          <w:color w:val="auto"/>
        </w:rPr>
      </w:pPr>
      <w:r>
        <w:rPr>
          <w:rFonts w:ascii="Arial" w:cs="Arial" w:eastAsia="Arial" w:hAnsi="Arial"/>
          <w:sz w:val="16"/>
          <w:szCs w:val="16"/>
          <w:u w:val="single" w:color="auto"/>
          <w:color w:val="auto"/>
        </w:rPr>
        <w:t>Compensation for Buy-In on Failure to Timely Deliver Warrant Shares Upon Exercise</w:t>
      </w:r>
      <w:r>
        <w:rPr>
          <w:rFonts w:ascii="Arial" w:cs="Arial" w:eastAsia="Arial" w:hAnsi="Arial"/>
          <w:sz w:val="16"/>
          <w:szCs w:val="16"/>
          <w:color w:val="auto"/>
        </w:rPr>
        <w:t>. In addition to any other rights available to the Holder, if the Company fails to cause the Transfer Agent to transmit to the Holder the Warrant Shares in accordance with the provisions of Section 2(d)(i) above pursuant to an exercise on or before the Warrant Share Delivery Date (other than a failure caused by incorrect or incomplete information provided by the Holder to the Company), and if after such date the Holder is required by its broker to purchase (in an open market transaction or otherwise) or the Holder’s brokerage firm otherwise purchases, Common Shares to deliver in satisfaction of a sale by the Holder of the Warrant Shares which the Holder anticipated receiving upon such exercise (a “</w:t>
      </w:r>
      <w:r>
        <w:rPr>
          <w:rFonts w:ascii="Arial" w:cs="Arial" w:eastAsia="Arial" w:hAnsi="Arial"/>
          <w:sz w:val="16"/>
          <w:szCs w:val="16"/>
          <w:u w:val="single" w:color="auto"/>
          <w:color w:val="auto"/>
        </w:rPr>
        <w:t>Buy-In</w:t>
      </w:r>
      <w:r>
        <w:rPr>
          <w:rFonts w:ascii="Arial" w:cs="Arial" w:eastAsia="Arial" w:hAnsi="Arial"/>
          <w:sz w:val="16"/>
          <w:szCs w:val="16"/>
          <w:color w:val="auto"/>
        </w:rPr>
        <w:t>”), then the Company shall (A) pay in cash to the Holder the amount, if any, by which (x) the Holder’s total purchase price (including brokerage commissions, if any) for the Common Shares so purchased exceeds (y) the amount obtained by multiplying (1) the number of Warrant Shares that the Company was required to deliver to the Holder in connection with the exercise at issue times (2) the price at which the sell order giving rise to such purchase obligation was executed, and (B) at the option of the Holder, either reinstate the portion of the Warrant and equivalent number of Warrant Shares for which such exercise was not honored (in which case such exercise shall be deemed rescinded) or deliver to the Holder the number of Common Shares that would have been issued had the Company timely complied with its exercise and delivery obligations hereunder. For example, if the Holder purchases Common Shares having a total purchase price of $11,000 to cover a Buy-In with respect to an attempted exercise of Common Shares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Common Shares upon exercise of the Warrant as required pursuant to the terms hereof.</w:t>
      </w:r>
    </w:p>
    <w:p>
      <w:pPr>
        <w:spacing w:after="0" w:line="172" w:lineRule="exact"/>
        <w:rPr>
          <w:rFonts w:ascii="Arial" w:cs="Arial" w:eastAsia="Arial" w:hAnsi="Arial"/>
          <w:sz w:val="16"/>
          <w:szCs w:val="16"/>
          <w:color w:val="auto"/>
        </w:rPr>
      </w:pPr>
    </w:p>
    <w:p>
      <w:pPr>
        <w:jc w:val="both"/>
        <w:ind w:left="800" w:firstLine="649"/>
        <w:spacing w:after="0" w:line="258" w:lineRule="auto"/>
        <w:tabs>
          <w:tab w:leader="none" w:pos="162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No Fractional Shares or Scrip</w:t>
      </w:r>
      <w:r>
        <w:rPr>
          <w:rFonts w:ascii="Arial" w:cs="Arial" w:eastAsia="Arial" w:hAnsi="Arial"/>
          <w:sz w:val="18"/>
          <w:szCs w:val="18"/>
          <w:color w:val="auto"/>
        </w:rPr>
        <w:t>. No fractional shares or scrip representing fractional shares shall be issued upon the exercise of this Warrant. As to any fraction of a share which the Holder would otherwise be entitled to purchase upon such exercise, the Company shall round down to the next whole share.</w:t>
      </w:r>
    </w:p>
    <w:p>
      <w:pPr>
        <w:spacing w:after="0" w:line="186" w:lineRule="exact"/>
        <w:rPr>
          <w:rFonts w:ascii="Arial" w:cs="Arial" w:eastAsia="Arial" w:hAnsi="Arial"/>
          <w:sz w:val="18"/>
          <w:szCs w:val="18"/>
          <w:color w:val="auto"/>
        </w:rPr>
      </w:pPr>
    </w:p>
    <w:p>
      <w:pPr>
        <w:jc w:val="both"/>
        <w:ind w:left="800" w:firstLine="649"/>
        <w:spacing w:after="0" w:line="285" w:lineRule="auto"/>
        <w:tabs>
          <w:tab w:leader="none" w:pos="1668" w:val="left"/>
        </w:tabs>
        <w:numPr>
          <w:ilvl w:val="0"/>
          <w:numId w:val="7"/>
        </w:numPr>
        <w:rPr>
          <w:rFonts w:ascii="Arial" w:cs="Arial" w:eastAsia="Arial" w:hAnsi="Arial"/>
          <w:sz w:val="16"/>
          <w:szCs w:val="16"/>
          <w:color w:val="auto"/>
        </w:rPr>
      </w:pPr>
      <w:r>
        <w:rPr>
          <w:rFonts w:ascii="Arial" w:cs="Arial" w:eastAsia="Arial" w:hAnsi="Arial"/>
          <w:sz w:val="16"/>
          <w:szCs w:val="16"/>
          <w:u w:val="single" w:color="auto"/>
          <w:color w:val="auto"/>
        </w:rPr>
        <w:t>Charges, Taxes and Expenses</w:t>
      </w:r>
      <w:r>
        <w:rPr>
          <w:rFonts w:ascii="Arial" w:cs="Arial" w:eastAsia="Arial" w:hAnsi="Arial"/>
          <w:sz w:val="16"/>
          <w:szCs w:val="16"/>
          <w:color w:val="auto"/>
        </w:rPr>
        <w:t xml:space="preserve">. Issuance of Warrant Shares shall be made without charge to the Holder for any issue or transfer tax or other incidental expense in respect of the issuance of such Warrant Shares, all of which taxes and expenses shall be paid by the Company, and such Warrant Shares shall be issued in the name of the Holder or in such name or names as may be directed by the Holder;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the event that Warrant Shares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the Depository Trust Company (or another established clearing corporation performing similar functions) required for same-day electronic delivery of the Warrant Shares.</w:t>
      </w:r>
    </w:p>
    <w:p>
      <w:pPr>
        <w:spacing w:after="0" w:line="168" w:lineRule="exact"/>
        <w:rPr>
          <w:rFonts w:ascii="Arial" w:cs="Arial" w:eastAsia="Arial" w:hAnsi="Arial"/>
          <w:sz w:val="16"/>
          <w:szCs w:val="16"/>
          <w:color w:val="auto"/>
        </w:rPr>
      </w:pPr>
    </w:p>
    <w:p>
      <w:pPr>
        <w:ind w:left="800" w:firstLine="649"/>
        <w:spacing w:after="0" w:line="270" w:lineRule="auto"/>
        <w:tabs>
          <w:tab w:leader="none" w:pos="173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Closing of Books</w:t>
      </w:r>
      <w:r>
        <w:rPr>
          <w:rFonts w:ascii="Arial" w:cs="Arial" w:eastAsia="Arial" w:hAnsi="Arial"/>
          <w:sz w:val="18"/>
          <w:szCs w:val="18"/>
          <w:color w:val="auto"/>
        </w:rPr>
        <w:t>. The Company will not close its shareholder books or records in any manner which prevents the timely exercise of this Warrant, pursuant to the terms hereof.</w:t>
      </w:r>
    </w:p>
    <w:p>
      <w:pPr>
        <w:spacing w:after="0" w:line="388"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13335</wp:posOffset>
            </wp:positionV>
            <wp:extent cx="71342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0120"/>
          </w:cols>
          <w:pgMar w:left="1440" w:top="899" w:right="339" w:bottom="1440" w:gutter="0" w:footer="0" w:header="0"/>
        </w:sectPr>
      </w:pPr>
    </w:p>
    <w:bookmarkStart w:id="9" w:name="page10"/>
    <w:bookmarkEnd w:id="9"/>
    <w:p>
      <w:pPr>
        <w:jc w:val="both"/>
        <w:ind w:left="-480" w:firstLine="648"/>
        <w:spacing w:after="0" w:line="279" w:lineRule="auto"/>
        <w:tabs>
          <w:tab w:leader="none" w:pos="356" w:val="left"/>
        </w:tabs>
        <w:numPr>
          <w:ilvl w:val="0"/>
          <w:numId w:val="8"/>
        </w:numPr>
        <w:rPr>
          <w:rFonts w:ascii="Arial" w:cs="Arial" w:eastAsia="Arial" w:hAnsi="Arial"/>
          <w:sz w:val="16"/>
          <w:szCs w:val="16"/>
          <w:color w:val="auto"/>
        </w:rPr>
      </w:pPr>
      <w:r>
        <w:rPr>
          <w:rFonts w:ascii="Arial" w:cs="Arial" w:eastAsia="Arial" w:hAnsi="Arial"/>
          <w:sz w:val="16"/>
          <w:szCs w:val="16"/>
          <w:u w:val="single" w:color="auto"/>
          <w:color w:val="auto"/>
        </w:rPr>
        <w:t>Holder’s Exercise Limitations</w:t>
      </w:r>
      <w:r>
        <w:rPr>
          <w:rFonts w:ascii="Arial" w:cs="Arial" w:eastAsia="Arial" w:hAnsi="Arial"/>
          <w:sz w:val="16"/>
          <w:szCs w:val="16"/>
          <w:color w:val="auto"/>
        </w:rPr>
        <w:t>. The Company shall not effect any exercise of this Warrant, and a Holder shall not have the right to exercise any portion of this Warrant, pursuant to Section 2 or otherwise, to the extent that after giving effect to such issuance after exercise as set forth on the applicable Notice of Exercise, the Holder (together with the Holder’s Affiliates (as defined below), and any other Persons acting as a group together with the Holder or any of the Holder’s Affiliates (such Persons, “</w:t>
      </w:r>
      <w:r>
        <w:rPr>
          <w:rFonts w:ascii="Arial" w:cs="Arial" w:eastAsia="Arial" w:hAnsi="Arial"/>
          <w:sz w:val="16"/>
          <w:szCs w:val="16"/>
          <w:u w:val="single" w:color="auto"/>
          <w:color w:val="auto"/>
        </w:rPr>
        <w:t>Attribution Parties</w:t>
      </w:r>
      <w:r>
        <w:rPr>
          <w:rFonts w:ascii="Arial" w:cs="Arial" w:eastAsia="Arial" w:hAnsi="Arial"/>
          <w:sz w:val="16"/>
          <w:szCs w:val="16"/>
          <w:color w:val="auto"/>
        </w:rPr>
        <w:t>”)), would beneficially own in excess of the Beneficial Ownership Limitation (as defined below). For purposes of the foregoing sentence, the number of Common Shares beneficially owned by the Holder and its Affiliates and Attribution Parties shall include the number of Common Shares issuable upon exercise of this Warrant with respect to which such determination is being made, but shall exclude the number of Common Shares which would be issuable upon (i) exercise of the remaining, nonexercised portion of this Warrant beneficially owned by the Holder or any of its Affiliates or Attribution Parties and (ii) exercise or conversion of the unexercised or nonconverted portion of any other securities of the Company (including, without limitation, any other securities of the Company or the Subsidiaries which would entitle the holder thereof to acquire at any time Common Shares, including, without limitation, any debt, preferred share, right, option, warrant or other instrument that is at any time convertible into or exercisable or exchangeable for, or otherwise entitles the holder thereof to receive, Common Shares (“</w:t>
      </w:r>
      <w:r>
        <w:rPr>
          <w:rFonts w:ascii="Arial" w:cs="Arial" w:eastAsia="Arial" w:hAnsi="Arial"/>
          <w:sz w:val="16"/>
          <w:szCs w:val="16"/>
          <w:u w:val="single" w:color="auto"/>
          <w:color w:val="auto"/>
        </w:rPr>
        <w:t>Common Share Equivalents</w:t>
      </w:r>
      <w:r>
        <w:rPr>
          <w:rFonts w:ascii="Arial" w:cs="Arial" w:eastAsia="Arial" w:hAnsi="Arial"/>
          <w:sz w:val="16"/>
          <w:szCs w:val="16"/>
          <w:color w:val="auto"/>
        </w:rPr>
        <w:t>”)) subject to a limitation on conversion or exercise analogous to the limitation contained herein beneficially owned by the Holder or any of its Affiliates or Attribution Parties. Except as set forth in the preceding sentence, for purposes of this Section 2(e),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2(e) applies, the determination of whether this Warrant is exercisable (in relation to other securities owned by the Holder together with any Affiliates and Attribution Parties) and of which portion of this Warrant is exercisable shall be in the sole discretion of the Holder, and the submission of a Notice of Exercise shall be deemed to be the Holder’s determination of whether this Warrant is exercisable (in relation to other securities owned by the Holder together with any Affiliates and Attribution Parties) and of which portion of this Warrant is exercisable, in each case subject to the Beneficial Ownership Limitation, and the Company shall have no obligation to verify or confirm the accuracy of such determination. In addition, a determination as to any group status as contemplated above shall be determined in accordance with Section 13(d) of the Exchange Act and the rules and regulations promulgated thereunder. For purposes of this Section 2(e), in determining the number of outstanding Common Shares, a Holder may rely on the number of outstanding Common Shares as reflected in (A) the Company’s most recent periodic or annual report filed with the Commission, as the case may be, (B) a more recent public announcement by the Company or (C) a more recent written notice by the Company or the Transfer Agent setting forth the number of Common Shares outstanding. Upon the written or oral request of a Holder, the Company shall within one Trading Day confirm orally and in writing to the Holder the number of Common Shares then outstanding. In any case, the number of outstanding Common Shares shall be determined after giving effect to the conversion or exercise of securities of the Company, including this Warrant, by the Holder or its Affiliates or Attribution Parties since the date as of which such number of outstanding Common Shares was reported. The “</w:t>
      </w:r>
      <w:r>
        <w:rPr>
          <w:rFonts w:ascii="Arial" w:cs="Arial" w:eastAsia="Arial" w:hAnsi="Arial"/>
          <w:sz w:val="16"/>
          <w:szCs w:val="16"/>
          <w:u w:val="single" w:color="auto"/>
          <w:color w:val="auto"/>
        </w:rPr>
        <w:t>Beneficial Ownership Limitation</w:t>
      </w:r>
      <w:r>
        <w:rPr>
          <w:rFonts w:ascii="Arial" w:cs="Arial" w:eastAsia="Arial" w:hAnsi="Arial"/>
          <w:sz w:val="16"/>
          <w:szCs w:val="16"/>
          <w:color w:val="auto"/>
        </w:rPr>
        <w:t>” shall be 4.99% of the number of Common Shares outstanding immediately after giving effect to the issuance of Common Shares issuable upon exercise of this Warrant. The Holder, upon notice to the Company, may increase or decrease the Beneficial Ownership Limitation provisions of this Section 2(e), provided that the Beneficial Ownership Limitation in no event exceeds 9.99% (or 19.99% with prior written approval of the Company) of the number of Common Shares outstanding immediately after giving effect to the issuance of Common Shares upon exercise of this Warrant held by the Holder and the provisions of this Section 2(e) shall continue to apply. Any increase in the Beneficial Ownership Limitation will not be effective until the 61st day after such notice is delivered to the Company. The provisions of this paragraph shall be construed and implemented in a manner otherwise than in strict conformity with the terms of this Section 2(e)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 As used herein, “</w:t>
      </w:r>
      <w:r>
        <w:rPr>
          <w:rFonts w:ascii="Arial" w:cs="Arial" w:eastAsia="Arial" w:hAnsi="Arial"/>
          <w:sz w:val="16"/>
          <w:szCs w:val="16"/>
          <w:u w:val="single" w:color="auto"/>
          <w:color w:val="auto"/>
        </w:rPr>
        <w:t>Affiliate</w:t>
      </w:r>
      <w:r>
        <w:rPr>
          <w:rFonts w:ascii="Arial" w:cs="Arial" w:eastAsia="Arial" w:hAnsi="Arial"/>
          <w:sz w:val="16"/>
          <w:szCs w:val="16"/>
          <w:color w:val="auto"/>
        </w:rPr>
        <w:t>” means any Person (as defined below) that, directly or indirectly through one or more intermediaries, controls or is controlled by or is under common control with a Person, as such terms are used in and construed under Rule 405 under the Securities Act. As used herein, “</w:t>
      </w:r>
      <w:r>
        <w:rPr>
          <w:rFonts w:ascii="Arial" w:cs="Arial" w:eastAsia="Arial" w:hAnsi="Arial"/>
          <w:sz w:val="16"/>
          <w:szCs w:val="16"/>
          <w:u w:val="single" w:color="auto"/>
          <w:color w:val="auto"/>
        </w:rPr>
        <w:t>Person</w:t>
      </w:r>
      <w:r>
        <w:rPr>
          <w:rFonts w:ascii="Arial" w:cs="Arial" w:eastAsia="Arial" w:hAnsi="Arial"/>
          <w:sz w:val="16"/>
          <w:szCs w:val="16"/>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200" w:lineRule="exact"/>
        <w:rPr>
          <w:sz w:val="20"/>
          <w:szCs w:val="20"/>
          <w:color w:val="auto"/>
        </w:rPr>
      </w:pPr>
    </w:p>
    <w:p>
      <w:pPr>
        <w:spacing w:after="0" w:line="210"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13335</wp:posOffset>
            </wp:positionV>
            <wp:extent cx="71342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0120"/>
          </w:cols>
          <w:pgMar w:left="1440" w:top="899" w:right="339" w:bottom="1440" w:gutter="0" w:footer="0" w:header="0"/>
        </w:sectPr>
      </w:pPr>
    </w:p>
    <w:bookmarkStart w:id="10" w:name="page11"/>
    <w:bookmarkEnd w:id="10"/>
    <w:p>
      <w:pPr>
        <w:jc w:val="both"/>
        <w:ind w:left="-7" w:firstLine="648"/>
        <w:spacing w:after="0" w:line="279" w:lineRule="auto"/>
        <w:tabs>
          <w:tab w:leader="none" w:pos="809" w:val="left"/>
        </w:tabs>
        <w:numPr>
          <w:ilvl w:val="1"/>
          <w:numId w:val="9"/>
        </w:numPr>
        <w:rPr>
          <w:rFonts w:ascii="Arial" w:cs="Arial" w:eastAsia="Arial" w:hAnsi="Arial"/>
          <w:sz w:val="16"/>
          <w:szCs w:val="16"/>
          <w:color w:val="auto"/>
        </w:rPr>
      </w:pPr>
      <w:r>
        <w:rPr>
          <w:rFonts w:ascii="Arial" w:cs="Arial" w:eastAsia="Arial" w:hAnsi="Arial"/>
          <w:sz w:val="16"/>
          <w:szCs w:val="16"/>
          <w:u w:val="single" w:color="auto"/>
          <w:color w:val="auto"/>
        </w:rPr>
        <w:t>Call Provision</w:t>
      </w:r>
      <w:r>
        <w:rPr>
          <w:rFonts w:ascii="Arial" w:cs="Arial" w:eastAsia="Arial" w:hAnsi="Arial"/>
          <w:sz w:val="16"/>
          <w:szCs w:val="16"/>
          <w:color w:val="auto"/>
        </w:rPr>
        <w:t>. Subject to the provisions of Section 2(e) and this Section 2(f), if, after the initial issuance of this Warrant (the “</w:t>
      </w:r>
      <w:r>
        <w:rPr>
          <w:rFonts w:ascii="Arial" w:cs="Arial" w:eastAsia="Arial" w:hAnsi="Arial"/>
          <w:sz w:val="16"/>
          <w:szCs w:val="16"/>
          <w:u w:val="single" w:color="auto"/>
          <w:color w:val="auto"/>
        </w:rPr>
        <w:t>Initial</w:t>
      </w:r>
      <w:r>
        <w:rPr>
          <w:rFonts w:ascii="Arial" w:cs="Arial" w:eastAsia="Arial" w:hAnsi="Arial"/>
          <w:sz w:val="16"/>
          <w:szCs w:val="16"/>
          <w:color w:val="auto"/>
        </w:rPr>
        <w:t xml:space="preserve"> </w:t>
      </w:r>
      <w:r>
        <w:rPr>
          <w:rFonts w:ascii="Arial" w:cs="Arial" w:eastAsia="Arial" w:hAnsi="Arial"/>
          <w:sz w:val="16"/>
          <w:szCs w:val="16"/>
          <w:u w:val="single" w:color="auto"/>
          <w:color w:val="auto"/>
        </w:rPr>
        <w:t>Exercise Date</w:t>
      </w:r>
      <w:r>
        <w:rPr>
          <w:rFonts w:ascii="Arial" w:cs="Arial" w:eastAsia="Arial" w:hAnsi="Arial"/>
          <w:sz w:val="16"/>
          <w:szCs w:val="16"/>
          <w:color w:val="auto"/>
        </w:rPr>
        <w:t>”), (i) the VWAP for each of 30 consecutive Trading Days (the “</w:t>
      </w:r>
      <w:r>
        <w:rPr>
          <w:rFonts w:ascii="Arial" w:cs="Arial" w:eastAsia="Arial" w:hAnsi="Arial"/>
          <w:sz w:val="16"/>
          <w:szCs w:val="16"/>
          <w:u w:val="single" w:color="auto"/>
          <w:color w:val="auto"/>
        </w:rPr>
        <w:t>Measurement Period</w:t>
      </w:r>
      <w:r>
        <w:rPr>
          <w:rFonts w:ascii="Arial" w:cs="Arial" w:eastAsia="Arial" w:hAnsi="Arial"/>
          <w:sz w:val="16"/>
          <w:szCs w:val="16"/>
          <w:color w:val="auto"/>
        </w:rPr>
        <w:t>,” which 30 consecutive Trading Day period shall not have commenced until after the Initial Exercise Date) exceeds $6.50 (subject to adjustment for forward and reverse share splits, recapitalizations, share dividends and the like) and (ii) the Holder is not in possession of any information that constitutes, or might constitute, material non-public information which was provided by the Company, any of its Subsidiaries, or any of their officers, directors, employees, agents or Affiliates, then the Company may, within 1 Trading Day of the end of such Measurement Period, call for cancellation of all or any portion of this Warrant for which a Notice of Exercise has not yet been delivered (such right, a “</w:t>
      </w:r>
      <w:r>
        <w:rPr>
          <w:rFonts w:ascii="Arial" w:cs="Arial" w:eastAsia="Arial" w:hAnsi="Arial"/>
          <w:sz w:val="16"/>
          <w:szCs w:val="16"/>
          <w:u w:val="single" w:color="auto"/>
          <w:color w:val="auto"/>
        </w:rPr>
        <w:t>Call</w:t>
      </w:r>
      <w:r>
        <w:rPr>
          <w:rFonts w:ascii="Arial" w:cs="Arial" w:eastAsia="Arial" w:hAnsi="Arial"/>
          <w:sz w:val="16"/>
          <w:szCs w:val="16"/>
          <w:color w:val="auto"/>
        </w:rPr>
        <w:t>”) for consideration equal to $0.0001 per Warrant Share. To exercise this right, the Company must deliver to the Holder an irrevocable written notice (a “</w:t>
      </w:r>
      <w:r>
        <w:rPr>
          <w:rFonts w:ascii="Arial" w:cs="Arial" w:eastAsia="Arial" w:hAnsi="Arial"/>
          <w:sz w:val="16"/>
          <w:szCs w:val="16"/>
          <w:u w:val="single" w:color="auto"/>
          <w:color w:val="auto"/>
        </w:rPr>
        <w:t>Call Notice</w:t>
      </w:r>
      <w:r>
        <w:rPr>
          <w:rFonts w:ascii="Arial" w:cs="Arial" w:eastAsia="Arial" w:hAnsi="Arial"/>
          <w:sz w:val="16"/>
          <w:szCs w:val="16"/>
          <w:color w:val="auto"/>
        </w:rPr>
        <w:t>”), indicating therein the portion of unexercised portion of this Warrant to which such notice applies. If the conditions set forth below for such Call are satisfied from the period from the date of the Call Notice through and including the Call Date (as defined below), then any portion of this Warrant subject to such Call Notice for which a Notice of Exercise shall not have been received by the Call Date will be cancelled at 6:30 p.m. (New York City time) on the tenth Trading Day after the date the Call Notice is received by the Holder (such date and time, the “</w:t>
      </w:r>
      <w:r>
        <w:rPr>
          <w:rFonts w:ascii="Arial" w:cs="Arial" w:eastAsia="Arial" w:hAnsi="Arial"/>
          <w:sz w:val="16"/>
          <w:szCs w:val="16"/>
          <w:u w:val="single" w:color="auto"/>
          <w:color w:val="auto"/>
        </w:rPr>
        <w:t>Call Date</w:t>
      </w:r>
      <w:r>
        <w:rPr>
          <w:rFonts w:ascii="Arial" w:cs="Arial" w:eastAsia="Arial" w:hAnsi="Arial"/>
          <w:sz w:val="16"/>
          <w:szCs w:val="16"/>
          <w:color w:val="auto"/>
        </w:rPr>
        <w:t>”). Any unexercised portion of this Warrant to which the Call Notice does not pertain will be unaffected by such Call Notice. In furtherance thereof, the Company covenants and agrees that it will honor all Notices of Exercise with respect to Warrant Shares subject to a Call Notice that are tendered through 6:30 p.m. (New York City time) on the Call Date. The parties agree that any Notice of Exercise delivered following a Call Notice which calls less than all of the Warrants shall first reduce to zero the number of Warrant Shares subject to such Call Notice prior to reducing the remaining Warrant Shares available for purchase under this Warrant. For example, if (A) this Warrant then permits the Holder to acquire 100 Warrant Shares, (B) a Call Notice pertains to 75 Warrant Shares, and (C) prior to 6:30 p.m. (New York City time) on the Call Date the Holder tenders a Notice of Exercise in respect of 50 Warrant Shares, then</w:t>
      </w:r>
    </w:p>
    <w:p>
      <w:pPr>
        <w:spacing w:after="0" w:line="5" w:lineRule="exact"/>
        <w:rPr>
          <w:rFonts w:ascii="Arial" w:cs="Arial" w:eastAsia="Arial" w:hAnsi="Arial"/>
          <w:sz w:val="16"/>
          <w:szCs w:val="16"/>
          <w:color w:val="auto"/>
        </w:rPr>
      </w:pPr>
    </w:p>
    <w:p>
      <w:pPr>
        <w:jc w:val="both"/>
        <w:ind w:left="-7" w:firstLine="7"/>
        <w:spacing w:after="0" w:line="281" w:lineRule="auto"/>
        <w:tabs>
          <w:tab w:leader="none" w:pos="2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on the Call Date the right under this Warrant to acquire 25 Warrant Shares will be automatically cancelled, (y) the Company, in the time and manner required under this Warrant, will have issued and delivered to the Holder 50 Warrant Shares in respect of the exercises following receipt of the Call Notice, and (z) the Holder may, until the Termination Date, exercise this Warrant for 25 Warrant Shares (subject to adjustment as herein provided and subject to subsequent Call Notices). Subject again to the provisions of this Section 2(f), the Company may deliver subsequent Call Notices for any portion of this Warrant for which the Holder shall not have delivered a Notice of Exercise. Notwithstanding anything to the contrary set forth in this Warrant, the Company may not deliver a Call Notice or require the cancellation of this Warrant (and any such Call Notice shall be void), unless, from the beginning of the Measurement Period through the Call Date, (1) the Company shall have honored in accordance with the terms of this Warrant all Notices of Exercise delivered by 6:30 p.m. (New York City time) on the Call Date, and (2) a registration statement shall be effective as to all Warrant Shares and the prospectus thereunder available for use by the Company for the sale of all such Warrant Shares to the Holder, and (3) the Common Shares shall be listed or quoted for trading on the Trading Market, and (4) there is a sufficient number of authorized Common Shares for issuance of all Warrant Shares, and (5) the issuance of all Warrant Shares subject to a Call Notice shall not cause a breach of any provision of Section 2(e) herein. The Company’s right to call the Warrants under this Section 2(f) shall be exercised ratably among the Holders based on each Holder’s initial purchase of Warrants.</w:t>
      </w:r>
    </w:p>
    <w:p>
      <w:pPr>
        <w:spacing w:after="0" w:line="175" w:lineRule="exact"/>
        <w:rPr>
          <w:rFonts w:ascii="Arial" w:cs="Arial" w:eastAsia="Arial" w:hAnsi="Arial"/>
          <w:sz w:val="16"/>
          <w:szCs w:val="16"/>
          <w:color w:val="auto"/>
        </w:rPr>
      </w:pPr>
    </w:p>
    <w:p>
      <w:pPr>
        <w:jc w:val="both"/>
        <w:ind w:left="-7" w:firstLine="648"/>
        <w:spacing w:after="0" w:line="281" w:lineRule="auto"/>
        <w:tabs>
          <w:tab w:leader="none" w:pos="852" w:val="left"/>
        </w:tabs>
        <w:numPr>
          <w:ilvl w:val="1"/>
          <w:numId w:val="10"/>
        </w:numPr>
        <w:rPr>
          <w:rFonts w:ascii="Arial" w:cs="Arial" w:eastAsia="Arial" w:hAnsi="Arial"/>
          <w:sz w:val="16"/>
          <w:szCs w:val="16"/>
          <w:color w:val="auto"/>
        </w:rPr>
      </w:pPr>
      <w:r>
        <w:rPr>
          <w:rFonts w:ascii="Arial" w:cs="Arial" w:eastAsia="Arial" w:hAnsi="Arial"/>
          <w:sz w:val="16"/>
          <w:szCs w:val="16"/>
          <w:u w:val="single" w:color="auto"/>
          <w:color w:val="auto"/>
        </w:rPr>
        <w:t>Subsequent Equity Sales</w:t>
      </w:r>
      <w:r>
        <w:rPr>
          <w:rFonts w:ascii="Arial" w:cs="Arial" w:eastAsia="Arial" w:hAnsi="Arial"/>
          <w:sz w:val="16"/>
          <w:szCs w:val="16"/>
          <w:color w:val="auto"/>
        </w:rPr>
        <w:t>. From the original Issue Date until December 31, 2024, if the Company or any Subsidiary thereof, as applicable, at any time while this Warrant is outstanding, shall sell or grant any option to purchase, or sell or grant any right to reprice, or otherwise dispose of or issue (or announce any offer, sale, grant or any option to purchase or other disposition) any Common Shares or Common Share Equivalents, at an effective price per share less than the lower of (i) $2.00 (subject to adjustment for forward and reverse share splits, recapitalizations, share dividends and the like), and (ii) the Exercise Price then in effect (such lower price, the “</w:t>
      </w:r>
      <w:r>
        <w:rPr>
          <w:rFonts w:ascii="Arial" w:cs="Arial" w:eastAsia="Arial" w:hAnsi="Arial"/>
          <w:sz w:val="16"/>
          <w:szCs w:val="16"/>
          <w:u w:val="single" w:color="auto"/>
          <w:color w:val="auto"/>
        </w:rPr>
        <w:t>Base Share Price</w:t>
      </w:r>
      <w:r>
        <w:rPr>
          <w:rFonts w:ascii="Arial" w:cs="Arial" w:eastAsia="Arial" w:hAnsi="Arial"/>
          <w:sz w:val="16"/>
          <w:szCs w:val="16"/>
          <w:color w:val="auto"/>
        </w:rPr>
        <w:t>” and such issuances collectively, a “</w:t>
      </w:r>
      <w:r>
        <w:rPr>
          <w:rFonts w:ascii="Arial" w:cs="Arial" w:eastAsia="Arial" w:hAnsi="Arial"/>
          <w:sz w:val="16"/>
          <w:szCs w:val="16"/>
          <w:u w:val="single" w:color="auto"/>
          <w:color w:val="auto"/>
        </w:rPr>
        <w:t>Dilutive Issuance</w:t>
      </w:r>
      <w:r>
        <w:rPr>
          <w:rFonts w:ascii="Arial" w:cs="Arial" w:eastAsia="Arial" w:hAnsi="Arial"/>
          <w:sz w:val="16"/>
          <w:szCs w:val="16"/>
          <w:color w:val="auto"/>
        </w:rPr>
        <w:t>”) (it being understood and agreed that if the holder of the Common Shares or Common Share Equivalents so issued at any time, whether by operation of purchase price adjustments, reset provisions, floating conversion, exercise or exchange prices or otherwise, or due to warrants, options or rights per share which are issued in connection with such issuance, be entitled to receive Common Shares at an effective price per share that is less than the Exercise Price, such issuance shall be deemed to have occurred for less than the Exercise Price on such date of the Dilutive Issuance at such effective price), then simultaneously with the consummation of each Dilutive Issuance the Exercise Price shall be reduced to equal the Base Share Price. Such adjustment shall be made whenever such Common Shares or Common Share Equivalents are issued. Notwithstanding the foregoing, no adjustments shall be made, paid or issued under this Section 2(g) in respect of an Exempt Issuance. The Company shall notify the Holder, in writing, promptly, but in no event later than two (2) Trading Days following the issuance or deemed issuance of any Common Shares or Common Share Equivalents subject to this Section 2(g), indicating therein the applicable issuance price, or applicable reset price, exchange price, conversion price and other pricing terms (such notice, the “</w:t>
      </w:r>
      <w:r>
        <w:rPr>
          <w:rFonts w:ascii="Arial" w:cs="Arial" w:eastAsia="Arial" w:hAnsi="Arial"/>
          <w:sz w:val="16"/>
          <w:szCs w:val="16"/>
          <w:u w:val="single" w:color="auto"/>
          <w:color w:val="auto"/>
        </w:rPr>
        <w:t>Dilutive Issuance Notice</w:t>
      </w:r>
      <w:r>
        <w:rPr>
          <w:rFonts w:ascii="Arial" w:cs="Arial" w:eastAsia="Arial" w:hAnsi="Arial"/>
          <w:sz w:val="16"/>
          <w:szCs w:val="16"/>
          <w:color w:val="auto"/>
        </w:rPr>
        <w:t>”). For purposes of clarification, whether or not the Company provides a Dilutive Issuance Notice pursuant to this Section 2(g), upon the occurrence of any Dilutive Issuance, the Holder is entitled to receive a number of Warrant Shares based upon the Base Share Price regardless of whether the Holder accurately refers to the Base Share Price in the Notice of Exercise. For avoidance of doubt, the number of Warrant Shares issuable upon exercise of this Warrant shall not be adjusted under this Section 2(g).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933"/>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-405765</wp:posOffset>
            </wp:positionH>
            <wp:positionV relativeFrom="paragraph">
              <wp:posOffset>13335</wp:posOffset>
            </wp:positionV>
            <wp:extent cx="71342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0593"/>
          </w:cols>
          <w:pgMar w:left="967" w:top="899" w:right="339" w:bottom="1440" w:gutter="0" w:footer="0" w:header="0"/>
        </w:sectPr>
      </w:pPr>
    </w:p>
    <w:bookmarkStart w:id="11" w:name="page12"/>
    <w:bookmarkEnd w:id="11"/>
    <w:p>
      <w:pPr>
        <w:jc w:val="both"/>
        <w:ind w:firstLine="640"/>
        <w:spacing w:after="0" w:line="281" w:lineRule="auto"/>
        <w:rPr>
          <w:sz w:val="20"/>
          <w:szCs w:val="20"/>
          <w:color w:val="auto"/>
        </w:rPr>
      </w:pPr>
      <w:r>
        <w:rPr>
          <w:rFonts w:ascii="Arial" w:cs="Arial" w:eastAsia="Arial" w:hAnsi="Arial"/>
          <w:sz w:val="16"/>
          <w:szCs w:val="16"/>
          <w:color w:val="auto"/>
        </w:rPr>
        <w:t>For the purposes of this Section 2(g), “</w:t>
      </w:r>
      <w:r>
        <w:rPr>
          <w:rFonts w:ascii="Arial" w:cs="Arial" w:eastAsia="Arial" w:hAnsi="Arial"/>
          <w:sz w:val="16"/>
          <w:szCs w:val="16"/>
          <w:u w:val="single" w:color="auto"/>
          <w:color w:val="auto"/>
        </w:rPr>
        <w:t>Exempt Issuance</w:t>
      </w:r>
      <w:r>
        <w:rPr>
          <w:rFonts w:ascii="Arial" w:cs="Arial" w:eastAsia="Arial" w:hAnsi="Arial"/>
          <w:sz w:val="16"/>
          <w:szCs w:val="16"/>
          <w:color w:val="auto"/>
        </w:rPr>
        <w:t>” means the issuance of (a) Common Shares, options, restricted share units or other awards to employees, officers or directors of the Company pursuant to any equity incentive plan or employee stock purchase plan duly adopted for such purpose by the board of directors of the Company or a committee thereof; (b) securities issued and issuable hereunder and under the Purchase Agreement and securities issued and issuable upon the exercise or exchange of or conversion of any securities issued hereunder or under the Purchase Agreement; (c) Common Shares pursuant to that certain At-the-Market Equity Distribution Agreement, dated as of December 22, 2022, by and among the Company, Stifel, Nicolaus &amp; Company, Incorporated and Wedbush Securities Inc.; (d) Common Shares pursuant to the exercise of any options or warrants, or the conversion of convertible securities, preferred shares or special shares outstanding on the date of this Warrant or the exercise or conversion of any securities issued upon exercise or conversion of any such outstanding option, warrant, convertible security, preferred share or special share; (e) Common Shares or Common Share Equivalents (and the Common Shares issuable upon exercise or exchange of such Common Share Equivalents) to banks, equipment lessors or other financial institutions, or to real property lessors, pursuant to a debt financing, equipment leasing or real property leasing transaction approved by the board of directors of the Company or a committee thereof; (f) Common Shares or Common Share Equivalents (and the Common Shares issuable upon exercise or exchange of such Common Share Equivalents) in connection with (i) any merger, consolidation, business combination, acquisition or other transaction, or series of related transactions, by the Company with another Person whereby the Company acquires 50% or more of the outstanding equity interests or outstanding voting power of such other Person, or (ii) the direct or indirect purchase, lease, license, assignment, transfer, conveyance or other acquisition of all or substantially all of the assets of another Person; (g) Common Shares or securities convertible into or exercisable or exchangeable for Common Shares (and the Common Shares issuable upon exercise or exchange of such securities) to collaborators, vendors, manufacturers, supplies, third–party service providers, licensors, distributors, customers or other similar parties pursuant to a collaboration, licensing agreement, strategic alliance, joint venture, manufacturing, supply or distribution arrangement or similar transaction; and (h) securities that would result in an adjustment to the Exercise Price and/or number of Warrant Shares issuable under this Warrant under Section 3 below.</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w:t>
      </w:r>
      <w:r>
        <w:rPr>
          <w:rFonts w:ascii="Arial" w:cs="Arial" w:eastAsia="Arial" w:hAnsi="Arial"/>
          <w:sz w:val="18"/>
          <w:szCs w:val="18"/>
          <w:u w:val="single" w:color="auto"/>
          <w:color w:val="auto"/>
        </w:rPr>
        <w:t>Certain Adjustments</w:t>
      </w:r>
      <w:r>
        <w:rPr>
          <w:rFonts w:ascii="Arial" w:cs="Arial" w:eastAsia="Arial" w:hAnsi="Arial"/>
          <w:sz w:val="18"/>
          <w:szCs w:val="18"/>
          <w:color w:val="auto"/>
        </w:rPr>
        <w:t>.</w:t>
      </w:r>
    </w:p>
    <w:p>
      <w:pPr>
        <w:spacing w:after="0" w:line="220" w:lineRule="exact"/>
        <w:rPr>
          <w:sz w:val="20"/>
          <w:szCs w:val="20"/>
          <w:color w:val="auto"/>
        </w:rPr>
      </w:pPr>
    </w:p>
    <w:p>
      <w:pPr>
        <w:jc w:val="both"/>
        <w:ind w:firstLine="648"/>
        <w:spacing w:after="0" w:line="265" w:lineRule="auto"/>
        <w:tabs>
          <w:tab w:leader="none" w:pos="823" w:val="left"/>
        </w:tabs>
        <w:numPr>
          <w:ilvl w:val="0"/>
          <w:numId w:val="11"/>
        </w:numPr>
        <w:rPr>
          <w:rFonts w:ascii="Arial" w:cs="Arial" w:eastAsia="Arial" w:hAnsi="Arial"/>
          <w:sz w:val="17"/>
          <w:szCs w:val="17"/>
          <w:color w:val="auto"/>
        </w:rPr>
      </w:pPr>
      <w:r>
        <w:rPr>
          <w:rFonts w:ascii="Arial" w:cs="Arial" w:eastAsia="Arial" w:hAnsi="Arial"/>
          <w:sz w:val="17"/>
          <w:szCs w:val="17"/>
          <w:u w:val="single" w:color="auto"/>
          <w:color w:val="auto"/>
        </w:rPr>
        <w:t>Share Dividends and Splits</w:t>
      </w:r>
      <w:r>
        <w:rPr>
          <w:rFonts w:ascii="Arial" w:cs="Arial" w:eastAsia="Arial" w:hAnsi="Arial"/>
          <w:sz w:val="17"/>
          <w:szCs w:val="17"/>
          <w:color w:val="auto"/>
        </w:rPr>
        <w:t>. If the Company, at any time while this Warrant is outstanding: (i) pays a share dividend or otherwise makes a distribution or distributions on Common Shares or any other equity or equity equivalent securities payable in Common Shares (which, for avoidance of doubt, shall not include any Common Shares issued by the Company upon exercise of this Warrant), (ii) subdivides outstanding Common Shares into a larger number of shares, (iii) combines (including by way of reverse share split) outstanding Common Shares into a smaller number of shares, or (iv) issues by reclassification of the Common Shares of the Company, then in each case the Exercise Price shall be multiplied by a fraction of which the numerator shall be the number of Common Shares (excluding treasury shares, if any) outstanding immediately before such event and of which the denominator shall be the number of Common Shares outstanding immediately after such event, and the number of shares issuable upon exercise of this Warrant shall be proportionately adjusted such that the aggregate Exercise Price of this Warrant shall remain unchanged. Any adjustment made pursuant to this Section 3(a) shall become effective immediately after the record date for the determination of shareholders entitled to receive such dividend or distribution and shall become effective immediately after the effective date in the case of a subdivision, combination or re-classification.</w:t>
      </w:r>
    </w:p>
    <w:p>
      <w:pPr>
        <w:spacing w:after="0" w:line="200" w:lineRule="exact"/>
        <w:rPr>
          <w:sz w:val="20"/>
          <w:szCs w:val="20"/>
          <w:color w:val="auto"/>
        </w:rPr>
      </w:pPr>
    </w:p>
    <w:p>
      <w:pPr>
        <w:spacing w:after="0" w:line="201"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13335</wp:posOffset>
            </wp:positionV>
            <wp:extent cx="71342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0600"/>
          </w:cols>
          <w:pgMar w:left="960" w:top="899" w:right="339" w:bottom="1440" w:gutter="0" w:footer="0" w:header="0"/>
        </w:sectPr>
      </w:pPr>
    </w:p>
    <w:bookmarkStart w:id="12" w:name="page13"/>
    <w:bookmarkEnd w:id="12"/>
    <w:p>
      <w:pPr>
        <w:jc w:val="both"/>
        <w:ind w:left="-480" w:firstLine="648"/>
        <w:spacing w:after="0" w:line="284" w:lineRule="auto"/>
        <w:tabs>
          <w:tab w:leader="none" w:pos="353" w:val="left"/>
        </w:tabs>
        <w:numPr>
          <w:ilvl w:val="0"/>
          <w:numId w:val="12"/>
        </w:numPr>
        <w:rPr>
          <w:rFonts w:ascii="Arial" w:cs="Arial" w:eastAsia="Arial" w:hAnsi="Arial"/>
          <w:sz w:val="16"/>
          <w:szCs w:val="16"/>
          <w:color w:val="auto"/>
        </w:rPr>
      </w:pPr>
      <w:r>
        <w:rPr>
          <w:rFonts w:ascii="Arial" w:cs="Arial" w:eastAsia="Arial" w:hAnsi="Arial"/>
          <w:sz w:val="16"/>
          <w:szCs w:val="16"/>
          <w:u w:val="single" w:color="auto"/>
          <w:color w:val="auto"/>
        </w:rPr>
        <w:t>Subsequent Rights Offerings</w:t>
      </w:r>
      <w:r>
        <w:rPr>
          <w:rFonts w:ascii="Arial" w:cs="Arial" w:eastAsia="Arial" w:hAnsi="Arial"/>
          <w:sz w:val="16"/>
          <w:szCs w:val="16"/>
          <w:color w:val="auto"/>
        </w:rPr>
        <w:t>. In addition to any adjustments pursuant to Section 3(a) above, if at any time the Company grants, issues or sells any Common Share Equivalents or rights to purchase shares, warrants, securities or other property pro rata to the record holders of any class of Common Shares (the “</w:t>
      </w:r>
      <w:r>
        <w:rPr>
          <w:rFonts w:ascii="Arial" w:cs="Arial" w:eastAsia="Arial" w:hAnsi="Arial"/>
          <w:sz w:val="16"/>
          <w:szCs w:val="16"/>
          <w:u w:val="single" w:color="auto"/>
          <w:color w:val="auto"/>
        </w:rPr>
        <w:t>Purchase Rights</w:t>
      </w:r>
      <w:r>
        <w:rPr>
          <w:rFonts w:ascii="Arial" w:cs="Arial" w:eastAsia="Arial" w:hAnsi="Arial"/>
          <w:sz w:val="16"/>
          <w:szCs w:val="16"/>
          <w:color w:val="auto"/>
        </w:rPr>
        <w:t>”), then the Holder will be entitled to acquire, upon the terms applicable to such Purchase Rights, the aggregate Purchase Rights which the Holder could have acquired if the Holder had held the number of Common Shares acquirable upon complete exercise of this Warrant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Common Shares are to be determined for the grant, issue or sale of such Purchase Rights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to the extent that the Holder’s right to participate in any such Purchase Right would result in the Holder exceeding the Beneficial Ownership Limitation, then the Holder shall not be entitled to participate in such Purchase Right to such extent (or beneficial ownership of such Common Shares as a result of such Purchase Right to such extent) and such Purchase Right to such extent shall be held in abeyance for the Holder until such time, if ever, as its right thereto would not result in the Holder exceeding the Beneficial Ownership Limitation).</w:t>
      </w:r>
    </w:p>
    <w:p>
      <w:pPr>
        <w:spacing w:after="0" w:line="166" w:lineRule="exact"/>
        <w:rPr>
          <w:rFonts w:ascii="Arial" w:cs="Arial" w:eastAsia="Arial" w:hAnsi="Arial"/>
          <w:sz w:val="16"/>
          <w:szCs w:val="16"/>
          <w:color w:val="auto"/>
        </w:rPr>
      </w:pPr>
    </w:p>
    <w:p>
      <w:pPr>
        <w:jc w:val="both"/>
        <w:ind w:left="-480" w:firstLine="648"/>
        <w:spacing w:after="0" w:line="264" w:lineRule="auto"/>
        <w:tabs>
          <w:tab w:leader="none" w:pos="343" w:val="left"/>
        </w:tabs>
        <w:numPr>
          <w:ilvl w:val="0"/>
          <w:numId w:val="12"/>
        </w:numPr>
        <w:rPr>
          <w:rFonts w:ascii="Arial" w:cs="Arial" w:eastAsia="Arial" w:hAnsi="Arial"/>
          <w:sz w:val="17"/>
          <w:szCs w:val="17"/>
          <w:color w:val="auto"/>
        </w:rPr>
      </w:pPr>
      <w:r>
        <w:rPr>
          <w:rFonts w:ascii="Arial" w:cs="Arial" w:eastAsia="Arial" w:hAnsi="Arial"/>
          <w:sz w:val="17"/>
          <w:szCs w:val="17"/>
          <w:u w:val="single" w:color="auto"/>
          <w:color w:val="auto"/>
        </w:rPr>
        <w:t>Pro Rata Distributions</w:t>
      </w:r>
      <w:r>
        <w:rPr>
          <w:rFonts w:ascii="Arial" w:cs="Arial" w:eastAsia="Arial" w:hAnsi="Arial"/>
          <w:sz w:val="17"/>
          <w:szCs w:val="17"/>
          <w:color w:val="auto"/>
        </w:rPr>
        <w:t>. Subject to compliance with applicable securities and corporate law, including the constituting documents of the Company, during such time as this Warrant is outstanding, if the Company shall declare or make any dividend or other distribution of its assets (or rights to acquire its assets) to holders of Common Shares, by way of return of capital or otherwise (including, without limitation, any distribution of cash, shares or other securities, property or options by way of a dividend, spin off, reclassification, corporate rearrangement, scheme of arrangement or other similar transaction, other than such dividends or distributions that result in an adjustment under Section 3(a), (b) or (d)) (a “</w:t>
      </w:r>
      <w:r>
        <w:rPr>
          <w:rFonts w:ascii="Arial" w:cs="Arial" w:eastAsia="Arial" w:hAnsi="Arial"/>
          <w:sz w:val="17"/>
          <w:szCs w:val="17"/>
          <w:u w:val="single" w:color="auto"/>
          <w:color w:val="auto"/>
        </w:rPr>
        <w:t>Distribution</w:t>
      </w:r>
      <w:r>
        <w:rPr>
          <w:rFonts w:ascii="Arial" w:cs="Arial" w:eastAsia="Arial" w:hAnsi="Arial"/>
          <w:sz w:val="17"/>
          <w:szCs w:val="17"/>
          <w:color w:val="auto"/>
        </w:rPr>
        <w:t>”), at any time after the issuance of this Warrant, then, in each such case, the Holder shall be entitled to receive an equivalent distribution to such Distribution, in the same form and to the equivalent extent that the Holder would have participated therein if the Holder had held the number of Common Shares acquirable upon complete exercise of this Warrant (without regard to any limitations on exercise hereof, including without limitation, the Beneficial Ownership Limitation) immediately before the date of which a record is taken for such Distribution, or, if no such record is taken, the date as of which the record holders of Common Shares are to be determined for the participation in such Distribution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to the extent that the Holder's right to receive such equivalent distribution to such Distribution would result in the Holder exceeding the Beneficial Ownership Limitation, then the Holder shall not be entitled to such equivalent distribution to such Distribution to such extent (or in the beneficial ownership of any Common Shares as a result of such Distribution to such extent) and the portion of such equivalent distribution shall be held in abeyance for the benefit of the Holder until such time, if ever, as its right thereto would not result in the Holder exceeding the Beneficial Ownership Limitation)..</w:t>
      </w:r>
    </w:p>
    <w:p>
      <w:pPr>
        <w:spacing w:after="0" w:line="200" w:lineRule="exact"/>
        <w:rPr>
          <w:sz w:val="20"/>
          <w:szCs w:val="20"/>
          <w:color w:val="auto"/>
        </w:rPr>
      </w:pPr>
    </w:p>
    <w:p>
      <w:pPr>
        <w:spacing w:after="0" w:line="204"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13335</wp:posOffset>
            </wp:positionV>
            <wp:extent cx="71342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0120"/>
          </w:cols>
          <w:pgMar w:left="1440" w:top="899" w:right="339" w:bottom="1440" w:gutter="0" w:footer="0" w:header="0"/>
        </w:sectPr>
      </w:pPr>
    </w:p>
    <w:bookmarkStart w:id="13" w:name="page14"/>
    <w:bookmarkEnd w:id="13"/>
    <w:p>
      <w:pPr>
        <w:jc w:val="both"/>
        <w:ind w:left="-480" w:firstLine="648"/>
        <w:spacing w:after="0" w:line="279" w:lineRule="auto"/>
        <w:tabs>
          <w:tab w:leader="none" w:pos="353" w:val="left"/>
        </w:tabs>
        <w:numPr>
          <w:ilvl w:val="0"/>
          <w:numId w:val="13"/>
        </w:numPr>
        <w:rPr>
          <w:rFonts w:ascii="Arial" w:cs="Arial" w:eastAsia="Arial" w:hAnsi="Arial"/>
          <w:sz w:val="16"/>
          <w:szCs w:val="16"/>
          <w:color w:val="auto"/>
        </w:rPr>
      </w:pPr>
      <w:r>
        <w:rPr>
          <w:rFonts w:ascii="Arial" w:cs="Arial" w:eastAsia="Arial" w:hAnsi="Arial"/>
          <w:sz w:val="16"/>
          <w:szCs w:val="16"/>
          <w:u w:val="single" w:color="auto"/>
          <w:color w:val="auto"/>
        </w:rPr>
        <w:t>Fundamental Transaction</w:t>
      </w:r>
      <w:r>
        <w:rPr>
          <w:rFonts w:ascii="Arial" w:cs="Arial" w:eastAsia="Arial" w:hAnsi="Arial"/>
          <w:sz w:val="16"/>
          <w:szCs w:val="16"/>
          <w:color w:val="auto"/>
        </w:rPr>
        <w:t>. If, at any time while this Warrant is outstanding, (i) the Company, directly or indirectly, in one or more related transactions effects any arrangement, amalgamation, merger or consolidation of the Company with or into another Person, (ii) the Company (and all of its Subsidiaries, taken as a whole), directly or indirectly, effects any sale, lease, license, assignment, transfer, conveyance or other disposition of all or substantially all of its assets in one or a series of related transactions, (iii) any, direct or indirect, purchase offer, tender offer or exchange offer (whether by the Company or another Person) is completed pursuant to which holders of Common Shares are permitted to sell, tender or exchange their shares for other securities, cash or property and has been accepted by the holders of 50% or more of the outstanding Common Shares or 50% or more of the outstanding voting power of the common equity of the Company, (iv) the Company, directly or indirectly, in one or more related transactions effects any reclassification, reorganization or recapitalization of the Common Shares or any compulsory share exchange pursuant to which the Common Shares are effectively converted into or exchanged for other securities, cash or property, including pursuant to an amalgamation or arrangement, or (v) the Company, directly or indirectly, in one or more related transactions consummates a share or share purchase agreement or other business combination (including, without limitation, a reorganization, recapitalization, spin-off, merger or scheme of arrangement) with another Person or group of Persons whereby such other Person or group acquires 50% or more of the outstanding Common Shares or 50% or more of the outstanding voting power of the common equity of the Company (each a “</w:t>
      </w:r>
      <w:r>
        <w:rPr>
          <w:rFonts w:ascii="Arial" w:cs="Arial" w:eastAsia="Arial" w:hAnsi="Arial"/>
          <w:sz w:val="16"/>
          <w:szCs w:val="16"/>
          <w:u w:val="single" w:color="auto"/>
          <w:color w:val="auto"/>
        </w:rPr>
        <w:t>Fundamental Transaction</w:t>
      </w:r>
      <w:r>
        <w:rPr>
          <w:rFonts w:ascii="Arial" w:cs="Arial" w:eastAsia="Arial" w:hAnsi="Arial"/>
          <w:sz w:val="16"/>
          <w:szCs w:val="16"/>
          <w:color w:val="auto"/>
        </w:rPr>
        <w:t>”), then, upon any subsequent exercise of this Warrant, the Holder shall have the right to receive, for each Warrant Share that would have been issuable upon such exercise immediately prior to the occurrence of such Fundamental Transaction, at the option of the Holder (without regard to any limitation in Section 2(e) on the exercise of this Warrant), the number of Common Shares of the successor or acquiring corporation or of the Company, if it is the surviving corporation, and any additional consideration (the “</w:t>
      </w:r>
      <w:r>
        <w:rPr>
          <w:rFonts w:ascii="Arial" w:cs="Arial" w:eastAsia="Arial" w:hAnsi="Arial"/>
          <w:sz w:val="16"/>
          <w:szCs w:val="16"/>
          <w:u w:val="single" w:color="auto"/>
          <w:color w:val="auto"/>
        </w:rPr>
        <w:t>Alternate Consideration</w:t>
      </w:r>
      <w:r>
        <w:rPr>
          <w:rFonts w:ascii="Arial" w:cs="Arial" w:eastAsia="Arial" w:hAnsi="Arial"/>
          <w:sz w:val="16"/>
          <w:szCs w:val="16"/>
          <w:color w:val="auto"/>
        </w:rPr>
        <w:t>”) receivable as a result of such Fundamental Transaction by a holder of the number of Common Shares for which this Warrant is exercisable immediately prior to such Fundamental Transaction (without regard to any limitation in Section 2(e) on the exercise of this Warrant). For purposes of any such exercise, the determination of the Exercise Price shall be appropriately adjusted to apply to such Alternate Consideration based on the amount of Alternate Consideration issuable in respect of one Common Share in such Fundamental Transaction, and the Company shall apportion the Exercise Price among the Alternate Consideration in a reasonable manner reflecting the relative value of any different components of the Alternate Consideration. If holders of Common Shares are given any choice as to the securities, cash or property to be received in a Fundamental Transaction, then the Holder shall be given the same choice as to the Alternate Consideration it receives upon any exercise of this Warrant following such Fundamental Transaction. The Company shall cause any successor entity in a Fundamental Transaction in which the Company is not the survivor (the “</w:t>
      </w:r>
      <w:r>
        <w:rPr>
          <w:rFonts w:ascii="Arial" w:cs="Arial" w:eastAsia="Arial" w:hAnsi="Arial"/>
          <w:sz w:val="16"/>
          <w:szCs w:val="16"/>
          <w:u w:val="single" w:color="auto"/>
          <w:color w:val="auto"/>
        </w:rPr>
        <w:t>Successor Entity</w:t>
      </w:r>
      <w:r>
        <w:rPr>
          <w:rFonts w:ascii="Arial" w:cs="Arial" w:eastAsia="Arial" w:hAnsi="Arial"/>
          <w:sz w:val="16"/>
          <w:szCs w:val="16"/>
          <w:color w:val="auto"/>
        </w:rPr>
        <w:t>”) to assume in writing all of the obligations of the Company under this Warrant in accordance with the provisions of this Section 3(d) pursuant to written agreements in form and substance reasonably satisfactory to the Holder and approved by the Holder (without unreasonable delay)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such Successor Entity (or its parent entity) equivalent to the Common Shares acquirable and receivable upon exercise of this Warrant (without regard to any limitations on the exercise of this Warrant) prior to such Fundamental Transaction, and with an exercise price which applies the exercise price hereunder to such shares (but taking into account the relative value of the Common Shares pursuant to such Fundamental Transaction and the value of such shares, such number of shares and such exercise price being for the purpose of protecting the economic value of this Warrant immediately prior to the consummation of such Fundamental Transaction), and which is reasonably satisfactory in form and substance to the Holder. Upon the occurrence or consummation of any such Fundamental Transaction, the Successor Entity shall succeed to, and be substituted for (so that from and after the occurrence or consummation of such Fundamental Transaction, the provisions of this Warrant referring to the “Company” shall refer instead to the Successor Entity), and may exercise every right and power of the Company and shall assume all of the obligations of the Company under this Warrant with the same effect as if such Successor Entity had been named as the Company herein.</w:t>
      </w:r>
    </w:p>
    <w:p>
      <w:pPr>
        <w:spacing w:after="0" w:line="198" w:lineRule="exact"/>
        <w:rPr>
          <w:rFonts w:ascii="Arial" w:cs="Arial" w:eastAsia="Arial" w:hAnsi="Arial"/>
          <w:sz w:val="16"/>
          <w:szCs w:val="16"/>
          <w:color w:val="auto"/>
        </w:rPr>
      </w:pPr>
    </w:p>
    <w:p>
      <w:pPr>
        <w:jc w:val="both"/>
        <w:ind w:left="-480" w:firstLine="648"/>
        <w:spacing w:after="0" w:line="258" w:lineRule="auto"/>
        <w:tabs>
          <w:tab w:leader="none" w:pos="343"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Calculations</w:t>
      </w:r>
      <w:r>
        <w:rPr>
          <w:rFonts w:ascii="Arial" w:cs="Arial" w:eastAsia="Arial" w:hAnsi="Arial"/>
          <w:sz w:val="18"/>
          <w:szCs w:val="18"/>
          <w:color w:val="auto"/>
        </w:rPr>
        <w:t>. All calculations under this Section 3 shall be made to the nearest cent or the nearest 1/100th of a share, as the case may be. For purposes of this Section 3, the number of Common Shares deemed to be issued and outstanding as of a given date shall be the sum of the number of Common Shares (excluding treasury shares, if any) issued and outstanding.</w:t>
      </w:r>
    </w:p>
    <w:p>
      <w:pPr>
        <w:spacing w:after="0" w:line="186" w:lineRule="exact"/>
        <w:rPr>
          <w:rFonts w:ascii="Arial" w:cs="Arial" w:eastAsia="Arial" w:hAnsi="Arial"/>
          <w:sz w:val="18"/>
          <w:szCs w:val="18"/>
          <w:color w:val="auto"/>
        </w:rPr>
      </w:pPr>
    </w:p>
    <w:p>
      <w:pPr>
        <w:jc w:val="both"/>
        <w:ind w:left="-480" w:firstLine="648"/>
        <w:spacing w:after="0" w:line="258" w:lineRule="auto"/>
        <w:tabs>
          <w:tab w:leader="none" w:pos="323"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Voluntary Adjustment By Company</w:t>
      </w:r>
      <w:r>
        <w:rPr>
          <w:rFonts w:ascii="Arial" w:cs="Arial" w:eastAsia="Arial" w:hAnsi="Arial"/>
          <w:sz w:val="18"/>
          <w:szCs w:val="18"/>
          <w:color w:val="auto"/>
        </w:rPr>
        <w:t>. Subject to the rules and regulations of the Trading Market, the Company may at any time during the term of this Warrant, subject to the prior written consent of the Holder, reduce the then current Exercise Price to any amount and for any period of time deemed appropriate by the board of directors of the Company.</w:t>
      </w:r>
    </w:p>
    <w:p>
      <w:pPr>
        <w:spacing w:after="0" w:line="186" w:lineRule="exact"/>
        <w:rPr>
          <w:rFonts w:ascii="Arial" w:cs="Arial" w:eastAsia="Arial" w:hAnsi="Arial"/>
          <w:sz w:val="18"/>
          <w:szCs w:val="18"/>
          <w:color w:val="auto"/>
        </w:rPr>
      </w:pPr>
    </w:p>
    <w:p>
      <w:pPr>
        <w:ind w:left="360" w:hanging="192"/>
        <w:spacing w:after="0"/>
        <w:tabs>
          <w:tab w:leader="none" w:pos="36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Notice to Holder</w:t>
      </w:r>
      <w:r>
        <w:rPr>
          <w:rFonts w:ascii="Arial" w:cs="Arial" w:eastAsia="Arial" w:hAnsi="Arial"/>
          <w:sz w:val="18"/>
          <w:szCs w:val="18"/>
          <w:color w:val="auto"/>
        </w:rPr>
        <w:t>.</w:t>
      </w:r>
    </w:p>
    <w:p>
      <w:pPr>
        <w:spacing w:after="0" w:line="219" w:lineRule="exact"/>
        <w:rPr>
          <w:rFonts w:ascii="Arial" w:cs="Arial" w:eastAsia="Arial" w:hAnsi="Arial"/>
          <w:sz w:val="18"/>
          <w:szCs w:val="18"/>
          <w:color w:val="auto"/>
        </w:rPr>
      </w:pPr>
    </w:p>
    <w:p>
      <w:pPr>
        <w:jc w:val="both"/>
        <w:ind w:left="800" w:firstLine="649"/>
        <w:spacing w:after="0" w:line="306" w:lineRule="auto"/>
        <w:tabs>
          <w:tab w:leader="none" w:pos="1579" w:val="left"/>
        </w:tabs>
        <w:numPr>
          <w:ilvl w:val="1"/>
          <w:numId w:val="13"/>
        </w:numPr>
        <w:rPr>
          <w:rFonts w:ascii="Arial" w:cs="Arial" w:eastAsia="Arial" w:hAnsi="Arial"/>
          <w:sz w:val="16"/>
          <w:szCs w:val="16"/>
          <w:color w:val="auto"/>
        </w:rPr>
      </w:pPr>
      <w:r>
        <w:rPr>
          <w:rFonts w:ascii="Arial" w:cs="Arial" w:eastAsia="Arial" w:hAnsi="Arial"/>
          <w:sz w:val="16"/>
          <w:szCs w:val="16"/>
          <w:u w:val="single" w:color="auto"/>
          <w:color w:val="auto"/>
        </w:rPr>
        <w:t>Adjustment to Exercise Price</w:t>
      </w:r>
      <w:r>
        <w:rPr>
          <w:rFonts w:ascii="Arial" w:cs="Arial" w:eastAsia="Arial" w:hAnsi="Arial"/>
          <w:sz w:val="16"/>
          <w:szCs w:val="16"/>
          <w:color w:val="auto"/>
        </w:rPr>
        <w:t>. Whenever the Exercise Price is adjusted pursuant to any provision of this Section 3, the Company shall promptly deliver to the Holder by email a notice setting forth the Exercise Price after such adjustment and any resulting adjustment to the number of Warrant Shares and setting forth a brief statement of the facts requiring such adjustment.</w:t>
      </w:r>
    </w:p>
    <w:p>
      <w:pPr>
        <w:spacing w:after="0" w:line="364"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13335</wp:posOffset>
            </wp:positionV>
            <wp:extent cx="71342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0120"/>
          </w:cols>
          <w:pgMar w:left="1440" w:top="899" w:right="339" w:bottom="1440" w:gutter="0" w:footer="0" w:header="0"/>
        </w:sectPr>
      </w:pPr>
    </w:p>
    <w:bookmarkStart w:id="14" w:name="page15"/>
    <w:bookmarkEnd w:id="14"/>
    <w:p>
      <w:pPr>
        <w:jc w:val="both"/>
        <w:ind w:left="1280" w:firstLine="649"/>
        <w:spacing w:after="0" w:line="280" w:lineRule="auto"/>
        <w:tabs>
          <w:tab w:leader="none" w:pos="2135" w:val="left"/>
        </w:tabs>
        <w:numPr>
          <w:ilvl w:val="0"/>
          <w:numId w:val="14"/>
        </w:numPr>
        <w:rPr>
          <w:rFonts w:ascii="Arial" w:cs="Arial" w:eastAsia="Arial" w:hAnsi="Arial"/>
          <w:sz w:val="16"/>
          <w:szCs w:val="16"/>
          <w:color w:val="auto"/>
        </w:rPr>
      </w:pPr>
      <w:r>
        <w:rPr>
          <w:rFonts w:ascii="Arial" w:cs="Arial" w:eastAsia="Arial" w:hAnsi="Arial"/>
          <w:sz w:val="16"/>
          <w:szCs w:val="16"/>
          <w:u w:val="single" w:color="auto"/>
          <w:color w:val="auto"/>
        </w:rPr>
        <w:t>Notice to Allow Exercise by Holder</w:t>
      </w:r>
      <w:r>
        <w:rPr>
          <w:rFonts w:ascii="Arial" w:cs="Arial" w:eastAsia="Arial" w:hAnsi="Arial"/>
          <w:sz w:val="16"/>
          <w:szCs w:val="16"/>
          <w:color w:val="auto"/>
        </w:rPr>
        <w:t>. If (A) the Company shall declare a dividend (or any other distribution on Common Shares in whatever form) on the Common Shares, (B) the Company shall declare a special nonrecurring cash dividend on or a redemption of the Common Shares, (C) the Company shall authorize the granting to all holders of the Common Shares rights or warrants to subscribe for or purchase any shares of any class or of any rights, (D) the approval of any shareholders of the Company shall be required in connection with any reclassification of the Common Shares, any consolidation or merger to which the Company (and all of its Subsidiaries, taken as a whole) is a party, any sale or transfer of all or substantially all of the assets of the Company, or any compulsory share exchange whereby the Common Shares are converted into other securities, cash or property, or (E) the Company shall authorize the voluntary or involuntary dissolution, liquidation or winding up of the affairs of the Company, then, in each case, the Company shall cause to be delivered by email to the Holder at its last email address as it shall appear upon the Warrant Register (as defined below) of the Company, at least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Shares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Shares of record shall be entitled to exchange their Common Shares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Notwithstanding the foregoing, to the extent that any notice to be provided in this Warrant constitutes, or contains, material, non-public information regarding the Company or any of the Subsidiaries, the Company may delay such notice until such time as the Company would otherwise make a public announcement of such notice or information, whether by a Current Report on Form 8-K or otherwise. The Holder shall remain entitled to exercise this Warrant during the period commencing on the date of such notice to the effective date of the event triggering such notice except as may otherwise be expressly set forth herein.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w:t>
      </w:r>
      <w:r>
        <w:rPr>
          <w:rFonts w:ascii="Arial" w:cs="Arial" w:eastAsia="Arial" w:hAnsi="Arial"/>
          <w:sz w:val="18"/>
          <w:szCs w:val="18"/>
          <w:u w:val="single" w:color="auto"/>
          <w:color w:val="auto"/>
        </w:rPr>
        <w:t>Transfer of Warrant</w:t>
      </w:r>
      <w:r>
        <w:rPr>
          <w:rFonts w:ascii="Arial" w:cs="Arial" w:eastAsia="Arial" w:hAnsi="Arial"/>
          <w:sz w:val="18"/>
          <w:szCs w:val="18"/>
          <w:color w:val="auto"/>
        </w:rPr>
        <w:t>.</w:t>
      </w:r>
    </w:p>
    <w:p>
      <w:pPr>
        <w:spacing w:after="0" w:line="220" w:lineRule="exact"/>
        <w:rPr>
          <w:sz w:val="20"/>
          <w:szCs w:val="20"/>
          <w:color w:val="auto"/>
        </w:rPr>
      </w:pPr>
    </w:p>
    <w:p>
      <w:pPr>
        <w:jc w:val="both"/>
        <w:ind w:firstLine="648"/>
        <w:spacing w:after="0" w:line="283" w:lineRule="auto"/>
        <w:tabs>
          <w:tab w:leader="none" w:pos="823" w:val="left"/>
        </w:tabs>
        <w:numPr>
          <w:ilvl w:val="0"/>
          <w:numId w:val="15"/>
        </w:numPr>
        <w:rPr>
          <w:rFonts w:ascii="Arial" w:cs="Arial" w:eastAsia="Arial" w:hAnsi="Arial"/>
          <w:sz w:val="16"/>
          <w:szCs w:val="16"/>
          <w:color w:val="auto"/>
        </w:rPr>
      </w:pPr>
      <w:r>
        <w:rPr>
          <w:rFonts w:ascii="Arial" w:cs="Arial" w:eastAsia="Arial" w:hAnsi="Arial"/>
          <w:sz w:val="16"/>
          <w:szCs w:val="16"/>
          <w:u w:val="single" w:color="auto"/>
          <w:color w:val="auto"/>
        </w:rPr>
        <w:t>Transferability</w:t>
      </w:r>
      <w:r>
        <w:rPr>
          <w:rFonts w:ascii="Arial" w:cs="Arial" w:eastAsia="Arial" w:hAnsi="Arial"/>
          <w:sz w:val="16"/>
          <w:szCs w:val="16"/>
          <w:color w:val="auto"/>
        </w:rPr>
        <w:t>. This Warrant and all rights hereunder (including, without limitation, any registration rights) are transferable, in whole or in part, upon surrender of this Warrant at the principal office of the Company or its designated agent, which may be accepted via email, together with a written assignment of this Warrant substantially in the form attached hereto duly executed by the Holder or its agent or attorney and funds sufficient to pay any transfer taxes payable upon the making of such transfer, subject to compliance with applicable securities laws.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of the date on which the Holder delivers an assignment form to the Company assigning this Warrant in full. The Warrant, if properly assigned in accordance herewith, may be exercised by a new holder for the purchase of Warrant Shares without having a new Warrant issued. Notwithstanding the foregoing, each Holder hereby covenants and agrees in favour of the Company that it will not sell, transfer or assign any Warrants or any Warrant Shares to any Canadian resident or any person for subsequent resale to a Canadian resident for a period of four months and a day after the Issue Date.</w:t>
      </w:r>
    </w:p>
    <w:p>
      <w:pPr>
        <w:spacing w:after="0" w:line="382"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13335</wp:posOffset>
            </wp:positionV>
            <wp:extent cx="71342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0600"/>
          </w:cols>
          <w:pgMar w:left="960" w:top="899" w:right="339" w:bottom="1440" w:gutter="0" w:footer="0" w:header="0"/>
        </w:sectPr>
      </w:pPr>
    </w:p>
    <w:bookmarkStart w:id="15" w:name="page16"/>
    <w:bookmarkEnd w:id="15"/>
    <w:p>
      <w:pPr>
        <w:jc w:val="both"/>
        <w:ind w:firstLine="648"/>
        <w:spacing w:after="0" w:line="289" w:lineRule="auto"/>
        <w:tabs>
          <w:tab w:leader="none" w:pos="846" w:val="left"/>
        </w:tabs>
        <w:numPr>
          <w:ilvl w:val="0"/>
          <w:numId w:val="16"/>
        </w:numPr>
        <w:rPr>
          <w:rFonts w:ascii="Arial" w:cs="Arial" w:eastAsia="Arial" w:hAnsi="Arial"/>
          <w:sz w:val="16"/>
          <w:szCs w:val="16"/>
          <w:color w:val="auto"/>
        </w:rPr>
      </w:pPr>
      <w:r>
        <w:rPr>
          <w:rFonts w:ascii="Arial" w:cs="Arial" w:eastAsia="Arial" w:hAnsi="Arial"/>
          <w:sz w:val="16"/>
          <w:szCs w:val="16"/>
          <w:u w:val="single" w:color="auto"/>
          <w:color w:val="auto"/>
        </w:rPr>
        <w:t>New Warrants</w:t>
      </w:r>
      <w:r>
        <w:rPr>
          <w:rFonts w:ascii="Arial" w:cs="Arial" w:eastAsia="Arial" w:hAnsi="Arial"/>
          <w:sz w:val="16"/>
          <w:szCs w:val="16"/>
          <w:color w:val="auto"/>
        </w:rPr>
        <w:t>. This Warrant may be divided or combined with other Warrants upon presentation hereof at the aforesaid office of the Company or its designated agent, which may be accepted via email,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original Issue Date and shall be identical with this Warrant except as to the number of Warrant Shares issuable pursuant thereto.</w:t>
      </w:r>
    </w:p>
    <w:p>
      <w:pPr>
        <w:spacing w:after="0" w:line="165" w:lineRule="exact"/>
        <w:rPr>
          <w:rFonts w:ascii="Arial" w:cs="Arial" w:eastAsia="Arial" w:hAnsi="Arial"/>
          <w:sz w:val="16"/>
          <w:szCs w:val="16"/>
          <w:color w:val="auto"/>
        </w:rPr>
      </w:pPr>
    </w:p>
    <w:p>
      <w:pPr>
        <w:jc w:val="both"/>
        <w:ind w:firstLine="648"/>
        <w:spacing w:after="0" w:line="255" w:lineRule="auto"/>
        <w:tabs>
          <w:tab w:leader="none" w:pos="836"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Warrant Register</w:t>
      </w:r>
      <w:r>
        <w:rPr>
          <w:rFonts w:ascii="Arial" w:cs="Arial" w:eastAsia="Arial" w:hAnsi="Arial"/>
          <w:sz w:val="18"/>
          <w:szCs w:val="18"/>
          <w:color w:val="auto"/>
        </w:rPr>
        <w:t>. The Company shall register this Warrant, upon records to be maintained by the Company or the Transfer Agent for that purpose (the “</w:t>
      </w:r>
      <w:r>
        <w:rPr>
          <w:rFonts w:ascii="Arial" w:cs="Arial" w:eastAsia="Arial" w:hAnsi="Arial"/>
          <w:sz w:val="18"/>
          <w:szCs w:val="18"/>
          <w:u w:val="single" w:color="auto"/>
          <w:color w:val="auto"/>
        </w:rPr>
        <w:t>Warrant Register</w:t>
      </w:r>
      <w:r>
        <w:rPr>
          <w:rFonts w:ascii="Arial" w:cs="Arial" w:eastAsia="Arial" w:hAnsi="Arial"/>
          <w:sz w:val="18"/>
          <w:szCs w:val="18"/>
          <w:color w:val="auto"/>
        </w:rPr>
        <w:t>”),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w:t>
      </w: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0" w:lineRule="exact"/>
        <w:rPr>
          <w:sz w:val="20"/>
          <w:szCs w:val="20"/>
          <w:color w:val="auto"/>
        </w:rPr>
      </w:pPr>
    </w:p>
    <w:p>
      <w:pPr>
        <w:jc w:val="both"/>
        <w:ind w:firstLine="648"/>
        <w:spacing w:after="0" w:line="296" w:lineRule="auto"/>
        <w:tabs>
          <w:tab w:leader="none" w:pos="823" w:val="left"/>
        </w:tabs>
        <w:numPr>
          <w:ilvl w:val="0"/>
          <w:numId w:val="17"/>
        </w:numPr>
        <w:rPr>
          <w:rFonts w:ascii="Arial" w:cs="Arial" w:eastAsia="Arial" w:hAnsi="Arial"/>
          <w:sz w:val="16"/>
          <w:szCs w:val="16"/>
          <w:color w:val="auto"/>
        </w:rPr>
      </w:pPr>
      <w:r>
        <w:rPr>
          <w:rFonts w:ascii="Arial" w:cs="Arial" w:eastAsia="Arial" w:hAnsi="Arial"/>
          <w:sz w:val="16"/>
          <w:szCs w:val="16"/>
          <w:u w:val="single" w:color="auto"/>
          <w:color w:val="auto"/>
        </w:rPr>
        <w:t>No Rights as Shareholder Until Exercise; No Settlement in Cash</w:t>
      </w:r>
      <w:r>
        <w:rPr>
          <w:rFonts w:ascii="Arial" w:cs="Arial" w:eastAsia="Arial" w:hAnsi="Arial"/>
          <w:sz w:val="16"/>
          <w:szCs w:val="16"/>
          <w:color w:val="auto"/>
        </w:rPr>
        <w:t>. This Warrant does not entitle the Holder to any voting rights, dividends or other rights as a shareholder of the Company prior to the exercise hereof as set forth in Section 2(d)(i), except as expressly set forth in Section 3. Without limiting any rights of a Holder to receive Warrant Shares on a “cashless exercise” pursuant to Section 2(c) or to receive cash payments pursuant to Section 2(d)(i) and Section 2(d)(iv) herein, in no event shall the Company be required to net cash settle an exercise of this Warrant.</w:t>
      </w:r>
    </w:p>
    <w:p>
      <w:pPr>
        <w:spacing w:after="0" w:line="159" w:lineRule="exact"/>
        <w:rPr>
          <w:rFonts w:ascii="Arial" w:cs="Arial" w:eastAsia="Arial" w:hAnsi="Arial"/>
          <w:sz w:val="16"/>
          <w:szCs w:val="16"/>
          <w:color w:val="auto"/>
        </w:rPr>
      </w:pPr>
    </w:p>
    <w:p>
      <w:pPr>
        <w:jc w:val="both"/>
        <w:ind w:firstLine="648"/>
        <w:spacing w:after="0" w:line="292" w:lineRule="auto"/>
        <w:tabs>
          <w:tab w:leader="none" w:pos="833" w:val="left"/>
        </w:tabs>
        <w:numPr>
          <w:ilvl w:val="0"/>
          <w:numId w:val="17"/>
        </w:numPr>
        <w:rPr>
          <w:rFonts w:ascii="Arial" w:cs="Arial" w:eastAsia="Arial" w:hAnsi="Arial"/>
          <w:sz w:val="16"/>
          <w:szCs w:val="16"/>
          <w:color w:val="auto"/>
        </w:rPr>
      </w:pPr>
      <w:r>
        <w:rPr>
          <w:rFonts w:ascii="Arial" w:cs="Arial" w:eastAsia="Arial" w:hAnsi="Arial"/>
          <w:sz w:val="16"/>
          <w:szCs w:val="16"/>
          <w:u w:val="single" w:color="auto"/>
          <w:color w:val="auto"/>
        </w:rPr>
        <w:t>Loss, Theft, Destruction or Mutilation of Warrant</w:t>
      </w:r>
      <w:r>
        <w:rPr>
          <w:rFonts w:ascii="Arial" w:cs="Arial" w:eastAsia="Arial" w:hAnsi="Arial"/>
          <w:sz w:val="16"/>
          <w:szCs w:val="16"/>
          <w:color w:val="auto"/>
        </w:rPr>
        <w:t>. The Company covenants that upon receipt by the Company of evidence reasonably satisfactory to it of the loss, theft, destruction or mutilation of this Warrant or any share certificate relating to the Warrant Shares, and in case of loss, theft or destruction, of indemnity or security reasonably satisfactory to it (which, in the case of the Warrant, shall not include the posting of any bond), and upon surrender and cancellation of such Warrant or share certificate, if mutilated, the Company will make and deliver a new Warrant or share certificate of like tenor and dated as of such cancellation, in lieu of such Warrant or share certificate.</w:t>
      </w:r>
    </w:p>
    <w:p>
      <w:pPr>
        <w:spacing w:after="0" w:line="161" w:lineRule="exact"/>
        <w:rPr>
          <w:rFonts w:ascii="Arial" w:cs="Arial" w:eastAsia="Arial" w:hAnsi="Arial"/>
          <w:sz w:val="16"/>
          <w:szCs w:val="16"/>
          <w:color w:val="auto"/>
        </w:rPr>
      </w:pPr>
    </w:p>
    <w:p>
      <w:pPr>
        <w:ind w:right="20" w:firstLine="648"/>
        <w:spacing w:after="0" w:line="333" w:lineRule="auto"/>
        <w:tabs>
          <w:tab w:leader="none" w:pos="836" w:val="left"/>
        </w:tabs>
        <w:numPr>
          <w:ilvl w:val="0"/>
          <w:numId w:val="17"/>
        </w:numPr>
        <w:rPr>
          <w:rFonts w:ascii="Arial" w:cs="Arial" w:eastAsia="Arial" w:hAnsi="Arial"/>
          <w:sz w:val="16"/>
          <w:szCs w:val="16"/>
          <w:color w:val="auto"/>
        </w:rPr>
      </w:pPr>
      <w:r>
        <w:rPr>
          <w:rFonts w:ascii="Arial" w:cs="Arial" w:eastAsia="Arial" w:hAnsi="Arial"/>
          <w:sz w:val="16"/>
          <w:szCs w:val="16"/>
          <w:u w:val="single" w:color="auto"/>
          <w:color w:val="auto"/>
        </w:rPr>
        <w:t>Saturdays, Sundays, Holidays, etc</w:t>
      </w:r>
      <w:r>
        <w:rPr>
          <w:rFonts w:ascii="Arial" w:cs="Arial" w:eastAsia="Arial" w:hAnsi="Arial"/>
          <w:sz w:val="16"/>
          <w:szCs w:val="16"/>
          <w:color w:val="auto"/>
        </w:rPr>
        <w:t>. If the last or appointed day for the taking of any action or the expiration of any right required or granted herein shall not be a Trading Day, then such action may be taken or such right may be exercised on the next succeeding Trading Day.</w:t>
      </w:r>
    </w:p>
    <w:p>
      <w:pPr>
        <w:spacing w:after="0" w:line="129" w:lineRule="exact"/>
        <w:rPr>
          <w:rFonts w:ascii="Arial" w:cs="Arial" w:eastAsia="Arial" w:hAnsi="Arial"/>
          <w:sz w:val="16"/>
          <w:szCs w:val="16"/>
          <w:color w:val="auto"/>
        </w:rPr>
      </w:pPr>
    </w:p>
    <w:p>
      <w:pPr>
        <w:ind w:left="840" w:hanging="192"/>
        <w:spacing w:after="0"/>
        <w:tabs>
          <w:tab w:leader="none" w:pos="84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Authorized Shares</w:t>
      </w:r>
      <w:r>
        <w:rPr>
          <w:rFonts w:ascii="Arial" w:cs="Arial" w:eastAsia="Arial" w:hAnsi="Arial"/>
          <w:sz w:val="18"/>
          <w:szCs w:val="18"/>
          <w:color w:val="auto"/>
        </w:rPr>
        <w:t>.</w:t>
      </w:r>
    </w:p>
    <w:p>
      <w:pPr>
        <w:spacing w:after="0" w:line="220" w:lineRule="exact"/>
        <w:rPr>
          <w:sz w:val="20"/>
          <w:szCs w:val="20"/>
          <w:color w:val="auto"/>
        </w:rPr>
      </w:pPr>
    </w:p>
    <w:p>
      <w:pPr>
        <w:jc w:val="both"/>
        <w:ind w:left="640" w:firstLine="640"/>
        <w:spacing w:after="0" w:line="284" w:lineRule="auto"/>
        <w:rPr>
          <w:sz w:val="20"/>
          <w:szCs w:val="20"/>
          <w:color w:val="auto"/>
        </w:rPr>
      </w:pPr>
      <w:r>
        <w:rPr>
          <w:rFonts w:ascii="Arial" w:cs="Arial" w:eastAsia="Arial" w:hAnsi="Arial"/>
          <w:sz w:val="16"/>
          <w:szCs w:val="16"/>
          <w:color w:val="auto"/>
        </w:rPr>
        <w:t>The Company covenants that, during the period the Warrant is outstanding, it will reserve from its authorized and unissued Common Shares a sufficient number of Common Shares to provide for the issuance of the Warrant Shares upon the exercise of any purchase rights under this Warrant. The Company further covenants that its issuance of this Warrant shall constitute full authority to its officers who are charged with the duty of issuing the necessary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upon which the Common Shares may be listed.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spacing w:after="0" w:line="385"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13335</wp:posOffset>
            </wp:positionV>
            <wp:extent cx="713422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0600"/>
          </w:cols>
          <w:pgMar w:left="960" w:top="899" w:right="339" w:bottom="1440" w:gutter="0" w:footer="0" w:header="0"/>
        </w:sectPr>
      </w:pPr>
    </w:p>
    <w:bookmarkStart w:id="16" w:name="page17"/>
    <w:bookmarkEnd w:id="16"/>
    <w:p>
      <w:pPr>
        <w:jc w:val="both"/>
        <w:ind w:left="420" w:firstLine="640"/>
        <w:spacing w:after="0" w:line="284" w:lineRule="auto"/>
        <w:rPr>
          <w:sz w:val="20"/>
          <w:szCs w:val="20"/>
          <w:color w:val="auto"/>
        </w:rPr>
      </w:pPr>
      <w:r>
        <w:rPr>
          <w:rFonts w:ascii="Arial" w:cs="Arial" w:eastAsia="Arial" w:hAnsi="Arial"/>
          <w:sz w:val="16"/>
          <w:szCs w:val="16"/>
          <w:color w:val="auto"/>
        </w:rPr>
        <w:t>Except and to the extent as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spacing w:after="0" w:line="171" w:lineRule="exact"/>
        <w:rPr>
          <w:sz w:val="20"/>
          <w:szCs w:val="20"/>
          <w:color w:val="auto"/>
        </w:rPr>
      </w:pPr>
    </w:p>
    <w:p>
      <w:pPr>
        <w:jc w:val="both"/>
        <w:ind w:left="420" w:firstLine="640"/>
        <w:spacing w:after="0" w:line="258" w:lineRule="auto"/>
        <w:rPr>
          <w:sz w:val="20"/>
          <w:szCs w:val="20"/>
          <w:color w:val="auto"/>
        </w:rPr>
      </w:pPr>
      <w:r>
        <w:rPr>
          <w:rFonts w:ascii="Arial" w:cs="Arial" w:eastAsia="Arial" w:hAnsi="Arial"/>
          <w:sz w:val="18"/>
          <w:szCs w:val="18"/>
          <w:color w:val="auto"/>
        </w:rPr>
        <w:t>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spacing w:after="0" w:line="186" w:lineRule="exact"/>
        <w:rPr>
          <w:sz w:val="20"/>
          <w:szCs w:val="20"/>
          <w:color w:val="auto"/>
        </w:rPr>
      </w:pPr>
    </w:p>
    <w:p>
      <w:pPr>
        <w:ind w:left="-220" w:firstLine="648"/>
        <w:spacing w:after="0" w:line="270" w:lineRule="auto"/>
        <w:tabs>
          <w:tab w:leader="none" w:pos="616"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Jurisdiction</w:t>
      </w:r>
      <w:r>
        <w:rPr>
          <w:rFonts w:ascii="Arial" w:cs="Arial" w:eastAsia="Arial" w:hAnsi="Arial"/>
          <w:sz w:val="18"/>
          <w:szCs w:val="18"/>
          <w:color w:val="auto"/>
        </w:rPr>
        <w:t>. All questions concerning the construction, validity, enforcement and interpretation of this Warrant shall be determined in accordance with the provisions of the Purchase Agreement.</w:t>
      </w:r>
    </w:p>
    <w:p>
      <w:pPr>
        <w:spacing w:after="0" w:line="174" w:lineRule="exact"/>
        <w:rPr>
          <w:rFonts w:ascii="Arial" w:cs="Arial" w:eastAsia="Arial" w:hAnsi="Arial"/>
          <w:sz w:val="18"/>
          <w:szCs w:val="18"/>
          <w:color w:val="auto"/>
        </w:rPr>
      </w:pPr>
    </w:p>
    <w:p>
      <w:pPr>
        <w:ind w:left="-220" w:firstLine="648"/>
        <w:spacing w:after="0" w:line="300" w:lineRule="auto"/>
        <w:tabs>
          <w:tab w:leader="none" w:pos="597" w:val="left"/>
        </w:tabs>
        <w:numPr>
          <w:ilvl w:val="0"/>
          <w:numId w:val="18"/>
        </w:numPr>
        <w:rPr>
          <w:rFonts w:ascii="Arial" w:cs="Arial" w:eastAsia="Arial" w:hAnsi="Arial"/>
          <w:sz w:val="17"/>
          <w:szCs w:val="17"/>
          <w:color w:val="auto"/>
        </w:rPr>
      </w:pPr>
      <w:r>
        <w:rPr>
          <w:rFonts w:ascii="Arial" w:cs="Arial" w:eastAsia="Arial" w:hAnsi="Arial"/>
          <w:sz w:val="17"/>
          <w:szCs w:val="17"/>
          <w:u w:val="single" w:color="auto"/>
          <w:color w:val="auto"/>
        </w:rPr>
        <w:t>Restrictions</w:t>
      </w:r>
      <w:r>
        <w:rPr>
          <w:rFonts w:ascii="Arial" w:cs="Arial" w:eastAsia="Arial" w:hAnsi="Arial"/>
          <w:sz w:val="17"/>
          <w:szCs w:val="17"/>
          <w:color w:val="auto"/>
        </w:rPr>
        <w:t>. The Holder acknowledges that the Warrant Shares acquired upon the exercise of this Warrant, if not registered, and the Holder does not utilize cashless exercise, will have restrictions upon resale imposed by state and federal securities laws.</w:t>
      </w:r>
    </w:p>
    <w:p>
      <w:pPr>
        <w:spacing w:after="0" w:line="151" w:lineRule="exact"/>
        <w:rPr>
          <w:rFonts w:ascii="Arial" w:cs="Arial" w:eastAsia="Arial" w:hAnsi="Arial"/>
          <w:sz w:val="17"/>
          <w:szCs w:val="17"/>
          <w:color w:val="auto"/>
        </w:rPr>
      </w:pPr>
    </w:p>
    <w:p>
      <w:pPr>
        <w:jc w:val="both"/>
        <w:ind w:left="-220" w:firstLine="648"/>
        <w:spacing w:after="0" w:line="269" w:lineRule="auto"/>
        <w:tabs>
          <w:tab w:leader="none" w:pos="613" w:val="left"/>
        </w:tabs>
        <w:numPr>
          <w:ilvl w:val="0"/>
          <w:numId w:val="18"/>
        </w:numPr>
        <w:rPr>
          <w:rFonts w:ascii="Arial" w:cs="Arial" w:eastAsia="Arial" w:hAnsi="Arial"/>
          <w:sz w:val="17"/>
          <w:szCs w:val="17"/>
          <w:color w:val="auto"/>
        </w:rPr>
      </w:pPr>
      <w:r>
        <w:rPr>
          <w:rFonts w:ascii="Arial" w:cs="Arial" w:eastAsia="Arial" w:hAnsi="Arial"/>
          <w:sz w:val="17"/>
          <w:szCs w:val="17"/>
          <w:u w:val="single" w:color="auto"/>
          <w:color w:val="auto"/>
        </w:rPr>
        <w:t>Nonwaiver and Expenses</w:t>
      </w:r>
      <w:r>
        <w:rPr>
          <w:rFonts w:ascii="Arial" w:cs="Arial" w:eastAsia="Arial" w:hAnsi="Arial"/>
          <w:sz w:val="17"/>
          <w:szCs w:val="17"/>
          <w:color w:val="auto"/>
        </w:rPr>
        <w:t>. No course of dealing or any delay or failure to exercise any right hereunder on the part of Holder shall operate as a waiver of such right or otherwise prejudice the Holder’s rights, powers or remedies. Without limiting any other provision of this Warrant or the Purchase Agreement,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spacing w:after="0" w:line="179" w:lineRule="exact"/>
        <w:rPr>
          <w:rFonts w:ascii="Arial" w:cs="Arial" w:eastAsia="Arial" w:hAnsi="Arial"/>
          <w:sz w:val="17"/>
          <w:szCs w:val="17"/>
          <w:color w:val="auto"/>
        </w:rPr>
      </w:pPr>
    </w:p>
    <w:p>
      <w:pPr>
        <w:jc w:val="both"/>
        <w:ind w:left="-220" w:firstLine="648"/>
        <w:spacing w:after="0" w:line="287" w:lineRule="auto"/>
        <w:tabs>
          <w:tab w:leader="none" w:pos="613" w:val="left"/>
        </w:tabs>
        <w:numPr>
          <w:ilvl w:val="0"/>
          <w:numId w:val="18"/>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Any notices, consents, waivers or other document or communications required or permitted to be given or delivered under the terms of this Warrant must be in writing and will be deemed to have been delivered: (i) upon receipt, if delivered personally; (ii) when sent, if sent by e-mail (provided that such sent e-mail is kept on file (whether electronically or otherwise) by the sending party and the sending party does not receive an automatically generated message from the recipient’s e-mail server that such e-mail could not be delivered to such recipient) and (iii) if sent by overnight courier service, one (1) Trading Day after deposit with an overnight courier service with next day delivery specified, in each case, properly addressed to the party to receive the same. If notice is given by email, a copy of such notice shall be dispatched no later than the next business day by first class mail, postage prepaid. The addresses and e-mail addresses for such communications shall be: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If to the Company:</w:t>
      </w:r>
    </w:p>
    <w:p>
      <w:pPr>
        <w:spacing w:after="0" w:line="22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c/o DuMoulin Black LLP</w:t>
      </w:r>
    </w:p>
    <w:p>
      <w:pPr>
        <w:spacing w:after="0" w:line="1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TMC the metals company Inc.</w:t>
      </w:r>
    </w:p>
    <w:p>
      <w:pPr>
        <w:spacing w:after="0" w:line="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595 Howe Street, 10th Floor</w:t>
      </w:r>
    </w:p>
    <w:p>
      <w:pPr>
        <w:spacing w:after="0" w:line="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Vancouver, British Columbia, V6C 2T5</w:t>
      </w:r>
    </w:p>
    <w:p>
      <w:pPr>
        <w:spacing w:after="0" w:line="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Attention: Chief Financial Officer</w:t>
      </w:r>
    </w:p>
    <w:p>
      <w:pPr>
        <w:spacing w:after="0" w:line="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Email: craig@metals.co</w:t>
      </w:r>
    </w:p>
    <w:p>
      <w:pPr>
        <w:spacing w:after="0" w:line="200" w:lineRule="exact"/>
        <w:rPr>
          <w:sz w:val="20"/>
          <w:szCs w:val="20"/>
          <w:color w:val="auto"/>
        </w:rPr>
      </w:pPr>
    </w:p>
    <w:p>
      <w:pPr>
        <w:spacing w:after="0" w:line="247"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13335</wp:posOffset>
            </wp:positionV>
            <wp:extent cx="713422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0380"/>
          </w:cols>
          <w:pgMar w:left="1180" w:top="899" w:right="339" w:bottom="1440" w:gutter="0" w:footer="0" w:header="0"/>
        </w:sectPr>
      </w:pPr>
    </w:p>
    <w:bookmarkStart w:id="17" w:name="page18"/>
    <w:bookmarkEnd w:id="17"/>
    <w:p>
      <w:pPr>
        <w:ind w:left="540"/>
        <w:spacing w:after="0"/>
        <w:rPr>
          <w:sz w:val="20"/>
          <w:szCs w:val="20"/>
          <w:color w:val="auto"/>
        </w:rPr>
      </w:pPr>
      <w:r>
        <w:rPr>
          <w:rFonts w:ascii="Arial" w:cs="Arial" w:eastAsia="Arial" w:hAnsi="Arial"/>
          <w:sz w:val="18"/>
          <w:szCs w:val="18"/>
          <w:color w:val="auto"/>
        </w:rPr>
        <w:t>With a copy (for informational purposes only) to:</w:t>
      </w:r>
    </w:p>
    <w:p>
      <w:pPr>
        <w:spacing w:after="0" w:line="220" w:lineRule="exact"/>
        <w:rPr>
          <w:sz w:val="20"/>
          <w:szCs w:val="20"/>
          <w:color w:val="auto"/>
        </w:rPr>
      </w:pPr>
    </w:p>
    <w:p>
      <w:pPr>
        <w:ind w:left="960"/>
        <w:spacing w:after="0"/>
        <w:rPr>
          <w:sz w:val="20"/>
          <w:szCs w:val="20"/>
          <w:color w:val="auto"/>
        </w:rPr>
      </w:pPr>
      <w:r>
        <w:rPr>
          <w:rFonts w:ascii="Arial" w:cs="Arial" w:eastAsia="Arial" w:hAnsi="Arial"/>
          <w:sz w:val="18"/>
          <w:szCs w:val="18"/>
          <w:color w:val="auto"/>
        </w:rPr>
        <w:t>Mintz, Levin, Cohn, Ferris, Glovsky and Popeo, P.C.</w:t>
      </w:r>
    </w:p>
    <w:p>
      <w:pPr>
        <w:spacing w:after="0" w:line="1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One Financial Center</w:t>
      </w:r>
    </w:p>
    <w:p>
      <w:pPr>
        <w:spacing w:after="0" w:line="6" w:lineRule="exact"/>
        <w:rPr>
          <w:sz w:val="20"/>
          <w:szCs w:val="20"/>
          <w:color w:val="auto"/>
        </w:rPr>
      </w:pPr>
    </w:p>
    <w:p>
      <w:pPr>
        <w:ind w:left="960"/>
        <w:spacing w:after="0"/>
        <w:rPr>
          <w:sz w:val="20"/>
          <w:szCs w:val="20"/>
          <w:color w:val="auto"/>
        </w:rPr>
      </w:pPr>
      <w:r>
        <w:rPr>
          <w:rFonts w:ascii="Arial" w:cs="Arial" w:eastAsia="Arial" w:hAnsi="Arial"/>
          <w:sz w:val="18"/>
          <w:szCs w:val="18"/>
          <w:color w:val="auto"/>
        </w:rPr>
        <w:t>Boston, MA 02111</w:t>
      </w:r>
    </w:p>
    <w:p>
      <w:pPr>
        <w:spacing w:after="0" w:line="6" w:lineRule="exact"/>
        <w:rPr>
          <w:sz w:val="20"/>
          <w:szCs w:val="20"/>
          <w:color w:val="auto"/>
        </w:rPr>
      </w:pPr>
    </w:p>
    <w:p>
      <w:pPr>
        <w:ind w:left="960"/>
        <w:spacing w:after="0"/>
        <w:rPr>
          <w:sz w:val="20"/>
          <w:szCs w:val="20"/>
          <w:color w:val="auto"/>
        </w:rPr>
      </w:pPr>
      <w:r>
        <w:rPr>
          <w:rFonts w:ascii="Arial" w:cs="Arial" w:eastAsia="Arial" w:hAnsi="Arial"/>
          <w:sz w:val="18"/>
          <w:szCs w:val="18"/>
          <w:color w:val="auto"/>
        </w:rPr>
        <w:t>E-mail: dtkajunski@mintz.com</w:t>
      </w:r>
    </w:p>
    <w:p>
      <w:pPr>
        <w:spacing w:after="0" w:line="6" w:lineRule="exact"/>
        <w:rPr>
          <w:sz w:val="20"/>
          <w:szCs w:val="20"/>
          <w:color w:val="auto"/>
        </w:rPr>
      </w:pPr>
    </w:p>
    <w:p>
      <w:pPr>
        <w:ind w:left="960"/>
        <w:spacing w:after="0"/>
        <w:rPr>
          <w:sz w:val="20"/>
          <w:szCs w:val="20"/>
          <w:color w:val="auto"/>
        </w:rPr>
      </w:pPr>
      <w:r>
        <w:rPr>
          <w:rFonts w:ascii="Arial" w:cs="Arial" w:eastAsia="Arial" w:hAnsi="Arial"/>
          <w:sz w:val="18"/>
          <w:szCs w:val="18"/>
          <w:color w:val="auto"/>
        </w:rPr>
        <w:t>Attention: Daniel Kajunski, Esq.</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If to a Holder, to its address or e-mail address set forth herein or on the books and records of the Company.</w:t>
      </w:r>
    </w:p>
    <w:p>
      <w:pPr>
        <w:spacing w:after="0" w:line="220" w:lineRule="exact"/>
        <w:rPr>
          <w:sz w:val="20"/>
          <w:szCs w:val="20"/>
          <w:color w:val="auto"/>
        </w:rPr>
      </w:pPr>
    </w:p>
    <w:p>
      <w:pPr>
        <w:ind w:firstLine="320"/>
        <w:spacing w:after="0" w:line="286" w:lineRule="auto"/>
        <w:rPr>
          <w:sz w:val="20"/>
          <w:szCs w:val="20"/>
          <w:color w:val="auto"/>
        </w:rPr>
      </w:pPr>
      <w:r>
        <w:rPr>
          <w:rFonts w:ascii="Arial" w:cs="Arial" w:eastAsia="Arial" w:hAnsi="Arial"/>
          <w:sz w:val="16"/>
          <w:szCs w:val="16"/>
          <w:color w:val="auto"/>
        </w:rPr>
        <w:t>Or, in each of the above instances, to such other address or e-mail address and/or to the attention of such other Person as the recipient party has specified by written notice given to each other party at least five (5) days prior to the effectiveness of such change. Written confirmation of receipt</w:t>
      </w:r>
    </w:p>
    <w:p>
      <w:pPr>
        <w:spacing w:after="0" w:line="1" w:lineRule="exact"/>
        <w:rPr>
          <w:sz w:val="20"/>
          <w:szCs w:val="20"/>
          <w:color w:val="auto"/>
        </w:rPr>
      </w:pPr>
    </w:p>
    <w:p>
      <w:pPr>
        <w:jc w:val="both"/>
        <w:ind w:firstLine="7"/>
        <w:spacing w:after="0" w:line="250" w:lineRule="auto"/>
        <w:tabs>
          <w:tab w:leader="none" w:pos="305" w:val="left"/>
        </w:tabs>
        <w:numPr>
          <w:ilvl w:val="0"/>
          <w:numId w:val="19"/>
        </w:numPr>
        <w:rPr>
          <w:rFonts w:ascii="Arial" w:cs="Arial" w:eastAsia="Arial" w:hAnsi="Arial"/>
          <w:sz w:val="18"/>
          <w:szCs w:val="18"/>
          <w:color w:val="auto"/>
        </w:rPr>
      </w:pPr>
      <w:r>
        <w:rPr>
          <w:rFonts w:ascii="Arial" w:cs="Arial" w:eastAsia="Arial" w:hAnsi="Arial"/>
          <w:sz w:val="18"/>
          <w:szCs w:val="18"/>
          <w:color w:val="auto"/>
        </w:rPr>
        <w:t>given by the recipient of such notice, consent, waiver or other communication or (B) provided by an overnight courier service shall be rebuttable evidence of personal service, receipt from an overnight courier service in accordance with clause (i) or (iii) above, respectively. A copy of the e-mail transmission containing the time, date and recipient e- mail address shall be rebuttable evidence of receipt by e-mail in accordance with clause (ii) above.</w:t>
      </w:r>
    </w:p>
    <w:p>
      <w:pPr>
        <w:spacing w:after="0" w:line="191" w:lineRule="exact"/>
        <w:rPr>
          <w:rFonts w:ascii="Arial" w:cs="Arial" w:eastAsia="Arial" w:hAnsi="Arial"/>
          <w:sz w:val="18"/>
          <w:szCs w:val="18"/>
          <w:color w:val="auto"/>
        </w:rPr>
      </w:pPr>
    </w:p>
    <w:p>
      <w:pPr>
        <w:jc w:val="both"/>
        <w:ind w:left="320" w:firstLine="648"/>
        <w:spacing w:after="0" w:line="306" w:lineRule="auto"/>
        <w:tabs>
          <w:tab w:leader="none" w:pos="1113" w:val="left"/>
        </w:tabs>
        <w:numPr>
          <w:ilvl w:val="1"/>
          <w:numId w:val="19"/>
        </w:numPr>
        <w:rPr>
          <w:rFonts w:ascii="Arial" w:cs="Arial" w:eastAsia="Arial" w:hAnsi="Arial"/>
          <w:sz w:val="16"/>
          <w:szCs w:val="16"/>
          <w:color w:val="auto"/>
        </w:rPr>
      </w:pPr>
      <w:r>
        <w:rPr>
          <w:rFonts w:ascii="Arial" w:cs="Arial" w:eastAsia="Arial" w:hAnsi="Arial"/>
          <w:sz w:val="16"/>
          <w:szCs w:val="16"/>
          <w:u w:val="single" w:color="auto"/>
          <w:color w:val="auto"/>
        </w:rPr>
        <w:t>Limitation of Liability</w:t>
      </w:r>
      <w:r>
        <w:rPr>
          <w:rFonts w:ascii="Arial" w:cs="Arial" w:eastAsia="Arial" w:hAnsi="Arial"/>
          <w:sz w:val="16"/>
          <w:szCs w:val="16"/>
          <w:color w:val="auto"/>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Common Shares or as a shareholder of the Company, whether such liability is asserted by the Company or by creditors of the Company.</w:t>
      </w:r>
    </w:p>
    <w:p>
      <w:pPr>
        <w:spacing w:after="0" w:line="150" w:lineRule="exact"/>
        <w:rPr>
          <w:rFonts w:ascii="Arial" w:cs="Arial" w:eastAsia="Arial" w:hAnsi="Arial"/>
          <w:sz w:val="16"/>
          <w:szCs w:val="16"/>
          <w:color w:val="auto"/>
        </w:rPr>
      </w:pPr>
    </w:p>
    <w:p>
      <w:pPr>
        <w:jc w:val="both"/>
        <w:ind w:left="320" w:firstLine="648"/>
        <w:spacing w:after="0" w:line="255" w:lineRule="auto"/>
        <w:tabs>
          <w:tab w:leader="none" w:pos="1113" w:val="left"/>
        </w:tabs>
        <w:numPr>
          <w:ilvl w:val="1"/>
          <w:numId w:val="19"/>
        </w:numPr>
        <w:rPr>
          <w:rFonts w:ascii="Arial" w:cs="Arial" w:eastAsia="Arial" w:hAnsi="Arial"/>
          <w:sz w:val="18"/>
          <w:szCs w:val="18"/>
          <w:color w:val="auto"/>
        </w:rPr>
      </w:pPr>
      <w:r>
        <w:rPr>
          <w:rFonts w:ascii="Arial" w:cs="Arial" w:eastAsia="Arial" w:hAnsi="Arial"/>
          <w:sz w:val="18"/>
          <w:szCs w:val="18"/>
          <w:u w:val="single" w:color="auto"/>
          <w:color w:val="auto"/>
        </w:rPr>
        <w:t>Remedies</w:t>
      </w:r>
      <w:r>
        <w:rPr>
          <w:rFonts w:ascii="Arial" w:cs="Arial" w:eastAsia="Arial" w:hAnsi="Arial"/>
          <w:sz w:val="18"/>
          <w:szCs w:val="18"/>
          <w:color w:val="auto"/>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spacing w:after="0" w:line="187" w:lineRule="exact"/>
        <w:rPr>
          <w:rFonts w:ascii="Arial" w:cs="Arial" w:eastAsia="Arial" w:hAnsi="Arial"/>
          <w:sz w:val="18"/>
          <w:szCs w:val="18"/>
          <w:color w:val="auto"/>
        </w:rPr>
      </w:pPr>
    </w:p>
    <w:p>
      <w:pPr>
        <w:jc w:val="both"/>
        <w:ind w:left="320" w:firstLine="648"/>
        <w:spacing w:after="0" w:line="255" w:lineRule="auto"/>
        <w:tabs>
          <w:tab w:leader="none" w:pos="1153" w:val="left"/>
        </w:tabs>
        <w:numPr>
          <w:ilvl w:val="1"/>
          <w:numId w:val="19"/>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w:t>
      </w:r>
    </w:p>
    <w:p>
      <w:pPr>
        <w:spacing w:after="0" w:line="187" w:lineRule="exact"/>
        <w:rPr>
          <w:rFonts w:ascii="Arial" w:cs="Arial" w:eastAsia="Arial" w:hAnsi="Arial"/>
          <w:sz w:val="18"/>
          <w:szCs w:val="18"/>
          <w:color w:val="auto"/>
        </w:rPr>
      </w:pPr>
    </w:p>
    <w:p>
      <w:pPr>
        <w:ind w:left="1120" w:hanging="152"/>
        <w:spacing w:after="0"/>
        <w:tabs>
          <w:tab w:leader="none" w:pos="1120" w:val="left"/>
        </w:tabs>
        <w:numPr>
          <w:ilvl w:val="1"/>
          <w:numId w:val="19"/>
        </w:numPr>
        <w:rPr>
          <w:rFonts w:ascii="Arial" w:cs="Arial" w:eastAsia="Arial" w:hAnsi="Arial"/>
          <w:sz w:val="16"/>
          <w:szCs w:val="16"/>
          <w:color w:val="auto"/>
        </w:rPr>
      </w:pPr>
      <w:r>
        <w:rPr>
          <w:rFonts w:ascii="Arial" w:cs="Arial" w:eastAsia="Arial" w:hAnsi="Arial"/>
          <w:sz w:val="16"/>
          <w:szCs w:val="16"/>
          <w:u w:val="single" w:color="auto"/>
          <w:color w:val="auto"/>
        </w:rPr>
        <w:t>Amendment</w:t>
      </w:r>
      <w:r>
        <w:rPr>
          <w:rFonts w:ascii="Arial" w:cs="Arial" w:eastAsia="Arial" w:hAnsi="Arial"/>
          <w:sz w:val="16"/>
          <w:szCs w:val="16"/>
          <w:color w:val="auto"/>
        </w:rPr>
        <w:t>. This Warrant may be modified or amended or the provisions hereof waived with the written consent of the Company and</w:t>
      </w:r>
    </w:p>
    <w:p>
      <w:pPr>
        <w:spacing w:after="0" w:line="42" w:lineRule="exact"/>
        <w:rPr>
          <w:rFonts w:ascii="Arial" w:cs="Arial" w:eastAsia="Arial" w:hAnsi="Arial"/>
          <w:sz w:val="16"/>
          <w:szCs w:val="16"/>
          <w:color w:val="auto"/>
        </w:rPr>
      </w:pPr>
    </w:p>
    <w:p>
      <w:pPr>
        <w:ind w:left="320"/>
        <w:spacing w:after="0"/>
        <w:rPr>
          <w:rFonts w:ascii="Arial" w:cs="Arial" w:eastAsia="Arial" w:hAnsi="Arial"/>
          <w:sz w:val="16"/>
          <w:szCs w:val="16"/>
          <w:color w:val="auto"/>
        </w:rPr>
      </w:pPr>
      <w:r>
        <w:rPr>
          <w:rFonts w:ascii="Arial" w:cs="Arial" w:eastAsia="Arial" w:hAnsi="Arial"/>
          <w:sz w:val="18"/>
          <w:szCs w:val="18"/>
          <w:color w:val="auto"/>
        </w:rPr>
        <w:t>the Holder.</w:t>
      </w:r>
    </w:p>
    <w:p>
      <w:pPr>
        <w:spacing w:after="0" w:line="206" w:lineRule="exact"/>
        <w:rPr>
          <w:rFonts w:ascii="Arial" w:cs="Arial" w:eastAsia="Arial" w:hAnsi="Arial"/>
          <w:sz w:val="16"/>
          <w:szCs w:val="16"/>
          <w:color w:val="auto"/>
        </w:rPr>
      </w:pPr>
    </w:p>
    <w:p>
      <w:pPr>
        <w:jc w:val="both"/>
        <w:ind w:left="320" w:firstLine="648"/>
        <w:spacing w:after="0" w:line="306" w:lineRule="auto"/>
        <w:tabs>
          <w:tab w:leader="none" w:pos="1202" w:val="left"/>
        </w:tabs>
        <w:numPr>
          <w:ilvl w:val="1"/>
          <w:numId w:val="19"/>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spacing w:after="0" w:line="150" w:lineRule="exact"/>
        <w:rPr>
          <w:rFonts w:ascii="Arial" w:cs="Arial" w:eastAsia="Arial" w:hAnsi="Arial"/>
          <w:sz w:val="16"/>
          <w:szCs w:val="16"/>
          <w:color w:val="auto"/>
        </w:rPr>
      </w:pPr>
    </w:p>
    <w:p>
      <w:pPr>
        <w:ind w:left="320" w:right="20" w:firstLine="648"/>
        <w:spacing w:after="0" w:line="270" w:lineRule="auto"/>
        <w:tabs>
          <w:tab w:leader="none" w:pos="1153" w:val="left"/>
        </w:tabs>
        <w:numPr>
          <w:ilvl w:val="1"/>
          <w:numId w:val="19"/>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headings used in this Warrant are for the convenience of reference only and shall not, for any purpose, be deemed a part of this Warrant.</w:t>
      </w:r>
    </w:p>
    <w:p>
      <w:pPr>
        <w:spacing w:after="0" w:line="175"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w:t>
      </w:r>
    </w:p>
    <w:p>
      <w:pPr>
        <w:spacing w:after="0" w:line="220" w:lineRule="exact"/>
        <w:rPr>
          <w:sz w:val="20"/>
          <w:szCs w:val="20"/>
          <w:color w:val="auto"/>
        </w:rPr>
      </w:pPr>
    </w:p>
    <w:p>
      <w:pPr>
        <w:jc w:val="center"/>
        <w:ind w:right="320"/>
        <w:spacing w:after="0"/>
        <w:rPr>
          <w:sz w:val="20"/>
          <w:szCs w:val="20"/>
          <w:color w:val="auto"/>
        </w:rPr>
      </w:pPr>
      <w:r>
        <w:rPr>
          <w:rFonts w:ascii="Arial" w:cs="Arial" w:eastAsia="Arial" w:hAnsi="Arial"/>
          <w:sz w:val="18"/>
          <w:szCs w:val="18"/>
          <w:i w:val="1"/>
          <w:iCs w:val="1"/>
          <w:color w:val="auto"/>
        </w:rPr>
        <w:t>(Signature Page Follows)</w:t>
      </w:r>
    </w:p>
    <w:p>
      <w:pPr>
        <w:spacing w:after="0" w:line="200" w:lineRule="exact"/>
        <w:rPr>
          <w:sz w:val="20"/>
          <w:szCs w:val="20"/>
          <w:color w:val="auto"/>
        </w:rPr>
      </w:pPr>
    </w:p>
    <w:p>
      <w:pPr>
        <w:spacing w:after="0" w:line="233"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13335</wp:posOffset>
            </wp:positionV>
            <wp:extent cx="713422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0920"/>
          </w:cols>
          <w:pgMar w:left="640" w:top="926" w:right="339" w:bottom="1440" w:gutter="0" w:footer="0" w:header="0"/>
        </w:sectPr>
      </w:pPr>
    </w:p>
    <w:bookmarkStart w:id="18" w:name="page19"/>
    <w:bookmarkEnd w:id="18"/>
    <w:p>
      <w:pPr>
        <w:jc w:val="right"/>
        <w:spacing w:after="0"/>
        <w:rPr>
          <w:sz w:val="20"/>
          <w:szCs w:val="20"/>
          <w:color w:val="auto"/>
        </w:rPr>
      </w:pPr>
      <w:r>
        <w:rPr>
          <w:rFonts w:ascii="Arial" w:cs="Arial" w:eastAsia="Arial" w:hAnsi="Arial"/>
          <w:sz w:val="18"/>
          <w:szCs w:val="18"/>
          <w:color w:val="auto"/>
        </w:rPr>
        <w:t>IN WITNESS WHEREOF, the Company has caused this Warrant to be executed by its officer thereunto duly authorized as of the date first</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above indicated.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TMC THE METALS COMPANY INC.</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-130175</wp:posOffset>
            </wp:positionV>
            <wp:extent cx="334645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46450" cy="8255"/>
                    </a:xfrm>
                    <a:prstGeom prst="rect">
                      <a:avLst/>
                    </a:prstGeom>
                    <a:noFill/>
                  </pic:spPr>
                </pic:pic>
              </a:graphicData>
            </a:graphic>
          </wp:anchor>
        </w:drawing>
      </w:r>
    </w:p>
    <w:p>
      <w:pPr>
        <w:ind w:left="360"/>
        <w:spacing w:after="0"/>
        <w:rPr>
          <w:sz w:val="20"/>
          <w:szCs w:val="20"/>
          <w:color w:val="auto"/>
        </w:rPr>
      </w:pPr>
      <w:r>
        <w:rPr>
          <w:rFonts w:ascii="Arial" w:cs="Arial" w:eastAsia="Arial" w:hAnsi="Arial"/>
          <w:sz w:val="18"/>
          <w:szCs w:val="18"/>
          <w:color w:val="auto"/>
        </w:rPr>
        <w:t>Title:</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Class A Common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284480</wp:posOffset>
            </wp:positionV>
            <wp:extent cx="713422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19" w:name="page20"/>
    <w:bookmarkEnd w:id="19"/>
    <w:p>
      <w:pPr>
        <w:jc w:val="center"/>
        <w:ind w:right="-19"/>
        <w:spacing w:after="0"/>
        <w:rPr>
          <w:sz w:val="20"/>
          <w:szCs w:val="20"/>
          <w:color w:val="auto"/>
        </w:rPr>
      </w:pPr>
      <w:r>
        <w:rPr>
          <w:rFonts w:ascii="Arial" w:cs="Arial" w:eastAsia="Arial" w:hAnsi="Arial"/>
          <w:sz w:val="18"/>
          <w:szCs w:val="18"/>
          <w:b w:val="1"/>
          <w:bCs w:val="1"/>
          <w:color w:val="auto"/>
        </w:rPr>
        <w:t>NOTICE OF EXERCISE</w:t>
      </w:r>
    </w:p>
    <w:p>
      <w:pPr>
        <w:spacing w:after="0" w:line="224"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color w:val="auto"/>
        </w:rPr>
        <w:t>TO:</w:t>
      </w:r>
      <w:r>
        <w:rPr>
          <w:sz w:val="20"/>
          <w:szCs w:val="20"/>
          <w:color w:val="auto"/>
        </w:rPr>
        <w:tab/>
      </w:r>
      <w:r>
        <w:rPr>
          <w:rFonts w:ascii="Arial" w:cs="Arial" w:eastAsia="Arial" w:hAnsi="Arial"/>
          <w:sz w:val="18"/>
          <w:szCs w:val="18"/>
          <w:color w:val="auto"/>
        </w:rPr>
        <w:t>TMC the metals company Inc.</w:t>
      </w:r>
    </w:p>
    <w:p>
      <w:pPr>
        <w:spacing w:after="0" w:line="220" w:lineRule="exact"/>
        <w:rPr>
          <w:sz w:val="20"/>
          <w:szCs w:val="20"/>
          <w:color w:val="auto"/>
        </w:rPr>
      </w:pPr>
    </w:p>
    <w:p>
      <w:pPr>
        <w:ind w:firstLine="1288"/>
        <w:spacing w:after="0" w:line="333" w:lineRule="auto"/>
        <w:tabs>
          <w:tab w:leader="none" w:pos="1538"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undersigned hereby elects to purchase ________ Warrant Shares of the Company pursuant to the terms of the attached Warrant (to be delivered only if exercised in full), and tenders herewith payment of the exercise price in full, together with all applicable transfer taxes, if any.</w:t>
      </w:r>
    </w:p>
    <w:p>
      <w:pPr>
        <w:spacing w:after="0" w:line="129" w:lineRule="exact"/>
        <w:rPr>
          <w:rFonts w:ascii="Arial" w:cs="Arial" w:eastAsia="Arial" w:hAnsi="Arial"/>
          <w:sz w:val="16"/>
          <w:szCs w:val="16"/>
          <w:color w:val="auto"/>
        </w:rPr>
      </w:pPr>
    </w:p>
    <w:p>
      <w:pPr>
        <w:ind w:left="1540" w:hanging="252"/>
        <w:spacing w:after="0"/>
        <w:tabs>
          <w:tab w:leader="none" w:pos="1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Payment shall take the form of (check applicable box):</w:t>
      </w:r>
    </w:p>
    <w:p>
      <w:pPr>
        <w:spacing w:after="0" w:line="175" w:lineRule="exact"/>
        <w:rPr>
          <w:sz w:val="20"/>
          <w:szCs w:val="20"/>
          <w:color w:val="auto"/>
        </w:rPr>
      </w:pPr>
    </w:p>
    <w:p>
      <w:pPr>
        <w:ind w:left="19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in lawful money of the United States; or</w:t>
      </w:r>
    </w:p>
    <w:p>
      <w:pPr>
        <w:spacing w:after="0" w:line="220" w:lineRule="exact"/>
        <w:rPr>
          <w:sz w:val="20"/>
          <w:szCs w:val="20"/>
          <w:color w:val="auto"/>
        </w:rPr>
      </w:pPr>
    </w:p>
    <w:p>
      <w:pPr>
        <w:jc w:val="both"/>
        <w:ind w:left="1920"/>
        <w:spacing w:after="0" w:line="232"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if permitted the cancellation of such number of Warrant Shares as is necessary, in accordance with the formula set forth in subsection 2(c), to exercise this Warrant with respect to the maximum number of Warrant Shares purchasable pursuant to the cashless exercise procedure set forth in subsection 2(c).</w:t>
      </w:r>
    </w:p>
    <w:p>
      <w:pPr>
        <w:spacing w:after="0" w:line="203" w:lineRule="exact"/>
        <w:rPr>
          <w:sz w:val="20"/>
          <w:szCs w:val="20"/>
          <w:color w:val="auto"/>
        </w:rPr>
      </w:pPr>
    </w:p>
    <w:p>
      <w:pPr>
        <w:ind w:left="1540" w:hanging="252"/>
        <w:spacing w:after="0"/>
        <w:tabs>
          <w:tab w:leader="none" w:pos="1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Please issue said Warrant Shares in the name of the undersigned or in such other name as is specified below:</w:t>
      </w:r>
    </w:p>
    <w:p>
      <w:pPr>
        <w:spacing w:after="0" w:line="219" w:lineRule="exact"/>
        <w:rPr>
          <w:rFonts w:ascii="Arial" w:cs="Arial" w:eastAsia="Arial" w:hAnsi="Arial"/>
          <w:sz w:val="18"/>
          <w:szCs w:val="18"/>
          <w:color w:val="auto"/>
        </w:rPr>
      </w:pPr>
    </w:p>
    <w:p>
      <w:pPr>
        <w:ind w:left="1920"/>
        <w:spacing w:after="0"/>
        <w:rPr>
          <w:rFonts w:ascii="Arial" w:cs="Arial" w:eastAsia="Arial" w:hAnsi="Arial"/>
          <w:sz w:val="18"/>
          <w:szCs w:val="18"/>
          <w:color w:val="auto"/>
        </w:rPr>
      </w:pPr>
      <w:r>
        <w:rPr>
          <w:rFonts w:ascii="Arial" w:cs="Arial" w:eastAsia="Arial" w:hAnsi="Arial"/>
          <w:sz w:val="18"/>
          <w:szCs w:val="18"/>
          <w:color w:val="auto"/>
        </w:rPr>
        <w:t>_______________________________</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The Warrant Shares shall be delivered to the following DWAC Account Number:</w:t>
      </w:r>
    </w:p>
    <w:p>
      <w:pPr>
        <w:spacing w:after="0" w:line="220"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_______________________________</w:t>
      </w:r>
    </w:p>
    <w:p>
      <w:pPr>
        <w:spacing w:after="0" w:line="220"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_______________________________</w:t>
      </w:r>
    </w:p>
    <w:p>
      <w:pPr>
        <w:spacing w:after="0" w:line="220"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_______________________________</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OF HOLDER]</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Name of Investing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1300480</wp:posOffset>
            </wp:positionH>
            <wp:positionV relativeFrom="paragraph">
              <wp:posOffset>13335</wp:posOffset>
            </wp:positionV>
            <wp:extent cx="583755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837555" cy="8255"/>
                    </a:xfrm>
                    <a:prstGeom prst="rect">
                      <a:avLst/>
                    </a:prstGeom>
                    <a:noFill/>
                  </pic:spPr>
                </pic:pic>
              </a:graphicData>
            </a:graphic>
          </wp:anchor>
        </w:drawing>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Signature of Authorized Signatory of Investing Entity</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2681605</wp:posOffset>
            </wp:positionH>
            <wp:positionV relativeFrom="paragraph">
              <wp:posOffset>13335</wp:posOffset>
            </wp:positionV>
            <wp:extent cx="445643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456430" cy="8255"/>
                    </a:xfrm>
                    <a:prstGeom prst="rect">
                      <a:avLst/>
                    </a:prstGeom>
                    <a:noFill/>
                  </pic:spPr>
                </pic:pic>
              </a:graphicData>
            </a:graphic>
          </wp:anchor>
        </w:drawing>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Name of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1546225</wp:posOffset>
            </wp:positionH>
            <wp:positionV relativeFrom="paragraph">
              <wp:posOffset>13335</wp:posOffset>
            </wp:positionV>
            <wp:extent cx="559181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591810" cy="8255"/>
                    </a:xfrm>
                    <a:prstGeom prst="rect">
                      <a:avLst/>
                    </a:prstGeom>
                    <a:noFill/>
                  </pic:spPr>
                </pic:pic>
              </a:graphicData>
            </a:graphic>
          </wp:anchor>
        </w:drawing>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Title of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1546225</wp:posOffset>
            </wp:positionH>
            <wp:positionV relativeFrom="paragraph">
              <wp:posOffset>13335</wp:posOffset>
            </wp:positionV>
            <wp:extent cx="559181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591810" cy="8255"/>
                    </a:xfrm>
                    <a:prstGeom prst="rect">
                      <a:avLst/>
                    </a:prstGeom>
                    <a:noFill/>
                  </pic:spPr>
                </pic:pic>
              </a:graphicData>
            </a:graphic>
          </wp:anchor>
        </w:drawing>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13335</wp:posOffset>
            </wp:positionV>
            <wp:extent cx="672719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72719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292735</wp:posOffset>
            </wp:positionV>
            <wp:extent cx="713422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0" w:name="page21"/>
    <w:bookmarkEnd w:id="20"/>
    <w:p>
      <w:pPr>
        <w:ind w:left="4740"/>
        <w:spacing w:after="0"/>
        <w:rPr>
          <w:sz w:val="20"/>
          <w:szCs w:val="20"/>
          <w:color w:val="auto"/>
        </w:rPr>
      </w:pPr>
      <w:r>
        <w:rPr>
          <w:rFonts w:ascii="Arial" w:cs="Arial" w:eastAsia="Arial" w:hAnsi="Arial"/>
          <w:sz w:val="18"/>
          <w:szCs w:val="18"/>
          <w:b w:val="1"/>
          <w:bCs w:val="1"/>
          <w:color w:val="auto"/>
        </w:rPr>
        <w:t>ASSIGNMENT FORM</w:t>
      </w:r>
    </w:p>
    <w:p>
      <w:pPr>
        <w:spacing w:after="0" w:line="224" w:lineRule="exact"/>
        <w:rPr>
          <w:sz w:val="20"/>
          <w:szCs w:val="20"/>
          <w:color w:val="auto"/>
        </w:rPr>
      </w:pPr>
    </w:p>
    <w:p>
      <w:pPr>
        <w:ind w:left="320" w:right="779"/>
        <w:spacing w:after="0" w:line="524" w:lineRule="auto"/>
        <w:rPr>
          <w:sz w:val="20"/>
          <w:szCs w:val="20"/>
          <w:color w:val="auto"/>
        </w:rPr>
      </w:pPr>
      <w:r>
        <w:rPr>
          <w:rFonts w:ascii="Arial" w:cs="Arial" w:eastAsia="Arial" w:hAnsi="Arial"/>
          <w:sz w:val="17"/>
          <w:szCs w:val="17"/>
          <w:i w:val="1"/>
          <w:iCs w:val="1"/>
          <w:color w:val="auto"/>
        </w:rPr>
        <w:t xml:space="preserve">(To assign the foregoing Warrant, execute this form and supply required information. Do not use this form to purchase shares.) </w:t>
      </w:r>
      <w:r>
        <w:rPr>
          <w:rFonts w:ascii="Arial" w:cs="Arial" w:eastAsia="Arial" w:hAnsi="Arial"/>
          <w:sz w:val="17"/>
          <w:szCs w:val="17"/>
          <w:color w:val="auto"/>
        </w:rPr>
        <w:t>FOR VALUE RECEIVED, the foregoing Warrant and all rights evidenced thereby are hereby assigned to</w:t>
      </w: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(Please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1207135</wp:posOffset>
            </wp:positionH>
            <wp:positionV relativeFrom="paragraph">
              <wp:posOffset>-130175</wp:posOffset>
            </wp:positionV>
            <wp:extent cx="449897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498975" cy="825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(Please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1207135</wp:posOffset>
            </wp:positionH>
            <wp:positionV relativeFrom="paragraph">
              <wp:posOffset>-130175</wp:posOffset>
            </wp:positionV>
            <wp:extent cx="449897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498975" cy="825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1207135</wp:posOffset>
            </wp:positionH>
            <wp:positionV relativeFrom="paragraph">
              <wp:posOffset>13335</wp:posOffset>
            </wp:positionV>
            <wp:extent cx="449897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498975" cy="8255"/>
                    </a:xfrm>
                    <a:prstGeom prst="rect">
                      <a:avLst/>
                    </a:prstGeom>
                    <a:noFill/>
                  </pic:spPr>
                </pic:pic>
              </a:graphicData>
            </a:graphic>
          </wp:anchor>
        </w:drawing>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1207135</wp:posOffset>
            </wp:positionH>
            <wp:positionV relativeFrom="paragraph">
              <wp:posOffset>13335</wp:posOffset>
            </wp:positionV>
            <wp:extent cx="449897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498975" cy="8255"/>
                    </a:xfrm>
                    <a:prstGeom prst="rect">
                      <a:avLst/>
                    </a:prstGeom>
                    <a:noFill/>
                  </pic:spPr>
                </pic:pic>
              </a:graphicData>
            </a:graphic>
          </wp:anchor>
        </w:drawing>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1207135</wp:posOffset>
            </wp:positionH>
            <wp:positionV relativeFrom="paragraph">
              <wp:posOffset>13335</wp:posOffset>
            </wp:positionV>
            <wp:extent cx="449897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498975"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Holder’s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1207135</wp:posOffset>
            </wp:positionH>
            <wp:positionV relativeFrom="paragraph">
              <wp:posOffset>13335</wp:posOffset>
            </wp:positionV>
            <wp:extent cx="449897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498975" cy="8255"/>
                    </a:xfrm>
                    <a:prstGeom prst="rect">
                      <a:avLst/>
                    </a:prstGeom>
                    <a:noFill/>
                  </pic:spPr>
                </pic:pic>
              </a:graphicData>
            </a:graphic>
          </wp:anchor>
        </w:drawing>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Holder’s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1207135</wp:posOffset>
            </wp:positionH>
            <wp:positionV relativeFrom="paragraph">
              <wp:posOffset>13335</wp:posOffset>
            </wp:positionV>
            <wp:extent cx="449897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49897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292735</wp:posOffset>
            </wp:positionV>
            <wp:extent cx="713422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0139"/>
          </w:cols>
          <w:pgMar w:left="320" w:top="895" w:right="1440" w:bottom="1440" w:gutter="0" w:footer="0" w:header="0"/>
        </w:sectPr>
      </w:pPr>
    </w:p>
    <w:bookmarkStart w:id="21" w:name="page22"/>
    <w:bookmarkEnd w:id="21"/>
    <w:p>
      <w:pPr>
        <w:jc w:val="right"/>
        <w:spacing w:after="0"/>
        <w:rPr>
          <w:sz w:val="20"/>
          <w:szCs w:val="20"/>
          <w:color w:val="auto"/>
        </w:rPr>
      </w:pPr>
      <w:r>
        <w:rPr>
          <w:rFonts w:ascii="Arial" w:cs="Arial" w:eastAsia="Arial" w:hAnsi="Arial"/>
          <w:sz w:val="21"/>
          <w:szCs w:val="21"/>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152400</wp:posOffset>
            </wp:positionV>
            <wp:extent cx="7196455" cy="12795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96455" cy="127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August 14, 2023</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TMC the metals company Inc.</w:t>
      </w:r>
    </w:p>
    <w:p>
      <w:pPr>
        <w:spacing w:after="0" w:line="198" w:lineRule="auto"/>
        <w:rPr>
          <w:sz w:val="20"/>
          <w:szCs w:val="20"/>
          <w:color w:val="auto"/>
        </w:rPr>
      </w:pPr>
      <w:r>
        <w:rPr>
          <w:rFonts w:ascii="Arial" w:cs="Arial" w:eastAsia="Arial" w:hAnsi="Arial"/>
          <w:sz w:val="18"/>
          <w:szCs w:val="18"/>
          <w:color w:val="auto"/>
        </w:rPr>
        <w:t>595 Howe Street, 10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Vancouver, British Columbia, V6C 2T5</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20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8"/>
          <w:szCs w:val="18"/>
          <w:b w:val="1"/>
          <w:bCs w:val="1"/>
          <w:color w:val="auto"/>
        </w:rPr>
        <w:t>TMC the metals company Inc. – Form S-3</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16" w:lineRule="exact"/>
        <w:rPr>
          <w:sz w:val="20"/>
          <w:szCs w:val="20"/>
          <w:color w:val="auto"/>
        </w:rPr>
      </w:pPr>
    </w:p>
    <w:p>
      <w:pPr>
        <w:jc w:val="both"/>
        <w:ind w:firstLine="640"/>
        <w:spacing w:after="0" w:line="286" w:lineRule="auto"/>
        <w:rPr>
          <w:sz w:val="20"/>
          <w:szCs w:val="20"/>
          <w:color w:val="auto"/>
        </w:rPr>
      </w:pPr>
      <w:r>
        <w:rPr>
          <w:rFonts w:ascii="Arial" w:cs="Arial" w:eastAsia="Arial" w:hAnsi="Arial"/>
          <w:sz w:val="16"/>
          <w:szCs w:val="16"/>
          <w:color w:val="auto"/>
        </w:rPr>
        <w:t>We have acted as British Columbia counsel to TMC the metals company Inc. (the “</w:t>
      </w:r>
      <w:r>
        <w:rPr>
          <w:rFonts w:ascii="Arial" w:cs="Arial" w:eastAsia="Arial" w:hAnsi="Arial"/>
          <w:sz w:val="16"/>
          <w:szCs w:val="16"/>
          <w:b w:val="1"/>
          <w:bCs w:val="1"/>
          <w:color w:val="auto"/>
        </w:rPr>
        <w:t>Corporation</w:t>
      </w:r>
      <w:r>
        <w:rPr>
          <w:rFonts w:ascii="Arial" w:cs="Arial" w:eastAsia="Arial" w:hAnsi="Arial"/>
          <w:sz w:val="16"/>
          <w:szCs w:val="16"/>
          <w:color w:val="auto"/>
        </w:rPr>
        <w:t>”) in connection with the preparation and filing with the Securities and Exchange Commission (the “</w:t>
      </w:r>
      <w:r>
        <w:rPr>
          <w:rFonts w:ascii="Arial" w:cs="Arial" w:eastAsia="Arial" w:hAnsi="Arial"/>
          <w:sz w:val="16"/>
          <w:szCs w:val="16"/>
          <w:b w:val="1"/>
          <w:bCs w:val="1"/>
          <w:color w:val="auto"/>
        </w:rPr>
        <w:t>Commission</w:t>
      </w:r>
      <w:r>
        <w:rPr>
          <w:rFonts w:ascii="Arial" w:cs="Arial" w:eastAsia="Arial" w:hAnsi="Arial"/>
          <w:sz w:val="16"/>
          <w:szCs w:val="16"/>
          <w:color w:val="auto"/>
        </w:rPr>
        <w:t>”) of a Prospectus Supplement, dated August 14, 2023 (the “</w:t>
      </w:r>
      <w:r>
        <w:rPr>
          <w:rFonts w:ascii="Arial" w:cs="Arial" w:eastAsia="Arial" w:hAnsi="Arial"/>
          <w:sz w:val="16"/>
          <w:szCs w:val="16"/>
          <w:b w:val="1"/>
          <w:bCs w:val="1"/>
          <w:color w:val="auto"/>
        </w:rPr>
        <w:t>Prospectus Supplement</w:t>
      </w:r>
      <w:r>
        <w:rPr>
          <w:rFonts w:ascii="Arial" w:cs="Arial" w:eastAsia="Arial" w:hAnsi="Arial"/>
          <w:sz w:val="16"/>
          <w:szCs w:val="16"/>
          <w:color w:val="auto"/>
        </w:rPr>
        <w:t>”), to a Registration Statement (File No. 333-267479) on Form S-3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 xml:space="preserve">”), filed by the Corporation with the Commission under the </w:t>
      </w:r>
      <w:r>
        <w:rPr>
          <w:rFonts w:ascii="Arial" w:cs="Arial" w:eastAsia="Arial" w:hAnsi="Arial"/>
          <w:sz w:val="16"/>
          <w:szCs w:val="16"/>
          <w:i w:val="1"/>
          <w:iCs w:val="1"/>
          <w:color w:val="auto"/>
        </w:rPr>
        <w:t>Securities Act of 1933</w:t>
      </w:r>
      <w:r>
        <w:rPr>
          <w:rFonts w:ascii="Arial" w:cs="Arial" w:eastAsia="Arial" w:hAnsi="Arial"/>
          <w:sz w:val="16"/>
          <w:szCs w:val="16"/>
          <w:color w:val="auto"/>
        </w:rPr>
        <w:t>, as amended (the “</w:t>
      </w:r>
      <w:r>
        <w:rPr>
          <w:rFonts w:ascii="Arial" w:cs="Arial" w:eastAsia="Arial" w:hAnsi="Arial"/>
          <w:sz w:val="16"/>
          <w:szCs w:val="16"/>
          <w:b w:val="1"/>
          <w:bCs w:val="1"/>
          <w:color w:val="auto"/>
        </w:rPr>
        <w:t>Securities Act</w:t>
      </w:r>
      <w:r>
        <w:rPr>
          <w:rFonts w:ascii="Arial" w:cs="Arial" w:eastAsia="Arial" w:hAnsi="Arial"/>
          <w:sz w:val="16"/>
          <w:szCs w:val="16"/>
          <w:color w:val="auto"/>
        </w:rPr>
        <w:t>”). The Prospectus Supplement relates to the offering of an aggregate of 18,961,540 common shares</w:t>
      </w:r>
      <w:r>
        <w:rPr>
          <w:rFonts w:ascii="Arial" w:cs="Arial" w:eastAsia="Arial" w:hAnsi="Arial"/>
          <w:sz w:val="16"/>
          <w:szCs w:val="16"/>
          <w:i w:val="1"/>
          <w:iCs w:val="1"/>
          <w:color w:val="auto"/>
        </w:rPr>
        <w:t xml:space="preserve"> </w:t>
      </w:r>
      <w:r>
        <w:rPr>
          <w:rFonts w:ascii="Arial" w:cs="Arial" w:eastAsia="Arial" w:hAnsi="Arial"/>
          <w:sz w:val="16"/>
          <w:szCs w:val="16"/>
          <w:color w:val="auto"/>
        </w:rPr>
        <w:t>of the Corporation (the “</w:t>
      </w:r>
      <w:r>
        <w:rPr>
          <w:rFonts w:ascii="Arial" w:cs="Arial" w:eastAsia="Arial" w:hAnsi="Arial"/>
          <w:sz w:val="16"/>
          <w:szCs w:val="16"/>
          <w:b w:val="1"/>
          <w:bCs w:val="1"/>
          <w:color w:val="auto"/>
        </w:rPr>
        <w:t>Offered Shares</w:t>
      </w:r>
      <w:r>
        <w:rPr>
          <w:rFonts w:ascii="Arial" w:cs="Arial" w:eastAsia="Arial" w:hAnsi="Arial"/>
          <w:sz w:val="16"/>
          <w:szCs w:val="16"/>
          <w:color w:val="auto"/>
        </w:rPr>
        <w:t>”) of the Corporation’s common shares without par value (the “</w:t>
      </w:r>
      <w:r>
        <w:rPr>
          <w:rFonts w:ascii="Arial" w:cs="Arial" w:eastAsia="Arial" w:hAnsi="Arial"/>
          <w:sz w:val="16"/>
          <w:szCs w:val="16"/>
          <w:b w:val="1"/>
          <w:bCs w:val="1"/>
          <w:color w:val="auto"/>
        </w:rPr>
        <w:t>Common Shares</w:t>
      </w:r>
      <w:r>
        <w:rPr>
          <w:rFonts w:ascii="Arial" w:cs="Arial" w:eastAsia="Arial" w:hAnsi="Arial"/>
          <w:sz w:val="16"/>
          <w:szCs w:val="16"/>
          <w:color w:val="auto"/>
        </w:rPr>
        <w:t>”), and Class A Common Share purchase warrants (the “</w:t>
      </w:r>
      <w:r>
        <w:rPr>
          <w:rFonts w:ascii="Arial" w:cs="Arial" w:eastAsia="Arial" w:hAnsi="Arial"/>
          <w:sz w:val="16"/>
          <w:szCs w:val="16"/>
          <w:b w:val="1"/>
          <w:bCs w:val="1"/>
          <w:color w:val="auto"/>
        </w:rPr>
        <w:t>Warrants</w:t>
      </w:r>
      <w:r>
        <w:rPr>
          <w:rFonts w:ascii="Arial" w:cs="Arial" w:eastAsia="Arial" w:hAnsi="Arial"/>
          <w:sz w:val="16"/>
          <w:szCs w:val="16"/>
          <w:color w:val="auto"/>
        </w:rPr>
        <w:t>”) to purchase an aggregate of 9,480,770 Common Shares (the “</w:t>
      </w:r>
      <w:r>
        <w:rPr>
          <w:rFonts w:ascii="Arial" w:cs="Arial" w:eastAsia="Arial" w:hAnsi="Arial"/>
          <w:sz w:val="16"/>
          <w:szCs w:val="16"/>
          <w:b w:val="1"/>
          <w:bCs w:val="1"/>
          <w:color w:val="auto"/>
        </w:rPr>
        <w:t>Warrant Shares</w:t>
      </w:r>
      <w:r>
        <w:rPr>
          <w:rFonts w:ascii="Arial" w:cs="Arial" w:eastAsia="Arial" w:hAnsi="Arial"/>
          <w:sz w:val="16"/>
          <w:szCs w:val="16"/>
          <w:color w:val="auto"/>
        </w:rPr>
        <w:t>”, and together with the Offered Shares, and the Warrants, the “</w:t>
      </w:r>
      <w:r>
        <w:rPr>
          <w:rFonts w:ascii="Arial" w:cs="Arial" w:eastAsia="Arial" w:hAnsi="Arial"/>
          <w:sz w:val="16"/>
          <w:szCs w:val="16"/>
          <w:b w:val="1"/>
          <w:bCs w:val="1"/>
          <w:color w:val="auto"/>
        </w:rPr>
        <w:t>Securities</w:t>
      </w:r>
      <w:r>
        <w:rPr>
          <w:rFonts w:ascii="Arial" w:cs="Arial" w:eastAsia="Arial" w:hAnsi="Arial"/>
          <w:sz w:val="16"/>
          <w:szCs w:val="16"/>
          <w:color w:val="auto"/>
        </w:rPr>
        <w:t>”) pursuant to a securities purchase agreement (the “</w:t>
      </w:r>
      <w:r>
        <w:rPr>
          <w:rFonts w:ascii="Arial" w:cs="Arial" w:eastAsia="Arial" w:hAnsi="Arial"/>
          <w:sz w:val="16"/>
          <w:szCs w:val="16"/>
          <w:b w:val="1"/>
          <w:bCs w:val="1"/>
          <w:color w:val="auto"/>
        </w:rPr>
        <w:t>SPA</w:t>
      </w:r>
      <w:r>
        <w:rPr>
          <w:rFonts w:ascii="Arial" w:cs="Arial" w:eastAsia="Arial" w:hAnsi="Arial"/>
          <w:sz w:val="16"/>
          <w:szCs w:val="16"/>
          <w:color w:val="auto"/>
        </w:rPr>
        <w:t>”) dated August 14, 2023 between the Corporation and the purchasers named therein (the “</w:t>
      </w:r>
      <w:r>
        <w:rPr>
          <w:rFonts w:ascii="Arial" w:cs="Arial" w:eastAsia="Arial" w:hAnsi="Arial"/>
          <w:sz w:val="16"/>
          <w:szCs w:val="16"/>
          <w:b w:val="1"/>
          <w:bCs w:val="1"/>
          <w:color w:val="auto"/>
        </w:rPr>
        <w:t>Offering</w:t>
      </w:r>
      <w:r>
        <w:rPr>
          <w:rFonts w:ascii="Arial" w:cs="Arial" w:eastAsia="Arial" w:hAnsi="Arial"/>
          <w:sz w:val="16"/>
          <w:szCs w:val="16"/>
          <w:color w:val="auto"/>
        </w:rPr>
        <w:t>”). This opinion is being rendered in connection with the filing of the Prospectus Supplement with the Commission. All capitalized terms used herein and not otherwise defined shall have the respective meanings given to them in the Registration Statement.</w:t>
      </w:r>
    </w:p>
    <w:p>
      <w:pPr>
        <w:spacing w:after="0" w:line="166" w:lineRule="exact"/>
        <w:rPr>
          <w:sz w:val="20"/>
          <w:szCs w:val="20"/>
          <w:color w:val="auto"/>
        </w:rPr>
      </w:pPr>
    </w:p>
    <w:p>
      <w:pPr>
        <w:jc w:val="both"/>
        <w:ind w:firstLine="640"/>
        <w:spacing w:after="0" w:line="287" w:lineRule="auto"/>
        <w:rPr>
          <w:sz w:val="20"/>
          <w:szCs w:val="20"/>
          <w:color w:val="auto"/>
        </w:rPr>
      </w:pPr>
      <w:r>
        <w:rPr>
          <w:rFonts w:ascii="Arial" w:cs="Arial" w:eastAsia="Arial" w:hAnsi="Arial"/>
          <w:sz w:val="16"/>
          <w:szCs w:val="16"/>
          <w:color w:val="auto"/>
        </w:rPr>
        <w:t>We have examined and relied upon (a) the Registration Statement, (b) the Prospectus Supplement, (c) the SPA, (d) the form of instrument representing and setting out the terms of the Warrants, (the “</w:t>
      </w:r>
      <w:r>
        <w:rPr>
          <w:rFonts w:ascii="Arial" w:cs="Arial" w:eastAsia="Arial" w:hAnsi="Arial"/>
          <w:sz w:val="16"/>
          <w:szCs w:val="16"/>
          <w:b w:val="1"/>
          <w:bCs w:val="1"/>
          <w:color w:val="auto"/>
        </w:rPr>
        <w:t>Warrant Instrument</w:t>
      </w:r>
      <w:r>
        <w:rPr>
          <w:rFonts w:ascii="Arial" w:cs="Arial" w:eastAsia="Arial" w:hAnsi="Arial"/>
          <w:sz w:val="16"/>
          <w:szCs w:val="16"/>
          <w:color w:val="auto"/>
        </w:rPr>
        <w:t xml:space="preserve">”), (e) a certificate of an officer of the Corporation dated the date hereof, certifying certain factual matters including, among other things: the constating documents of the Corporation, the incumbency of certain officers and directors of the Corporation, and resolutions passed by the directors of the Corporation, approving, among other things, the Offering and the completion of the transactions contemplated therein, (f) a certificate of good standing dated August 12, 2023 issued pursuant to the </w:t>
      </w:r>
      <w:r>
        <w:rPr>
          <w:rFonts w:ascii="Arial" w:cs="Arial" w:eastAsia="Arial" w:hAnsi="Arial"/>
          <w:sz w:val="16"/>
          <w:szCs w:val="16"/>
          <w:i w:val="1"/>
          <w:iCs w:val="1"/>
          <w:color w:val="auto"/>
        </w:rPr>
        <w:t>Business Corporations Act</w:t>
      </w:r>
      <w:r>
        <w:rPr>
          <w:rFonts w:ascii="Arial" w:cs="Arial" w:eastAsia="Arial" w:hAnsi="Arial"/>
          <w:sz w:val="16"/>
          <w:szCs w:val="16"/>
          <w:color w:val="auto"/>
        </w:rPr>
        <w:t xml:space="preserve"> (British Columbia) with respect of the Corporation, and (g) originals or copies certified to our satisfaction of such records, documents, certificates, memoranda and other instruments as in our judgment are necessary or appropriate to enable us to render the opinion expressed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403860</wp:posOffset>
            </wp:positionV>
            <wp:extent cx="713422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color w:val="auto"/>
        </w:rPr>
        <w:t>Page 2</w:t>
      </w:r>
    </w:p>
    <w:p>
      <w:pPr>
        <w:spacing w:after="0" w:line="200" w:lineRule="exact"/>
        <w:rPr>
          <w:sz w:val="20"/>
          <w:szCs w:val="20"/>
          <w:color w:val="auto"/>
        </w:rPr>
      </w:pPr>
    </w:p>
    <w:p>
      <w:pPr>
        <w:spacing w:after="0" w:line="233" w:lineRule="exact"/>
        <w:rPr>
          <w:sz w:val="20"/>
          <w:szCs w:val="20"/>
          <w:color w:val="auto"/>
        </w:rPr>
      </w:pPr>
    </w:p>
    <w:p>
      <w:pPr>
        <w:jc w:val="both"/>
        <w:ind w:firstLine="640"/>
        <w:spacing w:after="0" w:line="283" w:lineRule="auto"/>
        <w:rPr>
          <w:sz w:val="20"/>
          <w:szCs w:val="20"/>
          <w:color w:val="auto"/>
        </w:rPr>
      </w:pPr>
      <w:r>
        <w:rPr>
          <w:rFonts w:ascii="Arial" w:cs="Arial" w:eastAsia="Arial" w:hAnsi="Arial"/>
          <w:sz w:val="16"/>
          <w:szCs w:val="16"/>
          <w:color w:val="auto"/>
        </w:rPr>
        <w:t>We have assumed the authenticity of all documents submitted to us as originals, the genuineness of all signatures and the conformity to authentic originals of all documents submitted to us as copies and that all facts set forth in official public records and certificates and other documents supplied by public officials or otherwise conveyed to us by public officials are complete, true and accurate as of, and at all material times prior to, the date of this opinion letter. We have also assumed the legal capacity for all purposes relevant hereto of all natural persons. In making our examination of executed documents or documents to be executed, we have assumed that the parties thereto, including the Corporation, had or will have the power, corporate or other, to enter into and perform all obligations thereunder and have also assumed the due authorization by all requisite action, corporate or other, and execution and delivery by such parties of such documents and, the validity and binding effect on all such parties. We have assumed that the Warrant Instruments will be executed and delivered substantially in the form of such instrument we have examined. In our capacity as counsel to the Corporation in connection with the registration of the Registration Statement, we are familiar with the proceedings taken and proposed to be taken by the Corporation in connection with the authorization and issuance of the Securities. For purposes of this opinion, we have assumed that such proceedings will be timely and properly completed, in accordance with all requirements of the Applicable Law (as defined below), in the manner presently proposed. As to questions of fact material to our opinions, we have relied upon certificates of officers of the Corporation and of public officials.</w:t>
      </w:r>
    </w:p>
    <w:p>
      <w:pPr>
        <w:spacing w:after="0" w:line="172" w:lineRule="exact"/>
        <w:rPr>
          <w:sz w:val="20"/>
          <w:szCs w:val="20"/>
          <w:color w:val="auto"/>
        </w:rPr>
      </w:pPr>
    </w:p>
    <w:p>
      <w:pPr>
        <w:jc w:val="both"/>
        <w:ind w:firstLine="640"/>
        <w:spacing w:after="0" w:line="252" w:lineRule="auto"/>
        <w:rPr>
          <w:sz w:val="20"/>
          <w:szCs w:val="20"/>
          <w:color w:val="auto"/>
        </w:rPr>
      </w:pPr>
      <w:r>
        <w:rPr>
          <w:rFonts w:ascii="Arial" w:cs="Arial" w:eastAsia="Arial" w:hAnsi="Arial"/>
          <w:sz w:val="18"/>
          <w:szCs w:val="18"/>
          <w:color w:val="auto"/>
        </w:rPr>
        <w:t>Our opinion herein is limited to the laws of the Province of British Columbia and the federal laws of Canada applicable therein now in effect (the “</w:t>
      </w:r>
      <w:r>
        <w:rPr>
          <w:rFonts w:ascii="Arial" w:cs="Arial" w:eastAsia="Arial" w:hAnsi="Arial"/>
          <w:sz w:val="18"/>
          <w:szCs w:val="18"/>
          <w:b w:val="1"/>
          <w:bCs w:val="1"/>
          <w:color w:val="auto"/>
        </w:rPr>
        <w:t>Applicable Law</w:t>
      </w:r>
      <w:r>
        <w:rPr>
          <w:rFonts w:ascii="Arial" w:cs="Arial" w:eastAsia="Arial" w:hAnsi="Arial"/>
          <w:sz w:val="18"/>
          <w:szCs w:val="18"/>
          <w:color w:val="auto"/>
        </w:rPr>
        <w:t>”). We express no opinion as to whether the laws of any particular jurisdiction other than those identified above are applicable to the subject matter hereof. We assume no obligation to revise or supplement this opinion should any applicable laws be changed subsequent to the date hereof by legislative action, judicial decision or otherwise or if there is a change in any fact or facts after the date hereof. Where our opinion refers to any of the Securities as being “fully paid and non-assessable”, no opinion is expressed as to actual receipt by the Corporation of the consideration for the issuance of such shares or as to the adequacy of any consideration received.</w:t>
      </w:r>
    </w:p>
    <w:p>
      <w:pPr>
        <w:spacing w:after="0" w:line="190" w:lineRule="exact"/>
        <w:rPr>
          <w:sz w:val="20"/>
          <w:szCs w:val="20"/>
          <w:color w:val="auto"/>
        </w:rPr>
      </w:pPr>
    </w:p>
    <w:p>
      <w:pPr>
        <w:jc w:val="both"/>
        <w:ind w:firstLine="640"/>
        <w:spacing w:after="0" w:line="282" w:lineRule="auto"/>
        <w:rPr>
          <w:sz w:val="20"/>
          <w:szCs w:val="20"/>
          <w:color w:val="auto"/>
        </w:rPr>
      </w:pPr>
      <w:r>
        <w:rPr>
          <w:rFonts w:ascii="Arial" w:cs="Arial" w:eastAsia="Arial" w:hAnsi="Arial"/>
          <w:sz w:val="16"/>
          <w:szCs w:val="16"/>
          <w:color w:val="auto"/>
        </w:rPr>
        <w:t>In rendering our opinions set forth herein, we have also assumed that, at the time of any offer and sale of Securities, (i) the Corporation has been duly organized and is validly existing and in good standing, and has the requisite legal status and legal capacity, under the laws of the Province of British Columbia; (ii) the Corporation has complied and will comply with the laws of all relevant jurisdictions in connection with the transactions contemplated by, and the performance of its obligations under, the Registration Statement; (iii) the Registration Statement and the Prospectus Supplement and any amendments thereto (including any post-effective amendments thereto) has become effective under the Securities Act; (iv) that the Prospectus Supplement has been prepared, delivered and filed in compliance with the Securities Act and the applicable rules and regulations thereunder; (v) that the SPA has be filed with the United States Securities and Exchange Commission on a Current Report on Form 8-K or other applicable periodic report in the manner contemplated in the Registration Statement or the Prospectus Supplement; (vi) that the Securities will be issued and sold in compliance with applicable U.S. federal and state securities laws and in the manner stated in the Registration Statement and the Prospectus Supplement; and (vii) with respect to our opinion as to the Offered Shares and the Warrant Shares, we have assumed that, at the time of issuance and sale, a sufficient number of Common Shares are authorized and available for issuance under the maximum number of Common Shares the Corporation is authorized to issue and that the consideration for the issuance and sale of the Offered Shares and the Warrant Shares is in an amount that is not less than the par value of the Common Shares, if any. As to any facts material to our opinion, we have made no independent investigation of such facts and have relied, to the extent that we deem such reliance proper, upon certificates of public officials and officers or other representatives of the Corporation. We assume, based on advise previously received from the Corporation, that the applicable agreements relating to any of the Securities will be governed by the laws of a jurisdiction outside of Canada.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407035</wp:posOffset>
            </wp:positionV>
            <wp:extent cx="713422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232" w:right="33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color w:val="auto"/>
        </w:rPr>
        <w:t>Page 3</w:t>
      </w:r>
    </w:p>
    <w:p>
      <w:pPr>
        <w:spacing w:after="0" w:line="200" w:lineRule="exact"/>
        <w:rPr>
          <w:sz w:val="20"/>
          <w:szCs w:val="20"/>
          <w:color w:val="auto"/>
        </w:rPr>
      </w:pPr>
    </w:p>
    <w:p>
      <w:pPr>
        <w:spacing w:after="0" w:line="23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Based on and subject to the foregoing assumptions and qualifications we are of the opinion that:</w:t>
      </w:r>
    </w:p>
    <w:p>
      <w:pPr>
        <w:spacing w:after="0" w:line="220" w:lineRule="exact"/>
        <w:rPr>
          <w:sz w:val="20"/>
          <w:szCs w:val="20"/>
          <w:color w:val="auto"/>
        </w:rPr>
      </w:pPr>
    </w:p>
    <w:p>
      <w:pPr>
        <w:jc w:val="both"/>
        <w:ind w:firstLine="1281"/>
        <w:spacing w:after="0" w:line="333" w:lineRule="auto"/>
        <w:rPr>
          <w:sz w:val="20"/>
          <w:szCs w:val="20"/>
          <w:color w:val="auto"/>
        </w:rPr>
      </w:pPr>
      <w:r>
        <w:rPr>
          <w:rFonts w:ascii="Arial" w:cs="Arial" w:eastAsia="Arial" w:hAnsi="Arial"/>
          <w:sz w:val="16"/>
          <w:szCs w:val="16"/>
          <w:color w:val="auto"/>
        </w:rPr>
        <w:t>1.         With respect to the issuance of any Offered Shares, when upon payment in full therefor and issuance thereof in accordance with the SPA and the Prospectus Supplement, the Offered Shares will be validly issued as fully paid and non-assessable Common Shares of the Corporation.</w:t>
      </w:r>
    </w:p>
    <w:p>
      <w:pPr>
        <w:spacing w:after="0" w:line="130" w:lineRule="exact"/>
        <w:rPr>
          <w:sz w:val="20"/>
          <w:szCs w:val="20"/>
          <w:color w:val="auto"/>
        </w:rPr>
      </w:pPr>
    </w:p>
    <w:p>
      <w:pPr>
        <w:jc w:val="both"/>
        <w:ind w:firstLine="1281"/>
        <w:spacing w:after="0" w:line="255" w:lineRule="auto"/>
        <w:rPr>
          <w:sz w:val="20"/>
          <w:szCs w:val="20"/>
          <w:color w:val="auto"/>
        </w:rPr>
      </w:pPr>
      <w:r>
        <w:rPr>
          <w:rFonts w:ascii="Arial" w:cs="Arial" w:eastAsia="Arial" w:hAnsi="Arial"/>
          <w:sz w:val="18"/>
          <w:szCs w:val="18"/>
          <w:color w:val="auto"/>
        </w:rPr>
        <w:t>2.         The Warrant Shares have been duly and validly authorized and allotted for issuance and, upon the due exercise of the Warrants in accordance with the terms of the SPA, the Prospectus Supplement and the applicable Warrant Instruments, and upon payment of the exercise price in full therefor, the Warrant Shares issuable upon exercise of the Warrants will be validly issued as fully paid and non-assessable Common Shares of the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416560</wp:posOffset>
            </wp:positionV>
            <wp:extent cx="713422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232" w:right="339" w:bottom="1440" w:gutter="0" w:footer="0" w:header="0"/>
        </w:sectPr>
      </w:pPr>
    </w:p>
    <w:bookmarkStart w:id="24" w:name="page25"/>
    <w:bookmarkEnd w:id="24"/>
    <w:p>
      <w:pPr>
        <w:jc w:val="both"/>
        <w:ind w:firstLine="640"/>
        <w:spacing w:after="0" w:line="253" w:lineRule="auto"/>
        <w:rPr>
          <w:sz w:val="20"/>
          <w:szCs w:val="20"/>
          <w:color w:val="auto"/>
        </w:rPr>
      </w:pPr>
      <w:r>
        <w:rPr>
          <w:rFonts w:ascii="Arial" w:cs="Arial" w:eastAsia="Arial" w:hAnsi="Arial"/>
          <w:sz w:val="18"/>
          <w:szCs w:val="18"/>
          <w:color w:val="auto"/>
        </w:rPr>
        <w:t>We hereby consent to the use of our name in, and the filing of this opinion as an exhibit to, the Registration Statement and to reference the firm’s name under the caption “Legal Matters” in the Prospectus Supplement. In giving this consent, we do not thereby admit that we are in the category of persons whose consent is required under the Securities Act or the rules and regulations promulgated thereunder. This opinion is expressed as of the date hereof unless otherwise expressly stated, and we disclaim any undertaking to advise you of any subsequent changes of the facts stated or assumed herein or any subsequent changes in Applicable Law.</w:t>
      </w:r>
    </w:p>
    <w:p>
      <w:pPr>
        <w:spacing w:after="0" w:line="19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Yours truly,</w:t>
      </w:r>
    </w:p>
    <w:p>
      <w:pPr>
        <w:spacing w:after="0" w:line="22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Fasken Martineau DuMoulin LLP</w:t>
      </w:r>
    </w:p>
    <w:p>
      <w:pPr>
        <w:spacing w:after="0" w:line="22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Fasken Martineau DuMoulin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436880</wp:posOffset>
            </wp:positionV>
            <wp:extent cx="713422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25" w:name="page26"/>
    <w:bookmarkEnd w:id="25"/>
    <w:p>
      <w:pPr>
        <w:jc w:val="right"/>
        <w:spacing w:after="0"/>
        <w:rPr>
          <w:sz w:val="20"/>
          <w:szCs w:val="20"/>
          <w:color w:val="auto"/>
        </w:rPr>
      </w:pPr>
      <w:r>
        <w:rPr>
          <w:rFonts w:ascii="Arial" w:cs="Arial" w:eastAsia="Arial" w:hAnsi="Arial"/>
          <w:sz w:val="21"/>
          <w:szCs w:val="21"/>
          <w:b w:val="1"/>
          <w:bCs w:val="1"/>
          <w:color w:val="auto"/>
        </w:rPr>
        <w:t>Exhibit 5.2</w:t>
      </w:r>
    </w:p>
    <w:p>
      <w:pPr>
        <w:spacing w:after="0" w:line="22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One Financial Center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-121920</wp:posOffset>
            </wp:positionV>
            <wp:extent cx="711835" cy="9067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1835" cy="906780"/>
                    </a:xfrm>
                    <a:prstGeom prst="rect">
                      <a:avLst/>
                    </a:prstGeom>
                    <a:noFill/>
                  </pic:spPr>
                </pic:pic>
              </a:graphicData>
            </a:graphic>
          </wp:anchor>
        </w:drawing>
      </w:r>
    </w:p>
    <w:p>
      <w:pPr>
        <w:jc w:val="right"/>
        <w:spacing w:after="0"/>
        <w:rPr>
          <w:sz w:val="20"/>
          <w:szCs w:val="20"/>
          <w:color w:val="auto"/>
        </w:rPr>
      </w:pPr>
      <w:r>
        <w:rPr>
          <w:rFonts w:ascii="Arial" w:cs="Arial" w:eastAsia="Arial" w:hAnsi="Arial"/>
          <w:sz w:val="18"/>
          <w:szCs w:val="18"/>
          <w:color w:val="auto"/>
        </w:rPr>
        <w:t>Boston, MA 02111</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617 542 6000</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mintz.com</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color w:val="auto"/>
        </w:rPr>
        <w:t>August 14, 2023</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TMC the metals company Inc.</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595 Howe Street, 10th Floor</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Vancouver, British Columbia V6C 2T5</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0" w:lineRule="exact"/>
        <w:rPr>
          <w:sz w:val="20"/>
          <w:szCs w:val="20"/>
          <w:color w:val="auto"/>
        </w:rPr>
      </w:pPr>
    </w:p>
    <w:p>
      <w:pPr>
        <w:jc w:val="both"/>
        <w:ind w:firstLine="640"/>
        <w:spacing w:after="0" w:line="284" w:lineRule="auto"/>
        <w:rPr>
          <w:sz w:val="20"/>
          <w:szCs w:val="20"/>
          <w:color w:val="auto"/>
        </w:rPr>
      </w:pPr>
      <w:r>
        <w:rPr>
          <w:rFonts w:ascii="Arial" w:cs="Arial" w:eastAsia="Arial" w:hAnsi="Arial"/>
          <w:sz w:val="16"/>
          <w:szCs w:val="16"/>
          <w:color w:val="auto"/>
        </w:rPr>
        <w:t>We have acted as U.S. legal counsel to TMC the metals company Inc., a corporation continued under the laws of the Province of British Columbia, Canada (the “Company”), in connection with the preparation and filing with the Securities and Exchange Commission (the “Commission”) of a Prospectus Supplement, dated August 14, 2023, to a Prospectus, dated October 14, 2022 (collectively, the “Prospectus and Prospectus Supplement”), filed pursuant to a Registration Statement on Form S-3, Registration No. 333-267479 (the “Registration Statement”), pursuant to which the Company is offering for sale under the Securities Act of 1933, as amended (the “Securities Act”), 18,961,540 common shares of the Company (the “Shares”), without par value (the “Common Shares”), and accompanying Class A warrants to purchase up to 9,480,770 Common Shares (the “Class A Warrants”, and together with the Shares, the “Securities”). The Securities are being sold pursuant to a Securities Purchase Agreement, dated as of August 14, 2023, among the Company and the purchasers named therein (the “Purchase Agreement”), pursuant to which the Company may issue and sell the Securities pursuant to the Registration Statement and the Prospectus and Prospectus Supplement. The forms of the Purchase Agreement and the Class A Warrant will be filed as an exhibit to a Current Report on Form 8-K and incorporated by reference into the Registration Statement. This opinion is being furnished at the request of the Company and in accordance with the requirements of Item 601(b)(5) of Regulation S-K under the Act.</w:t>
      </w:r>
    </w:p>
    <w:p>
      <w:pPr>
        <w:spacing w:after="0" w:line="167" w:lineRule="exact"/>
        <w:rPr>
          <w:sz w:val="20"/>
          <w:szCs w:val="20"/>
          <w:color w:val="auto"/>
        </w:rPr>
      </w:pPr>
    </w:p>
    <w:p>
      <w:pPr>
        <w:jc w:val="both"/>
        <w:ind w:firstLine="640"/>
        <w:spacing w:after="0" w:line="367" w:lineRule="auto"/>
        <w:rPr>
          <w:sz w:val="20"/>
          <w:szCs w:val="20"/>
          <w:color w:val="auto"/>
        </w:rPr>
      </w:pPr>
      <w:r>
        <w:rPr>
          <w:rFonts w:ascii="Arial" w:cs="Arial" w:eastAsia="Arial" w:hAnsi="Arial"/>
          <w:sz w:val="14"/>
          <w:szCs w:val="14"/>
          <w:color w:val="auto"/>
        </w:rPr>
        <w:t>In connection with this opinion, we have examined the certificate of continuation, the notice of articles and the articles of the Company, each as currently in effect, such other records of the corporate proceedings of the Company and certificates of the Company’s officers as we have deemed relevant, as well as the Registration Statement and the exhibits thereto and the Prospectus and Prospectus Supplement, the Purchase Agreement and the Class A Warrant.</w:t>
      </w:r>
    </w:p>
    <w:p>
      <w:pPr>
        <w:spacing w:after="0" w:line="115" w:lineRule="exact"/>
        <w:rPr>
          <w:sz w:val="20"/>
          <w:szCs w:val="20"/>
          <w:color w:val="auto"/>
        </w:rPr>
      </w:pPr>
    </w:p>
    <w:p>
      <w:pPr>
        <w:jc w:val="both"/>
        <w:ind w:firstLine="640"/>
        <w:spacing w:after="0" w:line="281" w:lineRule="auto"/>
        <w:rPr>
          <w:sz w:val="20"/>
          <w:szCs w:val="20"/>
          <w:color w:val="auto"/>
        </w:rPr>
      </w:pPr>
      <w:r>
        <w:rPr>
          <w:rFonts w:ascii="Arial" w:cs="Arial" w:eastAsia="Arial" w:hAnsi="Arial"/>
          <w:sz w:val="17"/>
          <w:szCs w:val="17"/>
          <w:color w:val="auto"/>
        </w:rPr>
        <w:t>In our examination, we have assumed the genuineness of all signatures, the legal capacity of natural persons, the authenticity of all documents submitted to us as originals, the conformity to original documents of all documents submitted to us as certified, photostatic or facsimile copies and the authenticity of the originals of such copies and the truth and correctness of any representations and warranties contained therein.</w:t>
      </w:r>
    </w:p>
    <w:p>
      <w:pPr>
        <w:spacing w:after="0" w:line="167" w:lineRule="exact"/>
        <w:rPr>
          <w:sz w:val="20"/>
          <w:szCs w:val="20"/>
          <w:color w:val="auto"/>
        </w:rPr>
      </w:pPr>
    </w:p>
    <w:p>
      <w:pPr>
        <w:jc w:val="both"/>
        <w:ind w:firstLine="640"/>
        <w:spacing w:after="0" w:line="253" w:lineRule="auto"/>
        <w:rPr>
          <w:sz w:val="20"/>
          <w:szCs w:val="20"/>
          <w:color w:val="auto"/>
        </w:rPr>
      </w:pPr>
      <w:r>
        <w:rPr>
          <w:rFonts w:ascii="Arial" w:cs="Arial" w:eastAsia="Arial" w:hAnsi="Arial"/>
          <w:sz w:val="18"/>
          <w:szCs w:val="18"/>
          <w:color w:val="auto"/>
        </w:rPr>
        <w:t>Based upon the foregoing, and subject to the limitations set forth below, we are of the opinion that the Class A Warrants, when duly executed by the Company and delivered to the purchasers thereof against payment therefor as contemplated in the Purchase Agreement, the Registration Statement, the Prospectus and the Prospectus Supplement, will be valid and binding obligations of the Company enforceable against the Company in accordance with their terms, subject to bankruptcy, insolvency, fraudulent transfer, reorganization, moratorium and other laws of general applicability relating to or affecting creditors’ rights and to general equity principles.</w:t>
      </w:r>
    </w:p>
    <w:p>
      <w:pPr>
        <w:spacing w:after="0" w:line="190" w:lineRule="exact"/>
        <w:rPr>
          <w:sz w:val="20"/>
          <w:szCs w:val="20"/>
          <w:color w:val="auto"/>
        </w:rPr>
      </w:pPr>
    </w:p>
    <w:p>
      <w:pPr>
        <w:jc w:val="both"/>
        <w:ind w:firstLine="640"/>
        <w:spacing w:after="0" w:line="285" w:lineRule="auto"/>
        <w:rPr>
          <w:sz w:val="20"/>
          <w:szCs w:val="20"/>
          <w:color w:val="auto"/>
        </w:rPr>
      </w:pPr>
      <w:r>
        <w:rPr>
          <w:rFonts w:ascii="Arial" w:cs="Arial" w:eastAsia="Arial" w:hAnsi="Arial"/>
          <w:sz w:val="16"/>
          <w:szCs w:val="16"/>
          <w:color w:val="auto"/>
        </w:rPr>
        <w:t>Our opinion is expressed only with respect to the federal laws of the United States, the laws of the Commonwealth of Massachusetts and the State of New York. We express no opinion to the extent that any other laws are applicable to the subject matter hereof and express no opinion and provide no assurance as to compliance with any federal or state securities law, rule or regulation. This opinion is based upon currently existing statutes, rules, regulations and judicial decisions, and we disclaim any obligation to advise you of any change in any of these sources of law or subsequent legal or factual developments which might affect any matters or opinions set forth herein. With respect to all matters of the laws of the Province of British Columbia and the federal laws of Canada applicable therein, we understand that you are relying upon the opinion, dated the date hereof, of Canadian counsel to the Company, and our opinion is subject to the same assumptions, qualifications and limitations with respect to such matters as are contained in such opinion of Canadian counsel and assumes the due authorization, execution and delivery of the Class A Warrants by the Company, and assuming the securities issuable upon exercise of such Class A Warrants have been duly authorized and reserved for issuance by all necessary corporate 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116205</wp:posOffset>
            </wp:positionV>
            <wp:extent cx="713422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460" w:type="dxa"/>
            <w:vAlign w:val="bottom"/>
          </w:tcPr>
          <w:p>
            <w:pPr>
              <w:ind w:left="440"/>
              <w:spacing w:after="0"/>
              <w:rPr>
                <w:sz w:val="20"/>
                <w:szCs w:val="20"/>
                <w:color w:val="auto"/>
              </w:rPr>
            </w:pPr>
            <w:r>
              <w:rPr>
                <w:rFonts w:ascii="Arial" w:cs="Arial" w:eastAsia="Arial" w:hAnsi="Arial"/>
                <w:sz w:val="18"/>
                <w:szCs w:val="18"/>
                <w:color w:val="auto"/>
              </w:rPr>
              <w:t>BOSTON</w:t>
            </w:r>
          </w:p>
        </w:tc>
        <w:tc>
          <w:tcPr>
            <w:tcW w:w="1620" w:type="dxa"/>
            <w:vAlign w:val="bottom"/>
          </w:tcPr>
          <w:p>
            <w:pPr>
              <w:ind w:left="320"/>
              <w:spacing w:after="0"/>
              <w:rPr>
                <w:sz w:val="20"/>
                <w:szCs w:val="20"/>
                <w:color w:val="auto"/>
              </w:rPr>
            </w:pPr>
            <w:r>
              <w:rPr>
                <w:rFonts w:ascii="Arial" w:cs="Arial" w:eastAsia="Arial" w:hAnsi="Arial"/>
                <w:sz w:val="18"/>
                <w:szCs w:val="18"/>
                <w:color w:val="auto"/>
              </w:rPr>
              <w:t>LOS ANGELES</w:t>
            </w:r>
          </w:p>
        </w:tc>
        <w:tc>
          <w:tcPr>
            <w:tcW w:w="1740" w:type="dxa"/>
            <w:vAlign w:val="bottom"/>
          </w:tcPr>
          <w:p>
            <w:pPr>
              <w:ind w:left="440"/>
              <w:spacing w:after="0"/>
              <w:rPr>
                <w:sz w:val="20"/>
                <w:szCs w:val="20"/>
                <w:color w:val="auto"/>
              </w:rPr>
            </w:pPr>
            <w:r>
              <w:rPr>
                <w:rFonts w:ascii="Arial" w:cs="Arial" w:eastAsia="Arial" w:hAnsi="Arial"/>
                <w:sz w:val="18"/>
                <w:szCs w:val="18"/>
                <w:color w:val="auto"/>
              </w:rPr>
              <w:t>NEW YORK</w:t>
            </w:r>
          </w:p>
        </w:tc>
        <w:tc>
          <w:tcPr>
            <w:tcW w:w="1520" w:type="dxa"/>
            <w:vAlign w:val="bottom"/>
          </w:tcPr>
          <w:p>
            <w:pPr>
              <w:jc w:val="center"/>
              <w:ind w:left="31"/>
              <w:spacing w:after="0"/>
              <w:rPr>
                <w:sz w:val="20"/>
                <w:szCs w:val="20"/>
                <w:color w:val="auto"/>
              </w:rPr>
            </w:pPr>
            <w:r>
              <w:rPr>
                <w:rFonts w:ascii="Arial" w:cs="Arial" w:eastAsia="Arial" w:hAnsi="Arial"/>
                <w:sz w:val="18"/>
                <w:szCs w:val="18"/>
                <w:color w:val="auto"/>
                <w:w w:val="95"/>
              </w:rPr>
              <w:t>SAN DIEGO</w:t>
            </w:r>
          </w:p>
        </w:tc>
        <w:tc>
          <w:tcPr>
            <w:tcW w:w="1920" w:type="dxa"/>
            <w:vAlign w:val="bottom"/>
          </w:tcPr>
          <w:p>
            <w:pPr>
              <w:ind w:left="240"/>
              <w:spacing w:after="0"/>
              <w:rPr>
                <w:sz w:val="20"/>
                <w:szCs w:val="20"/>
                <w:color w:val="auto"/>
              </w:rPr>
            </w:pPr>
            <w:r>
              <w:rPr>
                <w:rFonts w:ascii="Arial" w:cs="Arial" w:eastAsia="Arial" w:hAnsi="Arial"/>
                <w:sz w:val="18"/>
                <w:szCs w:val="18"/>
                <w:color w:val="auto"/>
              </w:rPr>
              <w:t>SAN FRANCISCO</w:t>
            </w:r>
          </w:p>
        </w:tc>
        <w:tc>
          <w:tcPr>
            <w:tcW w:w="1340" w:type="dxa"/>
            <w:vAlign w:val="bottom"/>
          </w:tcPr>
          <w:p>
            <w:pPr>
              <w:ind w:left="220"/>
              <w:spacing w:after="0"/>
              <w:rPr>
                <w:sz w:val="20"/>
                <w:szCs w:val="20"/>
                <w:color w:val="auto"/>
              </w:rPr>
            </w:pPr>
            <w:r>
              <w:rPr>
                <w:rFonts w:ascii="Arial" w:cs="Arial" w:eastAsia="Arial" w:hAnsi="Arial"/>
                <w:sz w:val="18"/>
                <w:szCs w:val="18"/>
                <w:color w:val="auto"/>
              </w:rPr>
              <w:t>TORONTO</w:t>
            </w:r>
          </w:p>
        </w:tc>
        <w:tc>
          <w:tcPr>
            <w:tcW w:w="1640" w:type="dxa"/>
            <w:vAlign w:val="bottom"/>
          </w:tcPr>
          <w:p>
            <w:pPr>
              <w:ind w:left="260"/>
              <w:spacing w:after="0"/>
              <w:rPr>
                <w:sz w:val="20"/>
                <w:szCs w:val="20"/>
                <w:color w:val="auto"/>
              </w:rPr>
            </w:pPr>
            <w:r>
              <w:rPr>
                <w:rFonts w:ascii="Arial" w:cs="Arial" w:eastAsia="Arial" w:hAnsi="Arial"/>
                <w:sz w:val="18"/>
                <w:szCs w:val="18"/>
                <w:color w:val="auto"/>
              </w:rPr>
              <w:t>WASHINGTON</w:t>
            </w:r>
          </w:p>
        </w:tc>
      </w:tr>
      <w:tr>
        <w:trPr>
          <w:trHeight w:val="226"/>
        </w:trPr>
        <w:tc>
          <w:tcPr>
            <w:tcW w:w="14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5180" w:type="dxa"/>
            <w:vAlign w:val="bottom"/>
            <w:gridSpan w:val="3"/>
          </w:tcPr>
          <w:p>
            <w:pPr>
              <w:jc w:val="center"/>
              <w:spacing w:after="0"/>
              <w:rPr>
                <w:sz w:val="20"/>
                <w:szCs w:val="20"/>
                <w:color w:val="auto"/>
              </w:rPr>
            </w:pPr>
            <w:r>
              <w:rPr>
                <w:rFonts w:ascii="Arial" w:cs="Arial" w:eastAsia="Arial" w:hAnsi="Arial"/>
                <w:sz w:val="18"/>
                <w:szCs w:val="18"/>
                <w:color w:val="auto"/>
                <w:w w:val="94"/>
              </w:rPr>
              <w:t>MINTZ, LEVIN, COHN, FERRIS, GLOVSKY AND POPEO, P.C.</w:t>
            </w:r>
          </w:p>
        </w:tc>
        <w:tc>
          <w:tcPr>
            <w:tcW w:w="134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669"/>
        </w:trPr>
        <w:tc>
          <w:tcPr>
            <w:tcW w:w="14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1"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MINTZ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6774180</wp:posOffset>
            </wp:positionH>
            <wp:positionV relativeFrom="paragraph">
              <wp:posOffset>-119380</wp:posOffset>
            </wp:positionV>
            <wp:extent cx="364490" cy="4660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64490" cy="4660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August 14, 2023</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07" w:lineRule="exact"/>
        <w:rPr>
          <w:sz w:val="20"/>
          <w:szCs w:val="20"/>
          <w:color w:val="auto"/>
        </w:rPr>
      </w:pPr>
    </w:p>
    <w:p>
      <w:pPr>
        <w:ind w:firstLine="640"/>
        <w:spacing w:after="0" w:line="270" w:lineRule="auto"/>
        <w:rPr>
          <w:sz w:val="20"/>
          <w:szCs w:val="20"/>
          <w:color w:val="auto"/>
        </w:rPr>
      </w:pPr>
      <w:r>
        <w:rPr>
          <w:rFonts w:ascii="Arial" w:cs="Arial" w:eastAsia="Arial" w:hAnsi="Arial"/>
          <w:sz w:val="18"/>
          <w:szCs w:val="18"/>
          <w:color w:val="auto"/>
        </w:rPr>
        <w:t>We have relied as to certain matters on information obtained from public officials, officers of the Company, and other sources believed by us to be responsible.</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We hereby consent to the filing of this opinion as an exhibit to a Current Report on Form 8-K in accordance with the requirements of Item 601(b)</w:t>
      </w:r>
    </w:p>
    <w:p>
      <w:pPr>
        <w:spacing w:after="0" w:line="42" w:lineRule="exact"/>
        <w:rPr>
          <w:sz w:val="20"/>
          <w:szCs w:val="20"/>
          <w:color w:val="auto"/>
        </w:rPr>
      </w:pPr>
    </w:p>
    <w:p>
      <w:pPr>
        <w:jc w:val="both"/>
        <w:ind w:firstLine="7"/>
        <w:spacing w:after="0" w:line="251" w:lineRule="auto"/>
        <w:tabs>
          <w:tab w:leader="none" w:pos="256" w:val="left"/>
        </w:tabs>
        <w:numPr>
          <w:ilvl w:val="0"/>
          <w:numId w:val="22"/>
        </w:numPr>
        <w:rPr>
          <w:rFonts w:ascii="Arial" w:cs="Arial" w:eastAsia="Arial" w:hAnsi="Arial"/>
          <w:sz w:val="18"/>
          <w:szCs w:val="18"/>
          <w:color w:val="auto"/>
        </w:rPr>
      </w:pPr>
      <w:r>
        <w:rPr>
          <w:rFonts w:ascii="Arial" w:cs="Arial" w:eastAsia="Arial" w:hAnsi="Arial"/>
          <w:sz w:val="18"/>
          <w:szCs w:val="18"/>
          <w:color w:val="auto"/>
        </w:rPr>
        <w:t>of Regulation S-K under the Securities Act and to the use of this firm’s name therein and in the Prospectus and Prospectus Supplement under the caption “Legal Matters.” In giving such consent, we do not hereby admit that we are in the category of persons whose consent is required under Section 7 of the Securities Act or the rules and regulations of the Commission.</w:t>
      </w:r>
    </w:p>
    <w:p>
      <w:pPr>
        <w:spacing w:after="0" w:line="19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Very truly yours,</w:t>
      </w:r>
    </w:p>
    <w:p>
      <w:pPr>
        <w:spacing w:after="0" w:line="22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Mintz, Levin, Cohn, Ferris, Glovsky and Popeo, P.C.</w:t>
      </w:r>
    </w:p>
    <w:p>
      <w:pPr>
        <w:spacing w:after="0" w:line="22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Mintz, Levin, Cohn, Ferris, Glovsky &amp; Popeo, P.C.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454025</wp:posOffset>
            </wp:positionV>
            <wp:extent cx="713422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7" w:name="page28"/>
    <w:bookmarkEnd w:id="27"/>
    <w:p>
      <w:pPr>
        <w:ind w:left="10140"/>
        <w:spacing w:after="0"/>
        <w:rPr>
          <w:sz w:val="20"/>
          <w:szCs w:val="20"/>
          <w:color w:val="auto"/>
        </w:rPr>
      </w:pPr>
      <w:r>
        <w:rPr>
          <w:rFonts w:ascii="Arial" w:cs="Arial" w:eastAsia="Arial" w:hAnsi="Arial"/>
          <w:sz w:val="19"/>
          <w:szCs w:val="19"/>
          <w:b w:val="1"/>
          <w:bCs w:val="1"/>
          <w:color w:val="auto"/>
        </w:rPr>
        <w:t>Exhibit 10.1</w:t>
      </w:r>
    </w:p>
    <w:p>
      <w:pPr>
        <w:spacing w:after="0" w:line="46" w:lineRule="exact"/>
        <w:rPr>
          <w:sz w:val="20"/>
          <w:szCs w:val="20"/>
          <w:color w:val="auto"/>
        </w:rPr>
      </w:pPr>
    </w:p>
    <w:p>
      <w:pPr>
        <w:spacing w:after="0"/>
        <w:rPr>
          <w:sz w:val="20"/>
          <w:szCs w:val="20"/>
          <w:color w:val="auto"/>
        </w:rPr>
      </w:pPr>
      <w:r>
        <w:rPr>
          <w:rFonts w:ascii="Arial" w:cs="Arial" w:eastAsia="Arial" w:hAnsi="Arial"/>
          <w:sz w:val="21"/>
          <w:szCs w:val="21"/>
          <w:color w:val="auto"/>
        </w:rPr>
        <w:t> </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PURCHASE AGREEMENT</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6" w:lineRule="exact"/>
        <w:rPr>
          <w:sz w:val="20"/>
          <w:szCs w:val="20"/>
          <w:color w:val="auto"/>
        </w:rPr>
      </w:pPr>
    </w:p>
    <w:p>
      <w:pPr>
        <w:jc w:val="both"/>
        <w:ind w:firstLine="640"/>
        <w:spacing w:after="0" w:line="247" w:lineRule="auto"/>
        <w:rPr>
          <w:sz w:val="20"/>
          <w:szCs w:val="20"/>
          <w:color w:val="auto"/>
        </w:rPr>
      </w:pPr>
      <w:r>
        <w:rPr>
          <w:rFonts w:ascii="Arial" w:cs="Arial" w:eastAsia="Arial" w:hAnsi="Arial"/>
          <w:sz w:val="18"/>
          <w:szCs w:val="18"/>
          <w:color w:val="auto"/>
        </w:rPr>
        <w:t>This Securities Purchase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is dated as of August 14, 2023, between TMC the metals company Inc., a company existing under the laws of the Province of British Columbia (the “</w:t>
      </w:r>
      <w:r>
        <w:rPr>
          <w:rFonts w:ascii="Arial" w:cs="Arial" w:eastAsia="Arial" w:hAnsi="Arial"/>
          <w:sz w:val="18"/>
          <w:szCs w:val="18"/>
          <w:u w:val="single" w:color="auto"/>
          <w:color w:val="auto"/>
        </w:rPr>
        <w:t>Company</w:t>
      </w:r>
      <w:r>
        <w:rPr>
          <w:rFonts w:ascii="Arial" w:cs="Arial" w:eastAsia="Arial" w:hAnsi="Arial"/>
          <w:sz w:val="18"/>
          <w:szCs w:val="18"/>
          <w:color w:val="auto"/>
        </w:rPr>
        <w:t>”), and each purchaser identified on the signature pages hereto (each, including its successors and assigns, a “</w:t>
      </w:r>
      <w:r>
        <w:rPr>
          <w:rFonts w:ascii="Arial" w:cs="Arial" w:eastAsia="Arial" w:hAnsi="Arial"/>
          <w:sz w:val="18"/>
          <w:szCs w:val="18"/>
          <w:u w:val="single" w:color="auto"/>
          <w:color w:val="auto"/>
        </w:rPr>
        <w:t>Purchaser</w:t>
      </w:r>
      <w:r>
        <w:rPr>
          <w:rFonts w:ascii="Arial" w:cs="Arial" w:eastAsia="Arial" w:hAnsi="Arial"/>
          <w:sz w:val="18"/>
          <w:szCs w:val="18"/>
          <w:color w:val="auto"/>
        </w:rPr>
        <w:t>” and collectively the “</w:t>
      </w:r>
      <w:r>
        <w:rPr>
          <w:rFonts w:ascii="Arial" w:cs="Arial" w:eastAsia="Arial" w:hAnsi="Arial"/>
          <w:sz w:val="18"/>
          <w:szCs w:val="18"/>
          <w:u w:val="single" w:color="auto"/>
          <w:color w:val="auto"/>
        </w:rPr>
        <w:t>Purchasers</w:t>
      </w:r>
      <w:r>
        <w:rPr>
          <w:rFonts w:ascii="Arial" w:cs="Arial" w:eastAsia="Arial" w:hAnsi="Arial"/>
          <w:sz w:val="18"/>
          <w:szCs w:val="18"/>
          <w:color w:val="auto"/>
        </w:rPr>
        <w:t>”).</w:t>
      </w:r>
    </w:p>
    <w:p>
      <w:pPr>
        <w:spacing w:after="0" w:line="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w:t>
      </w:r>
    </w:p>
    <w:p>
      <w:pPr>
        <w:spacing w:after="0" w:line="6" w:lineRule="exact"/>
        <w:rPr>
          <w:sz w:val="20"/>
          <w:szCs w:val="20"/>
          <w:color w:val="auto"/>
        </w:rPr>
      </w:pPr>
    </w:p>
    <w:p>
      <w:pPr>
        <w:jc w:val="both"/>
        <w:ind w:firstLine="640"/>
        <w:spacing w:after="0" w:line="251" w:lineRule="auto"/>
        <w:rPr>
          <w:sz w:val="20"/>
          <w:szCs w:val="20"/>
          <w:color w:val="auto"/>
        </w:rPr>
      </w:pPr>
      <w:r>
        <w:rPr>
          <w:rFonts w:ascii="Arial" w:cs="Arial" w:eastAsia="Arial" w:hAnsi="Arial"/>
          <w:sz w:val="18"/>
          <w:szCs w:val="18"/>
          <w:color w:val="auto"/>
        </w:rPr>
        <w:t>WHEREAS, subject to the terms and conditions set forth in this Agreement and pursuant to an effective registration statement under the Securities Act (as defined below), the Company desires to issue and sell to each Purchaser, and each Purchaser, severally and not jointly, desires to purchase from the Company, securities of the Company as more fully described in this Agreement.  </w:t>
      </w:r>
    </w:p>
    <w:p>
      <w:pPr>
        <w:spacing w:after="0" w:line="205" w:lineRule="exact"/>
        <w:rPr>
          <w:sz w:val="20"/>
          <w:szCs w:val="20"/>
          <w:color w:val="auto"/>
        </w:rPr>
      </w:pPr>
    </w:p>
    <w:p>
      <w:pPr>
        <w:ind w:firstLine="640"/>
        <w:spacing w:after="0" w:line="255" w:lineRule="auto"/>
        <w:rPr>
          <w:sz w:val="20"/>
          <w:szCs w:val="20"/>
          <w:color w:val="auto"/>
        </w:rPr>
      </w:pPr>
      <w:r>
        <w:rPr>
          <w:rFonts w:ascii="Arial" w:cs="Arial" w:eastAsia="Arial" w:hAnsi="Arial"/>
          <w:sz w:val="18"/>
          <w:szCs w:val="18"/>
          <w:color w:val="auto"/>
        </w:rPr>
        <w:t>NOW, THEREFORE, IN CONSIDERATION of the mutual covenants contained in this Agreement, and for other good and valuable consideration the receipt and adequacy of which are hereby acknowledged, the Company and each Purchaser agree as follows:  </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DEFINITIONS</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6" w:lineRule="exact"/>
        <w:rPr>
          <w:sz w:val="20"/>
          <w:szCs w:val="20"/>
          <w:color w:val="auto"/>
        </w:rPr>
      </w:pPr>
    </w:p>
    <w:p>
      <w:pPr>
        <w:ind w:left="640"/>
        <w:spacing w:after="0"/>
        <w:rPr>
          <w:sz w:val="20"/>
          <w:szCs w:val="20"/>
          <w:color w:val="auto"/>
        </w:rPr>
      </w:pPr>
      <w:r>
        <w:rPr>
          <w:rFonts w:ascii="Arial" w:cs="Arial" w:eastAsia="Arial" w:hAnsi="Arial"/>
          <w:sz w:val="16"/>
          <w:szCs w:val="16"/>
          <w:color w:val="auto"/>
        </w:rPr>
        <w:t>1.1            </w:t>
      </w:r>
      <w:r>
        <w:rPr>
          <w:rFonts w:ascii="Arial" w:cs="Arial" w:eastAsia="Arial" w:hAnsi="Arial"/>
          <w:sz w:val="16"/>
          <w:szCs w:val="16"/>
          <w:u w:val="single" w:color="auto"/>
          <w:color w:val="auto"/>
        </w:rPr>
        <w:t>Definitions</w:t>
      </w:r>
      <w:r>
        <w:rPr>
          <w:rFonts w:ascii="Arial" w:cs="Arial" w:eastAsia="Arial" w:hAnsi="Arial"/>
          <w:sz w:val="16"/>
          <w:szCs w:val="16"/>
          <w:color w:val="auto"/>
        </w:rPr>
        <w:t>. In addition to the terms defined elsewhere in this Agreement, for all purposes of this Agreement, the following terms have the</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meanings set forth in this Section 1.1:</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6"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Acquiring Person</w:t>
      </w:r>
      <w:r>
        <w:rPr>
          <w:rFonts w:ascii="Arial" w:cs="Arial" w:eastAsia="Arial" w:hAnsi="Arial"/>
          <w:sz w:val="18"/>
          <w:szCs w:val="18"/>
          <w:color w:val="auto"/>
        </w:rPr>
        <w:t>” shall have the meaning ascribed to such term in Section 4.5.</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6"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Action</w:t>
      </w:r>
      <w:r>
        <w:rPr>
          <w:rFonts w:ascii="Arial" w:cs="Arial" w:eastAsia="Arial" w:hAnsi="Arial"/>
          <w:sz w:val="18"/>
          <w:szCs w:val="18"/>
          <w:color w:val="auto"/>
        </w:rPr>
        <w:t>” shall have the meaning ascribed to such term in Section 3.1(j).</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6" w:lineRule="exact"/>
        <w:rPr>
          <w:sz w:val="20"/>
          <w:szCs w:val="20"/>
          <w:color w:val="auto"/>
        </w:rPr>
      </w:pPr>
    </w:p>
    <w:p>
      <w:pPr>
        <w:jc w:val="both"/>
        <w:ind w:left="640" w:firstLine="640"/>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any Person that, directly or indirectly through one or more intermediaries, controls or is controlled by or is under common control with a Person as such terms are used in and construed under Rule 405 under the Securities Act.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6"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 of Directors</w:t>
      </w:r>
      <w:r>
        <w:rPr>
          <w:rFonts w:ascii="Arial" w:cs="Arial" w:eastAsia="Arial" w:hAnsi="Arial"/>
          <w:sz w:val="18"/>
          <w:szCs w:val="18"/>
          <w:color w:val="auto"/>
        </w:rPr>
        <w:t>” means the board of directors of the Company.</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6" w:lineRule="exact"/>
        <w:rPr>
          <w:sz w:val="20"/>
          <w:szCs w:val="20"/>
          <w:color w:val="auto"/>
        </w:rPr>
      </w:pPr>
    </w:p>
    <w:p>
      <w:pPr>
        <w:jc w:val="both"/>
        <w:ind w:left="640" w:firstLine="640"/>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other than Saturday, Sunday or other day on which commercial banks in The City of New York are authorized or required by law to remain closed.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6" w:lineRule="exact"/>
        <w:rPr>
          <w:sz w:val="20"/>
          <w:szCs w:val="20"/>
          <w:color w:val="auto"/>
        </w:rPr>
      </w:pPr>
    </w:p>
    <w:p>
      <w:pPr>
        <w:jc w:val="both"/>
        <w:ind w:left="640" w:firstLine="640"/>
        <w:spacing w:after="0" w:line="26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A Purchase Warrants</w:t>
      </w:r>
      <w:r>
        <w:rPr>
          <w:rFonts w:ascii="Arial" w:cs="Arial" w:eastAsia="Arial" w:hAnsi="Arial"/>
          <w:sz w:val="17"/>
          <w:szCs w:val="17"/>
          <w:color w:val="auto"/>
        </w:rPr>
        <w:t xml:space="preserve">” means, collectively, the Class A purchase warrants delivered to the Purchasers at the Closing in accordance with Section 2.2(a) hereof, which warrants shall be exercisable on or after the issuance thereof and have a term of exercise until December 31, 2027, with such further terms as set out in the warrant instrument in the form of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attached hereto.</w:t>
      </w:r>
    </w:p>
    <w:p>
      <w:pPr>
        <w:spacing w:after="0"/>
        <w:rPr>
          <w:sz w:val="20"/>
          <w:szCs w:val="20"/>
          <w:color w:val="auto"/>
        </w:rPr>
      </w:pPr>
      <w:r>
        <w:rPr>
          <w:rFonts w:ascii="Arial" w:cs="Arial" w:eastAsia="Arial" w:hAnsi="Arial"/>
          <w:sz w:val="18"/>
          <w:szCs w:val="18"/>
          <w:color w:val="auto"/>
        </w:rPr>
        <w:t> </w:t>
      </w:r>
    </w:p>
    <w:p>
      <w:pPr>
        <w:spacing w:after="0" w:line="200" w:lineRule="exact"/>
        <w:rPr>
          <w:sz w:val="20"/>
          <w:szCs w:val="20"/>
          <w:color w:val="auto"/>
        </w:rPr>
      </w:pPr>
    </w:p>
    <w:p>
      <w:pPr>
        <w:spacing w:after="0"/>
        <w:rPr>
          <w:sz w:val="20"/>
          <w:szCs w:val="20"/>
          <w:color w:val="auto"/>
        </w:rPr>
      </w:pPr>
      <w:r>
        <w:rPr>
          <w:rFonts w:ascii="Arial" w:cs="Arial" w:eastAsia="Arial" w:hAnsi="Arial"/>
          <w:sz w:val="21"/>
          <w:szCs w:val="21"/>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8" w:name="page29"/>
    <w:bookmarkEnd w:id="28"/>
    <w:p>
      <w:pPr>
        <w:spacing w:after="0"/>
        <w:rPr>
          <w:sz w:val="20"/>
          <w:szCs w:val="20"/>
          <w:color w:val="auto"/>
        </w:rPr>
      </w:pPr>
      <w:r>
        <w:rPr>
          <w:rFonts w:ascii="Arial" w:cs="Arial" w:eastAsia="Arial" w:hAnsi="Arial"/>
          <w:sz w:val="21"/>
          <w:szCs w:val="21"/>
          <w:color w:val="auto"/>
        </w:rPr>
        <w:t> </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19"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w:t>
      </w:r>
      <w:r>
        <w:rPr>
          <w:rFonts w:ascii="Arial" w:cs="Arial" w:eastAsia="Arial" w:hAnsi="Arial"/>
          <w:sz w:val="18"/>
          <w:szCs w:val="18"/>
          <w:color w:val="auto"/>
        </w:rPr>
        <w:t>” means the closing of the purchase and sale of the Securities pursuant to Section 2.1.</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6" w:lineRule="exact"/>
        <w:rPr>
          <w:sz w:val="20"/>
          <w:szCs w:val="20"/>
          <w:color w:val="auto"/>
        </w:rPr>
      </w:pPr>
    </w:p>
    <w:p>
      <w:pPr>
        <w:jc w:val="both"/>
        <w:ind w:left="640" w:firstLine="640"/>
        <w:spacing w:after="0" w:line="24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Closing Date</w:t>
      </w:r>
      <w:r>
        <w:rPr>
          <w:rFonts w:ascii="Arial" w:cs="Arial" w:eastAsia="Arial" w:hAnsi="Arial"/>
          <w:sz w:val="16"/>
          <w:szCs w:val="16"/>
          <w:color w:val="auto"/>
        </w:rPr>
        <w:t>” means the Trading Day on which all of the Transaction Documents have been executed and delivered by the applicable parties thereto, and all conditions precedent to (i) the Purchasers’ obligations to pay the Subscription Amount and (ii) the Company’s obligations to deliver the Securities, in each case, have been satisfied or waived, but in no event later than the second (2</w:t>
      </w:r>
      <w:r>
        <w:rPr>
          <w:rFonts w:ascii="Arial" w:cs="Arial" w:eastAsia="Arial" w:hAnsi="Arial"/>
          <w:sz w:val="26"/>
          <w:szCs w:val="26"/>
          <w:color w:val="auto"/>
          <w:vertAlign w:val="superscript"/>
        </w:rPr>
        <w:t>nd</w:t>
      </w:r>
      <w:r>
        <w:rPr>
          <w:rFonts w:ascii="Arial" w:cs="Arial" w:eastAsia="Arial" w:hAnsi="Arial"/>
          <w:sz w:val="16"/>
          <w:szCs w:val="16"/>
          <w:color w:val="auto"/>
        </w:rPr>
        <w:t>) Trading Day following the date hereof.</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3"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Commission</w:t>
      </w:r>
      <w:r>
        <w:rPr>
          <w:rFonts w:ascii="Arial" w:cs="Arial" w:eastAsia="Arial" w:hAnsi="Arial"/>
          <w:sz w:val="18"/>
          <w:szCs w:val="18"/>
          <w:color w:val="auto"/>
        </w:rPr>
        <w:t>” means the United States Securities and Exchange Commission.</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6" w:lineRule="exact"/>
        <w:rPr>
          <w:sz w:val="20"/>
          <w:szCs w:val="20"/>
          <w:color w:val="auto"/>
        </w:rPr>
      </w:pPr>
    </w:p>
    <w:p>
      <w:pPr>
        <w:jc w:val="both"/>
        <w:ind w:left="640" w:firstLine="640"/>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Shares</w:t>
      </w:r>
      <w:r>
        <w:rPr>
          <w:rFonts w:ascii="Arial" w:cs="Arial" w:eastAsia="Arial" w:hAnsi="Arial"/>
          <w:sz w:val="18"/>
          <w:szCs w:val="18"/>
          <w:color w:val="auto"/>
        </w:rPr>
        <w:t>” means the common shares of the Company, no par value per share, and any other class of securities into which such securities may hereafter be reclassified or changed.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6" w:lineRule="exact"/>
        <w:rPr>
          <w:sz w:val="20"/>
          <w:szCs w:val="20"/>
          <w:color w:val="auto"/>
        </w:rPr>
      </w:pPr>
    </w:p>
    <w:p>
      <w:pPr>
        <w:jc w:val="both"/>
        <w:ind w:left="640" w:firstLine="640"/>
        <w:spacing w:after="0" w:line="26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Common Share Equivalents</w:t>
      </w:r>
      <w:r>
        <w:rPr>
          <w:rFonts w:ascii="Arial" w:cs="Arial" w:eastAsia="Arial" w:hAnsi="Arial"/>
          <w:sz w:val="17"/>
          <w:szCs w:val="17"/>
          <w:color w:val="auto"/>
        </w:rPr>
        <w:t>” means any securities of the Company or the Subsidiaries which would entitle the holder thereof to acquire at any time Common Shares, including, without limitation, any debt, preferred shares, right, option, warrant or other instrument that is at any time convertible into or exercisable or exchangeable for, or otherwise entitles the holder thereof to receive Common Shares.</w:t>
      </w:r>
    </w:p>
    <w:p>
      <w:pPr>
        <w:spacing w:after="0"/>
        <w:rPr>
          <w:sz w:val="20"/>
          <w:szCs w:val="20"/>
          <w:color w:val="auto"/>
        </w:rPr>
      </w:pPr>
      <w:r>
        <w:rPr>
          <w:rFonts w:ascii="Arial" w:cs="Arial" w:eastAsia="Arial" w:hAnsi="Arial"/>
          <w:sz w:val="18"/>
          <w:szCs w:val="18"/>
          <w:color w:val="auto"/>
        </w:rPr>
        <w:t> </w:t>
      </w:r>
    </w:p>
    <w:p>
      <w:pPr>
        <w:spacing w:after="0" w:line="6"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Laws</w:t>
      </w:r>
      <w:r>
        <w:rPr>
          <w:rFonts w:ascii="Arial" w:cs="Arial" w:eastAsia="Arial" w:hAnsi="Arial"/>
          <w:sz w:val="18"/>
          <w:szCs w:val="18"/>
          <w:color w:val="auto"/>
        </w:rPr>
        <w:t>” shall have the meaning assigned to such term in Section 3.1(m).</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6"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Evaluation Date</w:t>
      </w:r>
      <w:r>
        <w:rPr>
          <w:rFonts w:ascii="Arial" w:cs="Arial" w:eastAsia="Arial" w:hAnsi="Arial"/>
          <w:sz w:val="18"/>
          <w:szCs w:val="18"/>
          <w:color w:val="auto"/>
        </w:rPr>
        <w:t>” shall have the meaning ascribed to such term in Section 3.1(s).</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6"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Exchange Act</w:t>
      </w:r>
      <w:r>
        <w:rPr>
          <w:rFonts w:ascii="Arial" w:cs="Arial" w:eastAsia="Arial" w:hAnsi="Arial"/>
          <w:sz w:val="17"/>
          <w:szCs w:val="17"/>
          <w:color w:val="auto"/>
        </w:rPr>
        <w:t>” means the Securities Exchange Act of 1934, as amended, and the rules and regulations promulgated thereunder.</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6"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FCPA</w:t>
      </w:r>
      <w:r>
        <w:rPr>
          <w:rFonts w:ascii="Arial" w:cs="Arial" w:eastAsia="Arial" w:hAnsi="Arial"/>
          <w:sz w:val="18"/>
          <w:szCs w:val="18"/>
          <w:color w:val="auto"/>
        </w:rPr>
        <w:t>” means the Foreign Corrupt Practices Act of 1977, as amended.</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6"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shall have the meaning ascribed to such term in Section 3.1(h).</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6"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Hazardous Materials</w:t>
      </w:r>
      <w:r>
        <w:rPr>
          <w:rFonts w:ascii="Arial" w:cs="Arial" w:eastAsia="Arial" w:hAnsi="Arial"/>
          <w:sz w:val="18"/>
          <w:szCs w:val="18"/>
          <w:color w:val="auto"/>
        </w:rPr>
        <w:t>” shall have the meaning assigned to such term in Section 3.1(m).</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6"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Intellectual Property Rights</w:t>
      </w:r>
      <w:r>
        <w:rPr>
          <w:rFonts w:ascii="Arial" w:cs="Arial" w:eastAsia="Arial" w:hAnsi="Arial"/>
          <w:sz w:val="18"/>
          <w:szCs w:val="18"/>
          <w:color w:val="auto"/>
        </w:rPr>
        <w:t>” shall have the meaning ascribed to such term in Section 3.1(p).</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6"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Liens</w:t>
      </w:r>
      <w:r>
        <w:rPr>
          <w:rFonts w:ascii="Arial" w:cs="Arial" w:eastAsia="Arial" w:hAnsi="Arial"/>
          <w:sz w:val="17"/>
          <w:szCs w:val="17"/>
          <w:color w:val="auto"/>
        </w:rPr>
        <w:t>” means a lien, charge, pledge, security interest, encumbrance, right of first refusal, preemptive right or other restriction.</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6"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Adverse Effect</w:t>
      </w:r>
      <w:r>
        <w:rPr>
          <w:rFonts w:ascii="Arial" w:cs="Arial" w:eastAsia="Arial" w:hAnsi="Arial"/>
          <w:sz w:val="18"/>
          <w:szCs w:val="18"/>
          <w:color w:val="auto"/>
        </w:rPr>
        <w:t>” shall have the meaning assigned to such term in Section 3.1(b).</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6"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Permits</w:t>
      </w:r>
      <w:r>
        <w:rPr>
          <w:rFonts w:ascii="Arial" w:cs="Arial" w:eastAsia="Arial" w:hAnsi="Arial"/>
          <w:sz w:val="18"/>
          <w:szCs w:val="18"/>
          <w:color w:val="auto"/>
        </w:rPr>
        <w:t>” shall have the meaning ascribed to such term in Section 3.1(n).</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820" w:type="dxa"/>
            <w:vAlign w:val="bottom"/>
          </w:tcPr>
          <w:p>
            <w:pPr>
              <w:spacing w:after="0"/>
              <w:rPr>
                <w:sz w:val="20"/>
                <w:szCs w:val="20"/>
                <w:color w:val="auto"/>
              </w:rPr>
            </w:pPr>
            <w:r>
              <w:rPr>
                <w:rFonts w:ascii="Arial" w:cs="Arial" w:eastAsia="Arial" w:hAnsi="Arial"/>
                <w:sz w:val="18"/>
                <w:szCs w:val="18"/>
                <w:color w:val="auto"/>
              </w:rPr>
              <w:t> </w:t>
            </w:r>
          </w:p>
        </w:tc>
        <w:tc>
          <w:tcPr>
            <w:tcW w:w="5620" w:type="dxa"/>
            <w:vAlign w:val="bottom"/>
          </w:tcPr>
          <w:p>
            <w:pPr>
              <w:spacing w:after="0"/>
              <w:rPr>
                <w:sz w:val="19"/>
                <w:szCs w:val="19"/>
                <w:color w:val="auto"/>
              </w:rPr>
            </w:pPr>
          </w:p>
        </w:tc>
        <w:tc>
          <w:tcPr>
            <w:tcW w:w="2800" w:type="dxa"/>
            <w:vAlign w:val="bottom"/>
          </w:tcPr>
          <w:p>
            <w:pPr>
              <w:spacing w:after="0"/>
              <w:rPr>
                <w:sz w:val="19"/>
                <w:szCs w:val="19"/>
                <w:color w:val="auto"/>
              </w:rPr>
            </w:pPr>
          </w:p>
        </w:tc>
      </w:tr>
      <w:tr>
        <w:trPr>
          <w:trHeight w:val="414"/>
        </w:trPr>
        <w:tc>
          <w:tcPr>
            <w:tcW w:w="2820" w:type="dxa"/>
            <w:vAlign w:val="bottom"/>
          </w:tcPr>
          <w:p>
            <w:pPr>
              <w:spacing w:after="0"/>
              <w:rPr>
                <w:sz w:val="20"/>
                <w:szCs w:val="20"/>
                <w:color w:val="auto"/>
              </w:rPr>
            </w:pPr>
            <w:r>
              <w:rPr>
                <w:rFonts w:ascii="Arial" w:cs="Arial" w:eastAsia="Arial" w:hAnsi="Arial"/>
                <w:sz w:val="18"/>
                <w:szCs w:val="18"/>
                <w:color w:val="auto"/>
              </w:rPr>
              <w:t> </w:t>
            </w:r>
          </w:p>
        </w:tc>
        <w:tc>
          <w:tcPr>
            <w:tcW w:w="5620" w:type="dxa"/>
            <w:vAlign w:val="bottom"/>
          </w:tcPr>
          <w:p>
            <w:pPr>
              <w:jc w:val="right"/>
              <w:ind w:right="2671"/>
              <w:spacing w:after="0"/>
              <w:rPr>
                <w:sz w:val="20"/>
                <w:szCs w:val="20"/>
                <w:color w:val="auto"/>
              </w:rPr>
            </w:pPr>
            <w:r>
              <w:rPr>
                <w:rFonts w:ascii="Arial" w:cs="Arial" w:eastAsia="Arial" w:hAnsi="Arial"/>
                <w:sz w:val="18"/>
                <w:szCs w:val="18"/>
                <w:color w:val="auto"/>
              </w:rPr>
              <w:t>2</w:t>
            </w:r>
          </w:p>
        </w:tc>
        <w:tc>
          <w:tcPr>
            <w:tcW w:w="2800" w:type="dxa"/>
            <w:vAlign w:val="bottom"/>
          </w:tcPr>
          <w:p>
            <w:pPr>
              <w:ind w:left="2760"/>
              <w:spacing w:after="0"/>
              <w:rPr>
                <w:sz w:val="20"/>
                <w:szCs w:val="20"/>
                <w:color w:val="auto"/>
              </w:rPr>
            </w:pPr>
            <w:r>
              <w:rPr>
                <w:rFonts w:ascii="Arial" w:cs="Arial" w:eastAsia="Arial" w:hAnsi="Arial"/>
                <w:sz w:val="13"/>
                <w:szCs w:val="13"/>
                <w:color w:val="auto"/>
                <w:w w:val="75"/>
              </w:rPr>
              <w:t>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wp:posOffset>
            </wp:positionV>
            <wp:extent cx="713422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29" w:name="page30"/>
    <w:bookmarkEnd w:id="29"/>
    <w:p>
      <w:pPr>
        <w:spacing w:after="0"/>
        <w:rPr>
          <w:sz w:val="20"/>
          <w:szCs w:val="20"/>
          <w:color w:val="auto"/>
        </w:rPr>
      </w:pPr>
      <w:r>
        <w:rPr>
          <w:rFonts w:ascii="Arial" w:cs="Arial" w:eastAsia="Arial" w:hAnsi="Arial"/>
          <w:sz w:val="21"/>
          <w:szCs w:val="21"/>
          <w:color w:val="auto"/>
        </w:rPr>
        <w:t> </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19" w:lineRule="exact"/>
        <w:rPr>
          <w:sz w:val="20"/>
          <w:szCs w:val="20"/>
          <w:color w:val="auto"/>
        </w:rPr>
      </w:pPr>
    </w:p>
    <w:p>
      <w:pPr>
        <w:jc w:val="both"/>
        <w:ind w:left="640" w:firstLine="640"/>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 Share Purchase Price</w:t>
      </w:r>
      <w:r>
        <w:rPr>
          <w:rFonts w:ascii="Arial" w:cs="Arial" w:eastAsia="Arial" w:hAnsi="Arial"/>
          <w:sz w:val="18"/>
          <w:szCs w:val="18"/>
          <w:color w:val="auto"/>
        </w:rPr>
        <w:t>” equals $2.00, subject to adjustment for reverse and forward stock splits, stock dividends, stock combinations and other similar transactions of the Common Shares that occur after the date of this Agreement.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6" w:lineRule="exact"/>
        <w:rPr>
          <w:sz w:val="20"/>
          <w:szCs w:val="20"/>
          <w:color w:val="auto"/>
        </w:rPr>
      </w:pPr>
    </w:p>
    <w:p>
      <w:pPr>
        <w:jc w:val="both"/>
        <w:ind w:left="640" w:firstLine="640"/>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6" w:lineRule="exact"/>
        <w:rPr>
          <w:sz w:val="20"/>
          <w:szCs w:val="20"/>
          <w:color w:val="auto"/>
        </w:rPr>
      </w:pPr>
    </w:p>
    <w:p>
      <w:pPr>
        <w:jc w:val="both"/>
        <w:ind w:left="640" w:firstLine="640"/>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Proceeding</w:t>
      </w:r>
      <w:r>
        <w:rPr>
          <w:rFonts w:ascii="Arial" w:cs="Arial" w:eastAsia="Arial" w:hAnsi="Arial"/>
          <w:sz w:val="18"/>
          <w:szCs w:val="18"/>
          <w:color w:val="auto"/>
        </w:rPr>
        <w:t>” means an action, claim, suit, investigation or proceeding (including, without limitation, a partial proceeding, such as a deposition), whether commenced or threatened in writing.</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6"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Prospectus</w:t>
      </w:r>
      <w:r>
        <w:rPr>
          <w:rFonts w:ascii="Arial" w:cs="Arial" w:eastAsia="Arial" w:hAnsi="Arial"/>
          <w:sz w:val="18"/>
          <w:szCs w:val="18"/>
          <w:color w:val="auto"/>
        </w:rPr>
        <w:t>” means the base prospectus included in the Registration Statement.</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6" w:lineRule="exact"/>
        <w:rPr>
          <w:sz w:val="20"/>
          <w:szCs w:val="20"/>
          <w:color w:val="auto"/>
        </w:rPr>
      </w:pPr>
    </w:p>
    <w:p>
      <w:pPr>
        <w:jc w:val="both"/>
        <w:ind w:left="640" w:firstLine="640"/>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Prospectus Supplement</w:t>
      </w:r>
      <w:r>
        <w:rPr>
          <w:rFonts w:ascii="Arial" w:cs="Arial" w:eastAsia="Arial" w:hAnsi="Arial"/>
          <w:sz w:val="18"/>
          <w:szCs w:val="18"/>
          <w:color w:val="auto"/>
        </w:rPr>
        <w:t>” means the supplement to the Prospectus complying with Rule 424(b) of the Securities Act that will be filed with the Commission in connection with the offer and sale of the Securities.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6"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Purchaser Party</w:t>
      </w:r>
      <w:r>
        <w:rPr>
          <w:rFonts w:ascii="Arial" w:cs="Arial" w:eastAsia="Arial" w:hAnsi="Arial"/>
          <w:sz w:val="18"/>
          <w:szCs w:val="18"/>
          <w:color w:val="auto"/>
        </w:rPr>
        <w:t>” shall have the meaning ascribed to such term in Section 4.8.</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6" w:lineRule="exact"/>
        <w:rPr>
          <w:sz w:val="20"/>
          <w:szCs w:val="20"/>
          <w:color w:val="auto"/>
        </w:rPr>
      </w:pPr>
    </w:p>
    <w:p>
      <w:pPr>
        <w:jc w:val="both"/>
        <w:ind w:left="640" w:firstLine="640"/>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 means the effective shelf registration statement on Form S-3 on file with Commission (File No. 333-267479), as amended, which registers the sale of the Securities to the Purchasers.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6"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Approvals</w:t>
      </w:r>
      <w:r>
        <w:rPr>
          <w:rFonts w:ascii="Arial" w:cs="Arial" w:eastAsia="Arial" w:hAnsi="Arial"/>
          <w:sz w:val="18"/>
          <w:szCs w:val="18"/>
          <w:color w:val="auto"/>
        </w:rPr>
        <w:t>” shall have the meaning ascribed to such term in Section 3.1(e).</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6" w:lineRule="exact"/>
        <w:rPr>
          <w:sz w:val="20"/>
          <w:szCs w:val="20"/>
          <w:color w:val="auto"/>
        </w:rPr>
      </w:pPr>
    </w:p>
    <w:p>
      <w:pPr>
        <w:jc w:val="both"/>
        <w:ind w:left="640" w:firstLine="640"/>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424</w:t>
      </w:r>
      <w:r>
        <w:rPr>
          <w:rFonts w:ascii="Arial" w:cs="Arial" w:eastAsia="Arial" w:hAnsi="Arial"/>
          <w:sz w:val="18"/>
          <w:szCs w:val="18"/>
          <w:color w:val="auto"/>
        </w:rPr>
        <w:t>” means Rule 424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6"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 Reports</w:t>
      </w:r>
      <w:r>
        <w:rPr>
          <w:rFonts w:ascii="Arial" w:cs="Arial" w:eastAsia="Arial" w:hAnsi="Arial"/>
          <w:sz w:val="18"/>
          <w:szCs w:val="18"/>
          <w:color w:val="auto"/>
        </w:rPr>
        <w:t>” shall have the meaning ascribed to such term in Section 3.1(h).</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6"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w:t>
      </w:r>
      <w:r>
        <w:rPr>
          <w:rFonts w:ascii="Arial" w:cs="Arial" w:eastAsia="Arial" w:hAnsi="Arial"/>
          <w:sz w:val="18"/>
          <w:szCs w:val="18"/>
          <w:color w:val="auto"/>
        </w:rPr>
        <w:t>” means the Shares, the Warrants and the Warrant Shares.</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6"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as amended, and the rules and regulations promulgated thereunder.</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6"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Shares</w:t>
      </w:r>
      <w:r>
        <w:rPr>
          <w:rFonts w:ascii="Arial" w:cs="Arial" w:eastAsia="Arial" w:hAnsi="Arial"/>
          <w:sz w:val="18"/>
          <w:szCs w:val="18"/>
          <w:color w:val="auto"/>
        </w:rPr>
        <w:t>” means Common Shares issued or issuable to each Purchaser pursuant to this Agreement.</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6" w:lineRule="exact"/>
        <w:rPr>
          <w:sz w:val="20"/>
          <w:szCs w:val="20"/>
          <w:color w:val="auto"/>
        </w:rPr>
      </w:pPr>
    </w:p>
    <w:p>
      <w:pPr>
        <w:jc w:val="both"/>
        <w:ind w:left="640" w:firstLine="640"/>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Short Sales</w:t>
      </w:r>
      <w:r>
        <w:rPr>
          <w:rFonts w:ascii="Arial" w:cs="Arial" w:eastAsia="Arial" w:hAnsi="Arial"/>
          <w:sz w:val="18"/>
          <w:szCs w:val="18"/>
          <w:color w:val="auto"/>
        </w:rPr>
        <w:t>” means all “short sales” as defined in Rule 200 of Regulation SHO under the Exchange Act (but shall not be deemed to include locating and/or borrowing Common Shares).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820" w:type="dxa"/>
            <w:vAlign w:val="bottom"/>
          </w:tcPr>
          <w:p>
            <w:pPr>
              <w:spacing w:after="0"/>
              <w:rPr>
                <w:sz w:val="20"/>
                <w:szCs w:val="20"/>
                <w:color w:val="auto"/>
              </w:rPr>
            </w:pPr>
            <w:r>
              <w:rPr>
                <w:rFonts w:ascii="Arial" w:cs="Arial" w:eastAsia="Arial" w:hAnsi="Arial"/>
                <w:sz w:val="18"/>
                <w:szCs w:val="18"/>
                <w:color w:val="auto"/>
              </w:rPr>
              <w:t> </w:t>
            </w:r>
          </w:p>
        </w:tc>
        <w:tc>
          <w:tcPr>
            <w:tcW w:w="5620" w:type="dxa"/>
            <w:vAlign w:val="bottom"/>
          </w:tcPr>
          <w:p>
            <w:pPr>
              <w:spacing w:after="0"/>
              <w:rPr>
                <w:sz w:val="19"/>
                <w:szCs w:val="19"/>
                <w:color w:val="auto"/>
              </w:rPr>
            </w:pPr>
          </w:p>
        </w:tc>
        <w:tc>
          <w:tcPr>
            <w:tcW w:w="2800" w:type="dxa"/>
            <w:vAlign w:val="bottom"/>
          </w:tcPr>
          <w:p>
            <w:pPr>
              <w:spacing w:after="0"/>
              <w:rPr>
                <w:sz w:val="19"/>
                <w:szCs w:val="19"/>
                <w:color w:val="auto"/>
              </w:rPr>
            </w:pPr>
          </w:p>
        </w:tc>
      </w:tr>
      <w:tr>
        <w:trPr>
          <w:trHeight w:val="414"/>
        </w:trPr>
        <w:tc>
          <w:tcPr>
            <w:tcW w:w="2820" w:type="dxa"/>
            <w:vAlign w:val="bottom"/>
          </w:tcPr>
          <w:p>
            <w:pPr>
              <w:spacing w:after="0"/>
              <w:rPr>
                <w:sz w:val="20"/>
                <w:szCs w:val="20"/>
                <w:color w:val="auto"/>
              </w:rPr>
            </w:pPr>
            <w:r>
              <w:rPr>
                <w:rFonts w:ascii="Arial" w:cs="Arial" w:eastAsia="Arial" w:hAnsi="Arial"/>
                <w:sz w:val="18"/>
                <w:szCs w:val="18"/>
                <w:color w:val="auto"/>
              </w:rPr>
              <w:t> </w:t>
            </w:r>
          </w:p>
        </w:tc>
        <w:tc>
          <w:tcPr>
            <w:tcW w:w="5620" w:type="dxa"/>
            <w:vAlign w:val="bottom"/>
          </w:tcPr>
          <w:p>
            <w:pPr>
              <w:jc w:val="right"/>
              <w:ind w:right="2671"/>
              <w:spacing w:after="0"/>
              <w:rPr>
                <w:sz w:val="20"/>
                <w:szCs w:val="20"/>
                <w:color w:val="auto"/>
              </w:rPr>
            </w:pPr>
            <w:r>
              <w:rPr>
                <w:rFonts w:ascii="Arial" w:cs="Arial" w:eastAsia="Arial" w:hAnsi="Arial"/>
                <w:sz w:val="18"/>
                <w:szCs w:val="18"/>
                <w:color w:val="auto"/>
              </w:rPr>
              <w:t>3</w:t>
            </w:r>
          </w:p>
        </w:tc>
        <w:tc>
          <w:tcPr>
            <w:tcW w:w="2800" w:type="dxa"/>
            <w:vAlign w:val="bottom"/>
          </w:tcPr>
          <w:p>
            <w:pPr>
              <w:ind w:left="2760"/>
              <w:spacing w:after="0"/>
              <w:rPr>
                <w:sz w:val="20"/>
                <w:szCs w:val="20"/>
                <w:color w:val="auto"/>
              </w:rPr>
            </w:pPr>
            <w:r>
              <w:rPr>
                <w:rFonts w:ascii="Arial" w:cs="Arial" w:eastAsia="Arial" w:hAnsi="Arial"/>
                <w:sz w:val="13"/>
                <w:szCs w:val="13"/>
                <w:color w:val="auto"/>
                <w:w w:val="75"/>
              </w:rPr>
              <w:t>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wp:posOffset>
            </wp:positionV>
            <wp:extent cx="713422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30" w:name="page31"/>
    <w:bookmarkEnd w:id="30"/>
    <w:p>
      <w:pPr>
        <w:spacing w:after="0"/>
        <w:rPr>
          <w:sz w:val="20"/>
          <w:szCs w:val="20"/>
          <w:color w:val="auto"/>
        </w:rPr>
      </w:pPr>
      <w:r>
        <w:rPr>
          <w:rFonts w:ascii="Arial" w:cs="Arial" w:eastAsia="Arial" w:hAnsi="Arial"/>
          <w:sz w:val="21"/>
          <w:szCs w:val="21"/>
          <w:color w:val="auto"/>
        </w:rPr>
        <w:t> </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19" w:lineRule="exact"/>
        <w:rPr>
          <w:sz w:val="20"/>
          <w:szCs w:val="20"/>
          <w:color w:val="auto"/>
        </w:rPr>
      </w:pPr>
    </w:p>
    <w:p>
      <w:pPr>
        <w:jc w:val="both"/>
        <w:ind w:left="640" w:firstLine="640"/>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Subscription Amount</w:t>
      </w:r>
      <w:r>
        <w:rPr>
          <w:rFonts w:ascii="Arial" w:cs="Arial" w:eastAsia="Arial" w:hAnsi="Arial"/>
          <w:sz w:val="18"/>
          <w:szCs w:val="18"/>
          <w:color w:val="auto"/>
        </w:rPr>
        <w:t>” means, as to each Purchaser, the aggregate amount to be paid for Shares and Class A Purchase Warrants, as the case may be, purchased hereunder as specified below such Purchaser’s name on the signature page of this Agreement and next to the heading “Subscription Amount,” in United States dollars and in immediately available funds.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6" w:lineRule="exact"/>
        <w:rPr>
          <w:sz w:val="20"/>
          <w:szCs w:val="20"/>
          <w:color w:val="auto"/>
        </w:rPr>
      </w:pPr>
    </w:p>
    <w:p>
      <w:pPr>
        <w:jc w:val="both"/>
        <w:ind w:left="640" w:firstLine="640"/>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any subsidiary of the Company as set forth in the SEC Reports, and shall, where applicable, also include any direct or indirect subsidiary of the Company formed or acquired after the date hereof.</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6"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Trading Day</w:t>
      </w:r>
      <w:r>
        <w:rPr>
          <w:rFonts w:ascii="Arial" w:cs="Arial" w:eastAsia="Arial" w:hAnsi="Arial"/>
          <w:sz w:val="18"/>
          <w:szCs w:val="18"/>
          <w:color w:val="auto"/>
        </w:rPr>
        <w:t>” means a day on which the principal Trading Market is open for trading.</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6" w:lineRule="exact"/>
        <w:rPr>
          <w:sz w:val="20"/>
          <w:szCs w:val="20"/>
          <w:color w:val="auto"/>
        </w:rPr>
      </w:pPr>
    </w:p>
    <w:p>
      <w:pPr>
        <w:jc w:val="both"/>
        <w:ind w:left="640" w:firstLine="640"/>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Trading Market</w:t>
      </w:r>
      <w:r>
        <w:rPr>
          <w:rFonts w:ascii="Arial" w:cs="Arial" w:eastAsia="Arial" w:hAnsi="Arial"/>
          <w:sz w:val="18"/>
          <w:szCs w:val="18"/>
          <w:color w:val="auto"/>
        </w:rPr>
        <w:t>” means any of the following markets or exchanges on which the Common Shares are listed or quoted for trading on the date in question: the NYSE American, the Nasdaq Capital Market, the Nasdaq Global Market, the Nasdaq Global Select Market, the New York Stock Exchange, OTCQB or OTCQX (or any successors to any of the foregoing).</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6" w:lineRule="exact"/>
        <w:rPr>
          <w:sz w:val="20"/>
          <w:szCs w:val="20"/>
          <w:color w:val="auto"/>
        </w:rPr>
      </w:pPr>
    </w:p>
    <w:p>
      <w:pPr>
        <w:jc w:val="both"/>
        <w:ind w:left="640" w:right="20" w:firstLine="640"/>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 Documents</w:t>
      </w:r>
      <w:r>
        <w:rPr>
          <w:rFonts w:ascii="Arial" w:cs="Arial" w:eastAsia="Arial" w:hAnsi="Arial"/>
          <w:sz w:val="18"/>
          <w:szCs w:val="18"/>
          <w:color w:val="auto"/>
        </w:rPr>
        <w:t>” means this Agreement, the Warrants, all exhibits and schedules thereto and hereto and any other documents or agreements executed with the Purchasers in connection with the transactions contemplated hereunder.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6" w:lineRule="exact"/>
        <w:rPr>
          <w:sz w:val="20"/>
          <w:szCs w:val="20"/>
          <w:color w:val="auto"/>
        </w:rPr>
      </w:pPr>
    </w:p>
    <w:p>
      <w:pPr>
        <w:jc w:val="both"/>
        <w:ind w:left="640" w:right="20" w:firstLine="640"/>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 Agent</w:t>
      </w:r>
      <w:r>
        <w:rPr>
          <w:rFonts w:ascii="Arial" w:cs="Arial" w:eastAsia="Arial" w:hAnsi="Arial"/>
          <w:sz w:val="18"/>
          <w:szCs w:val="18"/>
          <w:color w:val="auto"/>
        </w:rPr>
        <w:t>” means Continental Stock Transfer &amp; Trust Company, the current transfer agent of the Company, and any successor transfer agent of the Company.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6"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Warrants</w:t>
      </w:r>
      <w:r>
        <w:rPr>
          <w:rFonts w:ascii="Arial" w:cs="Arial" w:eastAsia="Arial" w:hAnsi="Arial"/>
          <w:sz w:val="18"/>
          <w:szCs w:val="18"/>
          <w:color w:val="auto"/>
        </w:rPr>
        <w:t>” means the Class A Purchase Warrants.</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6"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Warrant Shares</w:t>
      </w:r>
      <w:r>
        <w:rPr>
          <w:rFonts w:ascii="Arial" w:cs="Arial" w:eastAsia="Arial" w:hAnsi="Arial"/>
          <w:sz w:val="18"/>
          <w:szCs w:val="18"/>
          <w:color w:val="auto"/>
        </w:rPr>
        <w:t>” means the Common Shares issuable upon exercise of the Warrants.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820" w:type="dxa"/>
            <w:vAlign w:val="bottom"/>
          </w:tcPr>
          <w:p>
            <w:pPr>
              <w:spacing w:after="0"/>
              <w:rPr>
                <w:sz w:val="20"/>
                <w:szCs w:val="20"/>
                <w:color w:val="auto"/>
              </w:rPr>
            </w:pPr>
            <w:r>
              <w:rPr>
                <w:rFonts w:ascii="Arial" w:cs="Arial" w:eastAsia="Arial" w:hAnsi="Arial"/>
                <w:sz w:val="18"/>
                <w:szCs w:val="18"/>
                <w:color w:val="auto"/>
              </w:rPr>
              <w:t> </w:t>
            </w:r>
          </w:p>
        </w:tc>
        <w:tc>
          <w:tcPr>
            <w:tcW w:w="5620" w:type="dxa"/>
            <w:vAlign w:val="bottom"/>
          </w:tcPr>
          <w:p>
            <w:pPr>
              <w:spacing w:after="0"/>
              <w:rPr>
                <w:sz w:val="19"/>
                <w:szCs w:val="19"/>
                <w:color w:val="auto"/>
              </w:rPr>
            </w:pPr>
          </w:p>
        </w:tc>
        <w:tc>
          <w:tcPr>
            <w:tcW w:w="2800" w:type="dxa"/>
            <w:vAlign w:val="bottom"/>
          </w:tcPr>
          <w:p>
            <w:pPr>
              <w:spacing w:after="0"/>
              <w:rPr>
                <w:sz w:val="19"/>
                <w:szCs w:val="19"/>
                <w:color w:val="auto"/>
              </w:rPr>
            </w:pPr>
          </w:p>
        </w:tc>
      </w:tr>
      <w:tr>
        <w:trPr>
          <w:trHeight w:val="414"/>
        </w:trPr>
        <w:tc>
          <w:tcPr>
            <w:tcW w:w="2820" w:type="dxa"/>
            <w:vAlign w:val="bottom"/>
          </w:tcPr>
          <w:p>
            <w:pPr>
              <w:spacing w:after="0"/>
              <w:rPr>
                <w:sz w:val="20"/>
                <w:szCs w:val="20"/>
                <w:color w:val="auto"/>
              </w:rPr>
            </w:pPr>
            <w:r>
              <w:rPr>
                <w:rFonts w:ascii="Arial" w:cs="Arial" w:eastAsia="Arial" w:hAnsi="Arial"/>
                <w:sz w:val="18"/>
                <w:szCs w:val="18"/>
                <w:color w:val="auto"/>
              </w:rPr>
              <w:t> </w:t>
            </w:r>
          </w:p>
        </w:tc>
        <w:tc>
          <w:tcPr>
            <w:tcW w:w="5620" w:type="dxa"/>
            <w:vAlign w:val="bottom"/>
          </w:tcPr>
          <w:p>
            <w:pPr>
              <w:jc w:val="right"/>
              <w:ind w:right="2671"/>
              <w:spacing w:after="0"/>
              <w:rPr>
                <w:sz w:val="20"/>
                <w:szCs w:val="20"/>
                <w:color w:val="auto"/>
              </w:rPr>
            </w:pPr>
            <w:r>
              <w:rPr>
                <w:rFonts w:ascii="Arial" w:cs="Arial" w:eastAsia="Arial" w:hAnsi="Arial"/>
                <w:sz w:val="18"/>
                <w:szCs w:val="18"/>
                <w:color w:val="auto"/>
              </w:rPr>
              <w:t>4</w:t>
            </w:r>
          </w:p>
        </w:tc>
        <w:tc>
          <w:tcPr>
            <w:tcW w:w="2800" w:type="dxa"/>
            <w:vAlign w:val="bottom"/>
          </w:tcPr>
          <w:p>
            <w:pPr>
              <w:ind w:left="2760"/>
              <w:spacing w:after="0"/>
              <w:rPr>
                <w:sz w:val="20"/>
                <w:szCs w:val="20"/>
                <w:color w:val="auto"/>
              </w:rPr>
            </w:pPr>
            <w:r>
              <w:rPr>
                <w:rFonts w:ascii="Arial" w:cs="Arial" w:eastAsia="Arial" w:hAnsi="Arial"/>
                <w:sz w:val="13"/>
                <w:szCs w:val="13"/>
                <w:color w:val="auto"/>
                <w:w w:val="75"/>
              </w:rPr>
              <w:t>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wp:posOffset>
            </wp:positionV>
            <wp:extent cx="713422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31" w:name="page32"/>
    <w:bookmarkEnd w:id="31"/>
    <w:p>
      <w:pPr>
        <w:spacing w:after="0"/>
        <w:rPr>
          <w:sz w:val="20"/>
          <w:szCs w:val="20"/>
          <w:color w:val="auto"/>
        </w:rPr>
      </w:pPr>
      <w:r>
        <w:rPr>
          <w:rFonts w:ascii="Arial" w:cs="Arial" w:eastAsia="Arial" w:hAnsi="Arial"/>
          <w:sz w:val="21"/>
          <w:szCs w:val="21"/>
          <w:color w:val="auto"/>
        </w:rPr>
        <w:t> </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PURCHASE AND SALE</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6" w:lineRule="exact"/>
        <w:rPr>
          <w:sz w:val="20"/>
          <w:szCs w:val="20"/>
          <w:color w:val="auto"/>
        </w:rPr>
      </w:pPr>
    </w:p>
    <w:p>
      <w:pPr>
        <w:jc w:val="both"/>
        <w:ind w:firstLine="640"/>
        <w:spacing w:after="0" w:line="318" w:lineRule="auto"/>
        <w:rPr>
          <w:sz w:val="20"/>
          <w:szCs w:val="20"/>
          <w:color w:val="auto"/>
        </w:rPr>
      </w:pPr>
      <w:r>
        <w:rPr>
          <w:rFonts w:ascii="Arial" w:cs="Arial" w:eastAsia="Arial" w:hAnsi="Arial"/>
          <w:sz w:val="14"/>
          <w:szCs w:val="14"/>
          <w:color w:val="auto"/>
        </w:rPr>
        <w:t>2.1           Closing. On the Closing Date, upon the terms and subject to the conditions set forth herein, substantially concurrent with the execution and delivery of this Agreement by the parties hereto, the Company agrees to sell, and the Purchasers, severally and not jointly, agree to purchase, up to an aggregate of $37,923,080 of Shares and Class A Purchase Warrants. Each Purchaser’s Subscription Amount as set forth on the signature page hereto executed by such Purchaser shall be made available for “Delivery Versus Payment” settlement with the Company or its designee. The Company shall deliver to each Purchaser its respective Shares and a Class A Purchase Warrant, as determined pursuant to Section 2.2(a), and the Company and each Purchaser shall deliver the other items set forth in Section 2.2 at the Closing. Upon satisfaction of the covenants and conditions set forth in Sections 2.2 and 2.3, the Closing shall occur at the offices of Mintz, Levin, Cohn, Ferris, Glovsky &amp; Popeo, P.C. or such other location as the parties shall mutually agree. After the Closing,</w:t>
      </w:r>
    </w:p>
    <w:p>
      <w:pPr>
        <w:spacing w:after="0" w:line="1" w:lineRule="exact"/>
        <w:rPr>
          <w:sz w:val="20"/>
          <w:szCs w:val="20"/>
          <w:color w:val="auto"/>
        </w:rPr>
      </w:pPr>
    </w:p>
    <w:p>
      <w:pPr>
        <w:jc w:val="both"/>
        <w:ind w:firstLine="7"/>
        <w:spacing w:after="0" w:line="278" w:lineRule="auto"/>
        <w:tabs>
          <w:tab w:leader="none" w:pos="290" w:val="left"/>
        </w:tabs>
        <w:numPr>
          <w:ilvl w:val="0"/>
          <w:numId w:val="23"/>
        </w:numPr>
        <w:rPr>
          <w:rFonts w:ascii="Arial" w:cs="Arial" w:eastAsia="Arial" w:hAnsi="Arial"/>
          <w:sz w:val="16"/>
          <w:szCs w:val="16"/>
          <w:color w:val="auto"/>
        </w:rPr>
      </w:pPr>
      <w:r>
        <w:rPr>
          <w:rFonts w:ascii="Arial" w:cs="Arial" w:eastAsia="Arial" w:hAnsi="Arial"/>
          <w:sz w:val="16"/>
          <w:szCs w:val="16"/>
          <w:color w:val="auto"/>
        </w:rPr>
        <w:t>[_____] shall purchase and the Company shall sell and issue to [_____] (each an “Additional [_____] Closing”) such number of Shares and accompanying Class A Purchase Warrants on such dates set forth on the signature page hereto executed by [_____] (each such date, an “Additional [_____] Closing Date”) and (b) [_____], or its designees (“[_____]”) may purchase, at its sole election, and the Company shall sell and issue to [_____] if so elected by [_____] (the “[_____] Closing”) up to [_____] Shares and accompanying Class A Purchase Warrants (subject to adjustment for reverse and forward stock splits, stock dividends, stock combinations and other similar transactions of the Common Shares that occur after the date of this Agreement) at the Per Share Purchase Price for a total Subscription Amount of up to $[_____] in a single closing on or before September 20, 2023 (the “[_____] Closing Date”). Settlement of the Shares shall occur via “Delivery Versus Payment” (i.e., on the Closing Date and each Additional [_____] Closing Date and the [_____] Closing Date, as the case may be, the Company shall issue the Securities in book entry form registered in the Purchasers’ name released by the Transfer Agent directly to the account(s) identified by each Purchaser following receipt of payment therefor by the Company which shall be made by each Purchaser by wire transfer to the Company). Settlement of the Warrants shall occur via delivery, which may be electronic, of the Warrant on the Closing Date and each Additional [_____] Closing Date and the [_____] Closing Date, as the case may be. Notwithstanding anything herein to the contrary, if at any time on or after the time of execution of this Agreement by the Company and an applicable Purchaser, through, and including the time immediately prior, to the Closing or Additional [_____] Closing, as the case may be (the “Pre-Settlement Period”), such Purchaser sells to any Person all, or any portion, of the Shares to be issued hereunder to such Purchaser at the Closing or Additional [_____] Closing, as the case may be (collectively, the “Pre-Settlement Shares”), such Purchaser shall, automatically hereunder (without any additional required actions by such Purchaser or the Company), be deemed to be unconditionally bound to purchase, such Pre-Settlement Shares issuable to such Purchaser at the Closing or Additional [_____] Closing, as the case may be; provided, that the Company shall not be required to deliver any Pre-Settlement Shares to such Purchaser prior to the Company’s receipt of the purchase price of such Pre-Settlement Shares hereunder; and provided, further, that the Company hereby acknowledges and agrees that the forgoing shall not constitute a representation or covenant by such Purchaser as to whether or not during the Pre-Settlement Period such Purchaser shall sell any Common Shares to any Person and that any such decision to sell any Common Shares by such Purchaser shall solely be made at the time such Purchaser elects to effect any such sale, if any. Notwithstanding the foregoing, with respect to any Notice(s) of Exercise (as defined in the Class A Purchase Warrants) delivered on or prior to 12:00 p.m. (New York City time) on the Closing Date or Additional [_____] Closing Date, as the case may be, which may be delivered at any time after the time of execution of this Agreement, the Company agrees to deliver the Warrant Shares subject to such notice(s) by 4:00 p.m. (New York City time) on the Closing Date or Additional [_____] Closing Date, as the case may be, and the Closing Date or Additional [_____] Closing Date, as the case may be, shall be the Warrant Share Delivery Date (as defined in the Class A Purchase Warrants) for purposes hereunder.</w:t>
      </w:r>
    </w:p>
    <w:p>
      <w:pPr>
        <w:spacing w:after="0" w:line="9"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 </w:t>
      </w:r>
    </w:p>
    <w:p>
      <w:pPr>
        <w:spacing w:after="0" w:line="6"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8"/>
          <w:szCs w:val="18"/>
          <w:color w:val="auto"/>
        </w:rPr>
        <w:t>2.2            </w:t>
      </w:r>
      <w:r>
        <w:rPr>
          <w:rFonts w:ascii="Arial" w:cs="Arial" w:eastAsia="Arial" w:hAnsi="Arial"/>
          <w:sz w:val="18"/>
          <w:szCs w:val="18"/>
          <w:u w:val="single" w:color="auto"/>
          <w:color w:val="auto"/>
        </w:rPr>
        <w:t>Deliveries</w:t>
      </w:r>
      <w:r>
        <w:rPr>
          <w:rFonts w:ascii="Arial" w:cs="Arial" w:eastAsia="Arial" w:hAnsi="Arial"/>
          <w:sz w:val="18"/>
          <w:szCs w:val="18"/>
          <w:color w:val="auto"/>
        </w:rPr>
        <w:t>.</w:t>
      </w:r>
    </w:p>
    <w:p>
      <w:pPr>
        <w:spacing w:after="0" w:line="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 </w:t>
      </w:r>
    </w:p>
    <w:p>
      <w:pPr>
        <w:spacing w:after="0" w:line="6" w:lineRule="exact"/>
        <w:rPr>
          <w:rFonts w:ascii="Arial" w:cs="Arial" w:eastAsia="Arial" w:hAnsi="Arial"/>
          <w:sz w:val="16"/>
          <w:szCs w:val="16"/>
          <w:color w:val="auto"/>
        </w:rPr>
      </w:pPr>
    </w:p>
    <w:p>
      <w:pPr>
        <w:jc w:val="both"/>
        <w:ind w:firstLine="1281"/>
        <w:spacing w:after="0" w:line="247" w:lineRule="auto"/>
        <w:rPr>
          <w:rFonts w:ascii="Arial" w:cs="Arial" w:eastAsia="Arial" w:hAnsi="Arial"/>
          <w:sz w:val="16"/>
          <w:szCs w:val="16"/>
          <w:color w:val="auto"/>
        </w:rPr>
      </w:pPr>
      <w:r>
        <w:rPr>
          <w:rFonts w:ascii="Arial" w:cs="Arial" w:eastAsia="Arial" w:hAnsi="Arial"/>
          <w:sz w:val="18"/>
          <w:szCs w:val="18"/>
          <w:color w:val="auto"/>
        </w:rPr>
        <w:t>(a)           On or prior to the Closing Date, the Company shall deliver or cause to be delivered to each Purchaser the following (subject to Section 2.2(c) for [_____] with respect to each Additional [_____] Closing Date and Section 2.2(e) for [_____] with respect to the [_____] Closing Date and Sections 2.2(a)(ii), (iii) and (iv) shall not apply to [_____]):</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 </w:t>
      </w:r>
    </w:p>
    <w:p>
      <w:pPr>
        <w:spacing w:after="0" w:line="6"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(i)            this Agreement duly executed by the Company;</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207" w:lineRule="exact"/>
        <w:rPr>
          <w:sz w:val="20"/>
          <w:szCs w:val="20"/>
          <w:color w:val="auto"/>
        </w:rPr>
      </w:pPr>
    </w:p>
    <w:p>
      <w:pPr>
        <w:spacing w:after="0"/>
        <w:tabs>
          <w:tab w:leader="none" w:pos="5560" w:val="left"/>
          <w:tab w:leader="none" w:pos="1118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5</w:t>
      </w:r>
      <w:r>
        <w:rPr>
          <w:sz w:val="20"/>
          <w:szCs w:val="20"/>
          <w:color w:val="auto"/>
        </w:rPr>
        <w:tab/>
      </w: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32" w:name="page33"/>
    <w:bookmarkEnd w:id="32"/>
    <w:p>
      <w:pPr>
        <w:spacing w:after="0"/>
        <w:rPr>
          <w:sz w:val="20"/>
          <w:szCs w:val="20"/>
          <w:color w:val="auto"/>
        </w:rPr>
      </w:pPr>
      <w:r>
        <w:rPr>
          <w:rFonts w:ascii="Arial" w:cs="Arial" w:eastAsia="Arial" w:hAnsi="Arial"/>
          <w:sz w:val="21"/>
          <w:szCs w:val="21"/>
          <w:color w:val="auto"/>
        </w:rPr>
        <w:t> </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19" w:lineRule="exact"/>
        <w:rPr>
          <w:sz w:val="20"/>
          <w:szCs w:val="20"/>
          <w:color w:val="auto"/>
        </w:rPr>
      </w:pPr>
    </w:p>
    <w:p>
      <w:pPr>
        <w:jc w:val="both"/>
        <w:ind w:left="640" w:firstLine="1281"/>
        <w:spacing w:after="0" w:line="247" w:lineRule="auto"/>
        <w:rPr>
          <w:sz w:val="20"/>
          <w:szCs w:val="20"/>
          <w:color w:val="auto"/>
        </w:rPr>
      </w:pPr>
      <w:r>
        <w:rPr>
          <w:rFonts w:ascii="Arial" w:cs="Arial" w:eastAsia="Arial" w:hAnsi="Arial"/>
          <w:sz w:val="18"/>
          <w:szCs w:val="18"/>
          <w:color w:val="auto"/>
        </w:rPr>
        <w:t>(ii)           subject to Section 2.1, the Company’s wire instructions, on Company letterhead and executed by the Chief Executive Officer or Chief Financial Officer;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6" w:lineRule="exact"/>
        <w:rPr>
          <w:sz w:val="20"/>
          <w:szCs w:val="20"/>
          <w:color w:val="auto"/>
        </w:rPr>
      </w:pPr>
    </w:p>
    <w:p>
      <w:pPr>
        <w:jc w:val="both"/>
        <w:ind w:left="640" w:firstLine="1281"/>
        <w:spacing w:after="0" w:line="247" w:lineRule="auto"/>
        <w:rPr>
          <w:sz w:val="20"/>
          <w:szCs w:val="20"/>
          <w:color w:val="auto"/>
        </w:rPr>
      </w:pPr>
      <w:r>
        <w:rPr>
          <w:rFonts w:ascii="Arial" w:cs="Arial" w:eastAsia="Arial" w:hAnsi="Arial"/>
          <w:sz w:val="18"/>
          <w:szCs w:val="18"/>
          <w:color w:val="auto"/>
        </w:rPr>
        <w:t>(iii)          subject to Section 2.1, a copy of the irrevocable instructions to the Transfer Agent instructing the Transfer Agent to deliver on an expedited basis, via The Depository Trust Company Deposit or Withdrawal at Custodian system, Shares equal to such Purchaser’s Subscription Amount divided by the Per Share Purchase Price (rounded down to the nearest whole share);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6" w:lineRule="exact"/>
        <w:rPr>
          <w:sz w:val="20"/>
          <w:szCs w:val="20"/>
          <w:color w:val="auto"/>
        </w:rPr>
      </w:pPr>
    </w:p>
    <w:p>
      <w:pPr>
        <w:jc w:val="both"/>
        <w:ind w:left="640" w:firstLine="1281"/>
        <w:spacing w:after="0" w:line="284" w:lineRule="auto"/>
        <w:rPr>
          <w:sz w:val="20"/>
          <w:szCs w:val="20"/>
          <w:color w:val="auto"/>
        </w:rPr>
      </w:pPr>
      <w:r>
        <w:rPr>
          <w:rFonts w:ascii="Arial" w:cs="Arial" w:eastAsia="Arial" w:hAnsi="Arial"/>
          <w:sz w:val="17"/>
          <w:szCs w:val="17"/>
          <w:color w:val="auto"/>
        </w:rPr>
        <w:t>(iv)          a Class A Purchase Warrant registered in the name of such Purchaser to purchase up to a number of Common Shares equal to 50% of such Purchaser’s number of Shares, with an exercise price equal to $3.00, subject to adjustment therein; and</w:t>
      </w:r>
    </w:p>
    <w:p>
      <w:pPr>
        <w:spacing w:after="0" w:line="165" w:lineRule="exact"/>
        <w:rPr>
          <w:sz w:val="20"/>
          <w:szCs w:val="20"/>
          <w:color w:val="auto"/>
        </w:rPr>
      </w:pPr>
    </w:p>
    <w:p>
      <w:pPr>
        <w:ind w:left="1920"/>
        <w:spacing w:after="0"/>
        <w:rPr>
          <w:sz w:val="20"/>
          <w:szCs w:val="20"/>
          <w:color w:val="auto"/>
        </w:rPr>
      </w:pPr>
      <w:r>
        <w:rPr>
          <w:rFonts w:ascii="Arial" w:cs="Arial" w:eastAsia="Arial" w:hAnsi="Arial"/>
          <w:sz w:val="16"/>
          <w:szCs w:val="16"/>
          <w:color w:val="auto"/>
        </w:rPr>
        <w:t>(v)          the Prospectus and the Prospectus Supplement (which may be delivered in accordance with Rule 172 under the Securities</w:t>
      </w:r>
    </w:p>
    <w:p>
      <w:pPr>
        <w:spacing w:after="0" w:line="4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Act);</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6" w:lineRule="exact"/>
        <w:rPr>
          <w:sz w:val="20"/>
          <w:szCs w:val="20"/>
          <w:color w:val="auto"/>
        </w:rPr>
      </w:pPr>
    </w:p>
    <w:p>
      <w:pPr>
        <w:ind w:firstLine="1281"/>
        <w:spacing w:after="0" w:line="278" w:lineRule="auto"/>
        <w:rPr>
          <w:sz w:val="20"/>
          <w:szCs w:val="20"/>
          <w:color w:val="auto"/>
        </w:rPr>
      </w:pPr>
      <w:r>
        <w:rPr>
          <w:rFonts w:ascii="Arial" w:cs="Arial" w:eastAsia="Arial" w:hAnsi="Arial"/>
          <w:sz w:val="16"/>
          <w:szCs w:val="16"/>
          <w:color w:val="auto"/>
        </w:rPr>
        <w:t>(b)           On or prior to the Closing Date, each Purchaser shall deliver or cause to be delivered to the Company the following (subject to Section 2.2(d) for [_____] with respect to each Additional [_____] Closing Date and Section 2.2(f) for [_____] with respect to the [_____] Closing Date and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Section 2.2(b)(ii) shall not apply to [_____]):</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6"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(i)            this Agreement duly executed by such Purchaser; and</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6" w:lineRule="exact"/>
        <w:rPr>
          <w:sz w:val="20"/>
          <w:szCs w:val="20"/>
          <w:color w:val="auto"/>
        </w:rPr>
      </w:pPr>
    </w:p>
    <w:p>
      <w:pPr>
        <w:ind w:left="640" w:firstLine="1281"/>
        <w:spacing w:after="0" w:line="247" w:lineRule="auto"/>
        <w:rPr>
          <w:sz w:val="20"/>
          <w:szCs w:val="20"/>
          <w:color w:val="auto"/>
        </w:rPr>
      </w:pPr>
      <w:r>
        <w:rPr>
          <w:rFonts w:ascii="Arial" w:cs="Arial" w:eastAsia="Arial" w:hAnsi="Arial"/>
          <w:sz w:val="18"/>
          <w:szCs w:val="18"/>
          <w:color w:val="auto"/>
        </w:rPr>
        <w:t>(ii)           such Purchaser’s Subscription Amount, which shall be made available for “Delivery Versus Payment” settlement with the Company or its designee.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6" w:lineRule="exact"/>
        <w:rPr>
          <w:sz w:val="20"/>
          <w:szCs w:val="20"/>
          <w:color w:val="auto"/>
        </w:rPr>
      </w:pPr>
    </w:p>
    <w:p>
      <w:pPr>
        <w:ind w:left="1280"/>
        <w:spacing w:after="0"/>
        <w:rPr>
          <w:sz w:val="20"/>
          <w:szCs w:val="20"/>
          <w:color w:val="auto"/>
        </w:rPr>
      </w:pPr>
      <w:r>
        <w:rPr>
          <w:rFonts w:ascii="Arial" w:cs="Arial" w:eastAsia="Arial" w:hAnsi="Arial"/>
          <w:sz w:val="16"/>
          <w:szCs w:val="16"/>
          <w:color w:val="auto"/>
        </w:rPr>
        <w:t>(c)           On or prior to each Additional [_____] Closing Date, the Company shall deliver or cause to be delivered to [_____] the following:</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6" w:lineRule="exact"/>
        <w:rPr>
          <w:sz w:val="20"/>
          <w:szCs w:val="20"/>
          <w:color w:val="auto"/>
        </w:rPr>
      </w:pPr>
    </w:p>
    <w:p>
      <w:pPr>
        <w:ind w:left="640" w:firstLine="1281"/>
        <w:spacing w:after="0" w:line="247" w:lineRule="auto"/>
        <w:rPr>
          <w:sz w:val="20"/>
          <w:szCs w:val="20"/>
          <w:color w:val="auto"/>
        </w:rPr>
      </w:pPr>
      <w:r>
        <w:rPr>
          <w:rFonts w:ascii="Arial" w:cs="Arial" w:eastAsia="Arial" w:hAnsi="Arial"/>
          <w:sz w:val="18"/>
          <w:szCs w:val="18"/>
          <w:color w:val="auto"/>
        </w:rPr>
        <w:t>(i)            subject to Section 2.1, the Company’s wire instructions, on Company letterhead and executed by the Chief Executive Officer or Chief Financial Officer;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6" w:lineRule="exact"/>
        <w:rPr>
          <w:sz w:val="20"/>
          <w:szCs w:val="20"/>
          <w:color w:val="auto"/>
        </w:rPr>
      </w:pPr>
    </w:p>
    <w:p>
      <w:pPr>
        <w:ind w:left="640" w:firstLine="1281"/>
        <w:spacing w:after="0" w:line="262" w:lineRule="auto"/>
        <w:rPr>
          <w:sz w:val="20"/>
          <w:szCs w:val="20"/>
          <w:color w:val="auto"/>
        </w:rPr>
      </w:pPr>
      <w:r>
        <w:rPr>
          <w:rFonts w:ascii="Arial" w:cs="Arial" w:eastAsia="Arial" w:hAnsi="Arial"/>
          <w:sz w:val="17"/>
          <w:szCs w:val="17"/>
          <w:color w:val="auto"/>
        </w:rPr>
        <w:t>(ii)           subject to Section 2.1, a copy of the irrevocable instructions to the Transfer Agent instructing the Transfer Agent to deliver on an expedited basis, via The Depository Trust Company Deposit or Withdrawal at Custodian system, Shares equal to [_____]’s</w:t>
      </w:r>
    </w:p>
    <w:p>
      <w:pPr>
        <w:ind w:left="640"/>
        <w:spacing w:after="0"/>
        <w:rPr>
          <w:sz w:val="20"/>
          <w:szCs w:val="20"/>
          <w:color w:val="auto"/>
        </w:rPr>
      </w:pPr>
      <w:r>
        <w:rPr>
          <w:rFonts w:ascii="Arial" w:cs="Arial" w:eastAsia="Arial" w:hAnsi="Arial"/>
          <w:sz w:val="16"/>
          <w:szCs w:val="16"/>
          <w:color w:val="auto"/>
        </w:rPr>
        <w:t>Subscription Amount with respect to such Additional [_____] Closing divided by the Per Share Purchase Price (rounded down to the nearest whole</w:t>
      </w:r>
    </w:p>
    <w:p>
      <w:pPr>
        <w:spacing w:after="0" w:line="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share);</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820" w:type="dxa"/>
            <w:vAlign w:val="bottom"/>
          </w:tcPr>
          <w:p>
            <w:pPr>
              <w:spacing w:after="0"/>
              <w:rPr>
                <w:sz w:val="20"/>
                <w:szCs w:val="20"/>
                <w:color w:val="auto"/>
              </w:rPr>
            </w:pPr>
            <w:r>
              <w:rPr>
                <w:rFonts w:ascii="Arial" w:cs="Arial" w:eastAsia="Arial" w:hAnsi="Arial"/>
                <w:sz w:val="18"/>
                <w:szCs w:val="18"/>
                <w:color w:val="auto"/>
              </w:rPr>
              <w:t> </w:t>
            </w:r>
          </w:p>
        </w:tc>
        <w:tc>
          <w:tcPr>
            <w:tcW w:w="5620" w:type="dxa"/>
            <w:vAlign w:val="bottom"/>
          </w:tcPr>
          <w:p>
            <w:pPr>
              <w:spacing w:after="0"/>
              <w:rPr>
                <w:sz w:val="19"/>
                <w:szCs w:val="19"/>
                <w:color w:val="auto"/>
              </w:rPr>
            </w:pPr>
          </w:p>
        </w:tc>
        <w:tc>
          <w:tcPr>
            <w:tcW w:w="2800" w:type="dxa"/>
            <w:vAlign w:val="bottom"/>
          </w:tcPr>
          <w:p>
            <w:pPr>
              <w:spacing w:after="0"/>
              <w:rPr>
                <w:sz w:val="19"/>
                <w:szCs w:val="19"/>
                <w:color w:val="auto"/>
              </w:rPr>
            </w:pPr>
          </w:p>
        </w:tc>
      </w:tr>
      <w:tr>
        <w:trPr>
          <w:trHeight w:val="414"/>
        </w:trPr>
        <w:tc>
          <w:tcPr>
            <w:tcW w:w="2820" w:type="dxa"/>
            <w:vAlign w:val="bottom"/>
          </w:tcPr>
          <w:p>
            <w:pPr>
              <w:spacing w:after="0"/>
              <w:rPr>
                <w:sz w:val="20"/>
                <w:szCs w:val="20"/>
                <w:color w:val="auto"/>
              </w:rPr>
            </w:pPr>
            <w:r>
              <w:rPr>
                <w:rFonts w:ascii="Arial" w:cs="Arial" w:eastAsia="Arial" w:hAnsi="Arial"/>
                <w:sz w:val="18"/>
                <w:szCs w:val="18"/>
                <w:color w:val="auto"/>
              </w:rPr>
              <w:t> </w:t>
            </w:r>
          </w:p>
        </w:tc>
        <w:tc>
          <w:tcPr>
            <w:tcW w:w="5620" w:type="dxa"/>
            <w:vAlign w:val="bottom"/>
          </w:tcPr>
          <w:p>
            <w:pPr>
              <w:jc w:val="right"/>
              <w:ind w:right="2671"/>
              <w:spacing w:after="0"/>
              <w:rPr>
                <w:sz w:val="20"/>
                <w:szCs w:val="20"/>
                <w:color w:val="auto"/>
              </w:rPr>
            </w:pPr>
            <w:r>
              <w:rPr>
                <w:rFonts w:ascii="Arial" w:cs="Arial" w:eastAsia="Arial" w:hAnsi="Arial"/>
                <w:sz w:val="18"/>
                <w:szCs w:val="18"/>
                <w:color w:val="auto"/>
              </w:rPr>
              <w:t>6</w:t>
            </w:r>
          </w:p>
        </w:tc>
        <w:tc>
          <w:tcPr>
            <w:tcW w:w="2800" w:type="dxa"/>
            <w:vAlign w:val="bottom"/>
          </w:tcPr>
          <w:p>
            <w:pPr>
              <w:ind w:left="2760"/>
              <w:spacing w:after="0"/>
              <w:rPr>
                <w:sz w:val="20"/>
                <w:szCs w:val="20"/>
                <w:color w:val="auto"/>
              </w:rPr>
            </w:pPr>
            <w:r>
              <w:rPr>
                <w:rFonts w:ascii="Arial" w:cs="Arial" w:eastAsia="Arial" w:hAnsi="Arial"/>
                <w:sz w:val="13"/>
                <w:szCs w:val="13"/>
                <w:color w:val="auto"/>
                <w:w w:val="75"/>
              </w:rPr>
              <w:t>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wp:posOffset>
            </wp:positionV>
            <wp:extent cx="713422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33" w:name="page34"/>
    <w:bookmarkEnd w:id="33"/>
    <w:p>
      <w:pPr>
        <w:spacing w:after="0"/>
        <w:rPr>
          <w:sz w:val="20"/>
          <w:szCs w:val="20"/>
          <w:color w:val="auto"/>
        </w:rPr>
      </w:pPr>
      <w:r>
        <w:rPr>
          <w:rFonts w:ascii="Arial" w:cs="Arial" w:eastAsia="Arial" w:hAnsi="Arial"/>
          <w:sz w:val="21"/>
          <w:szCs w:val="21"/>
          <w:color w:val="auto"/>
        </w:rPr>
        <w:t> </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19" w:lineRule="exact"/>
        <w:rPr>
          <w:sz w:val="20"/>
          <w:szCs w:val="20"/>
          <w:color w:val="auto"/>
        </w:rPr>
      </w:pPr>
    </w:p>
    <w:p>
      <w:pPr>
        <w:ind w:left="1920"/>
        <w:spacing w:after="0"/>
        <w:rPr>
          <w:sz w:val="20"/>
          <w:szCs w:val="20"/>
          <w:color w:val="auto"/>
        </w:rPr>
      </w:pPr>
      <w:r>
        <w:rPr>
          <w:rFonts w:ascii="Arial" w:cs="Arial" w:eastAsia="Arial" w:hAnsi="Arial"/>
          <w:sz w:val="16"/>
          <w:szCs w:val="16"/>
          <w:color w:val="auto"/>
        </w:rPr>
        <w:t>(iii)          a Class A Purchase Warrant registered in the name of [_____] to purchase up to a number of Common Shares equal to</w:t>
      </w:r>
    </w:p>
    <w:p>
      <w:pPr>
        <w:spacing w:after="0" w:line="29" w:lineRule="exact"/>
        <w:rPr>
          <w:sz w:val="20"/>
          <w:szCs w:val="20"/>
          <w:color w:val="auto"/>
        </w:rPr>
      </w:pPr>
    </w:p>
    <w:p>
      <w:pPr>
        <w:ind w:left="640"/>
        <w:spacing w:after="0"/>
        <w:rPr>
          <w:sz w:val="20"/>
          <w:szCs w:val="20"/>
          <w:color w:val="auto"/>
        </w:rPr>
      </w:pPr>
      <w:r>
        <w:rPr>
          <w:rFonts w:ascii="Arial" w:cs="Arial" w:eastAsia="Arial" w:hAnsi="Arial"/>
          <w:sz w:val="16"/>
          <w:szCs w:val="16"/>
          <w:color w:val="auto"/>
        </w:rPr>
        <w:t>50% of the number of Shares [_____] is purchasing at such Additional [_____] Closing, with an exercise price equal to $3.00 (or other exercise</w:t>
      </w:r>
    </w:p>
    <w:p>
      <w:pPr>
        <w:spacing w:after="0" w:line="29" w:lineRule="exact"/>
        <w:rPr>
          <w:sz w:val="20"/>
          <w:szCs w:val="20"/>
          <w:color w:val="auto"/>
        </w:rPr>
      </w:pPr>
    </w:p>
    <w:p>
      <w:pPr>
        <w:ind w:left="640"/>
        <w:spacing w:after="0"/>
        <w:rPr>
          <w:sz w:val="20"/>
          <w:szCs w:val="20"/>
          <w:color w:val="auto"/>
        </w:rPr>
      </w:pPr>
      <w:r>
        <w:rPr>
          <w:rFonts w:ascii="Arial" w:cs="Arial" w:eastAsia="Arial" w:hAnsi="Arial"/>
          <w:sz w:val="16"/>
          <w:szCs w:val="16"/>
          <w:color w:val="auto"/>
        </w:rPr>
        <w:t>price equal to the then current exercise price of the Class A Purchase Warrants issued on the Closing Date), subject to adjustment therein; and</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6" w:lineRule="exact"/>
        <w:rPr>
          <w:sz w:val="20"/>
          <w:szCs w:val="20"/>
          <w:color w:val="auto"/>
        </w:rPr>
      </w:pPr>
    </w:p>
    <w:p>
      <w:pPr>
        <w:ind w:left="1920"/>
        <w:spacing w:after="0"/>
        <w:rPr>
          <w:sz w:val="20"/>
          <w:szCs w:val="20"/>
          <w:color w:val="auto"/>
        </w:rPr>
      </w:pPr>
      <w:r>
        <w:rPr>
          <w:rFonts w:ascii="Arial" w:cs="Arial" w:eastAsia="Arial" w:hAnsi="Arial"/>
          <w:sz w:val="16"/>
          <w:szCs w:val="16"/>
          <w:color w:val="auto"/>
        </w:rPr>
        <w:t>(iv)          the Prospectus and the Prospectus Supplement (which may be delivered in accordance with Rule 172 under the Securities</w:t>
      </w:r>
    </w:p>
    <w:p>
      <w:pPr>
        <w:spacing w:after="0" w:line="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Act).</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6"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(d)           On or prior to each Additional [_____] Closing Date, [_____] shall deliver or cause to be delivered to the Company [_____]’s</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Subscription Amount for such Additional [_____] Closing, which shall be made available for “Delivery Versus Payment” settlement with the Company or its</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designee.</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6"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(e)           On or prior to the [_____] Closing Date, the Company shall deliver or cause to be delivered to [_____] the following:</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6" w:lineRule="exact"/>
        <w:rPr>
          <w:sz w:val="20"/>
          <w:szCs w:val="20"/>
          <w:color w:val="auto"/>
        </w:rPr>
      </w:pPr>
    </w:p>
    <w:p>
      <w:pPr>
        <w:jc w:val="both"/>
        <w:ind w:left="640" w:firstLine="1281"/>
        <w:spacing w:after="0" w:line="247" w:lineRule="auto"/>
        <w:rPr>
          <w:sz w:val="20"/>
          <w:szCs w:val="20"/>
          <w:color w:val="auto"/>
        </w:rPr>
      </w:pPr>
      <w:r>
        <w:rPr>
          <w:rFonts w:ascii="Arial" w:cs="Arial" w:eastAsia="Arial" w:hAnsi="Arial"/>
          <w:sz w:val="18"/>
          <w:szCs w:val="18"/>
          <w:color w:val="auto"/>
        </w:rPr>
        <w:t>(i)                 subject to Section 2.1, the Company’s wire instructions, on Company letterhead and executed by the Chief Executive Officer or Chief Financial Officer;</w:t>
      </w:r>
    </w:p>
    <w:p>
      <w:pPr>
        <w:spacing w:after="0" w:line="1" w:lineRule="exact"/>
        <w:rPr>
          <w:sz w:val="20"/>
          <w:szCs w:val="20"/>
          <w:color w:val="auto"/>
        </w:rPr>
      </w:pPr>
    </w:p>
    <w:p>
      <w:pPr>
        <w:ind w:left="1920"/>
        <w:spacing w:after="0"/>
        <w:rPr>
          <w:sz w:val="20"/>
          <w:szCs w:val="20"/>
          <w:color w:val="auto"/>
        </w:rPr>
      </w:pPr>
      <w:r>
        <w:rPr>
          <w:rFonts w:ascii="Arial" w:cs="Arial" w:eastAsia="Arial" w:hAnsi="Arial"/>
          <w:sz w:val="18"/>
          <w:szCs w:val="18"/>
          <w:color w:val="0000FF"/>
        </w:rPr>
        <w:t> </w:t>
      </w:r>
    </w:p>
    <w:p>
      <w:pPr>
        <w:spacing w:after="0" w:line="6" w:lineRule="exact"/>
        <w:rPr>
          <w:sz w:val="20"/>
          <w:szCs w:val="20"/>
          <w:color w:val="auto"/>
        </w:rPr>
      </w:pPr>
    </w:p>
    <w:p>
      <w:pPr>
        <w:jc w:val="both"/>
        <w:ind w:left="640" w:firstLine="1281"/>
        <w:spacing w:after="0" w:line="262" w:lineRule="auto"/>
        <w:rPr>
          <w:sz w:val="20"/>
          <w:szCs w:val="20"/>
          <w:color w:val="auto"/>
        </w:rPr>
      </w:pPr>
      <w:r>
        <w:rPr>
          <w:rFonts w:ascii="Arial" w:cs="Arial" w:eastAsia="Arial" w:hAnsi="Arial"/>
          <w:sz w:val="17"/>
          <w:szCs w:val="17"/>
          <w:color w:val="auto"/>
        </w:rPr>
        <w:t>(ii)                subject to Section 2.1, a copy of the irrevocable instructions to the Transfer Agent instructing the Transfer Agent to deliver on an expedited basis, via The Depository Trust Company Deposit or Withdrawal at Custodian system, Shares equal to [_____]’s</w:t>
      </w:r>
    </w:p>
    <w:p>
      <w:pPr>
        <w:ind w:left="640"/>
        <w:spacing w:after="0"/>
        <w:rPr>
          <w:sz w:val="20"/>
          <w:szCs w:val="20"/>
          <w:color w:val="auto"/>
        </w:rPr>
      </w:pPr>
      <w:r>
        <w:rPr>
          <w:rFonts w:ascii="Arial" w:cs="Arial" w:eastAsia="Arial" w:hAnsi="Arial"/>
          <w:sz w:val="17"/>
          <w:szCs w:val="17"/>
          <w:color w:val="auto"/>
        </w:rPr>
        <w:t>Subscription Amount set forth in the [_____] Closing Notice (as defined below) with respect to the [_____] Closing divided by the Per Share</w:t>
      </w:r>
    </w:p>
    <w:p>
      <w:pPr>
        <w:spacing w:after="0" w:line="1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Purchase Price (rounded down to the nearest whole share) to be issued in the name of [_____] or its designee(s);</w:t>
      </w:r>
    </w:p>
    <w:p>
      <w:pPr>
        <w:spacing w:after="0" w:line="6"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 </w:t>
      </w:r>
    </w:p>
    <w:p>
      <w:pPr>
        <w:spacing w:after="0" w:line="6" w:lineRule="exact"/>
        <w:rPr>
          <w:sz w:val="20"/>
          <w:szCs w:val="20"/>
          <w:color w:val="auto"/>
        </w:rPr>
      </w:pPr>
    </w:p>
    <w:p>
      <w:pPr>
        <w:ind w:left="1920"/>
        <w:spacing w:after="0"/>
        <w:rPr>
          <w:sz w:val="20"/>
          <w:szCs w:val="20"/>
          <w:color w:val="auto"/>
        </w:rPr>
      </w:pPr>
      <w:r>
        <w:rPr>
          <w:rFonts w:ascii="Arial" w:cs="Arial" w:eastAsia="Arial" w:hAnsi="Arial"/>
          <w:sz w:val="16"/>
          <w:szCs w:val="16"/>
          <w:color w:val="auto"/>
        </w:rPr>
        <w:t>(iii)              a Class A Purchase Warrant registered in the name(s) designated by [_____] in the [_____] Closing Notice to purchase</w:t>
      </w:r>
    </w:p>
    <w:p>
      <w:pPr>
        <w:spacing w:after="0" w:line="29" w:lineRule="exact"/>
        <w:rPr>
          <w:sz w:val="20"/>
          <w:szCs w:val="20"/>
          <w:color w:val="auto"/>
        </w:rPr>
      </w:pPr>
    </w:p>
    <w:p>
      <w:pPr>
        <w:ind w:left="640"/>
        <w:spacing w:after="0"/>
        <w:rPr>
          <w:sz w:val="20"/>
          <w:szCs w:val="20"/>
          <w:color w:val="auto"/>
        </w:rPr>
      </w:pPr>
      <w:r>
        <w:rPr>
          <w:rFonts w:ascii="Arial" w:cs="Arial" w:eastAsia="Arial" w:hAnsi="Arial"/>
          <w:sz w:val="16"/>
          <w:szCs w:val="16"/>
          <w:color w:val="auto"/>
        </w:rPr>
        <w:t>up to a number of Common Shares equal to 50% of the number of Shares [_____] is purchasing at the [_____] Closing, with an exercise price equal</w:t>
      </w:r>
    </w:p>
    <w:p>
      <w:pPr>
        <w:spacing w:after="0" w:line="29" w:lineRule="exact"/>
        <w:rPr>
          <w:sz w:val="20"/>
          <w:szCs w:val="20"/>
          <w:color w:val="auto"/>
        </w:rPr>
      </w:pPr>
    </w:p>
    <w:p>
      <w:pPr>
        <w:jc w:val="both"/>
        <w:ind w:left="640"/>
        <w:spacing w:after="0" w:line="247" w:lineRule="auto"/>
        <w:rPr>
          <w:sz w:val="20"/>
          <w:szCs w:val="20"/>
          <w:color w:val="auto"/>
        </w:rPr>
      </w:pPr>
      <w:r>
        <w:rPr>
          <w:rFonts w:ascii="Arial" w:cs="Arial" w:eastAsia="Arial" w:hAnsi="Arial"/>
          <w:sz w:val="18"/>
          <w:szCs w:val="18"/>
          <w:color w:val="auto"/>
        </w:rPr>
        <w:t>to $3.00 (or other exercise price equal to the then current exercise price of the Class A Purchase Warrants issued on the Closing Date), subject to adjustment therein; and</w:t>
      </w:r>
    </w:p>
    <w:p>
      <w:pPr>
        <w:spacing w:after="0" w:line="1"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 </w:t>
      </w:r>
    </w:p>
    <w:p>
      <w:pPr>
        <w:spacing w:after="0" w:line="6" w:lineRule="exact"/>
        <w:rPr>
          <w:sz w:val="20"/>
          <w:szCs w:val="20"/>
          <w:color w:val="auto"/>
        </w:rPr>
      </w:pPr>
    </w:p>
    <w:p>
      <w:pPr>
        <w:ind w:left="1920"/>
        <w:spacing w:after="0"/>
        <w:rPr>
          <w:sz w:val="20"/>
          <w:szCs w:val="20"/>
          <w:color w:val="auto"/>
        </w:rPr>
      </w:pPr>
      <w:r>
        <w:rPr>
          <w:rFonts w:ascii="Arial" w:cs="Arial" w:eastAsia="Arial" w:hAnsi="Arial"/>
          <w:sz w:val="17"/>
          <w:szCs w:val="17"/>
          <w:color w:val="auto"/>
        </w:rPr>
        <w:t>(iv)            the Prospectus and the Prospectus Supplement (which may be delivered in accordance with Rule 172 under the</w:t>
      </w:r>
    </w:p>
    <w:p>
      <w:pPr>
        <w:spacing w:after="0" w:line="1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Securities Act).</w:t>
      </w:r>
    </w:p>
    <w:p>
      <w:pPr>
        <w:spacing w:after="0" w:line="6"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 </w:t>
      </w:r>
    </w:p>
    <w:p>
      <w:pPr>
        <w:spacing w:after="0" w:line="6"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(f)               On or prior to the [_____] Closing Date, [_____] shall deliver or cause to be delivered to the Company:</w:t>
      </w:r>
    </w:p>
    <w:p>
      <w:pPr>
        <w:spacing w:after="0" w:line="6"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 </w:t>
      </w:r>
    </w:p>
    <w:p>
      <w:pPr>
        <w:spacing w:after="0" w:line="6" w:lineRule="exact"/>
        <w:rPr>
          <w:sz w:val="20"/>
          <w:szCs w:val="20"/>
          <w:color w:val="auto"/>
        </w:rPr>
      </w:pPr>
    </w:p>
    <w:p>
      <w:pPr>
        <w:ind w:left="1920"/>
        <w:spacing w:after="0"/>
        <w:rPr>
          <w:sz w:val="20"/>
          <w:szCs w:val="20"/>
          <w:color w:val="auto"/>
        </w:rPr>
      </w:pPr>
      <w:r>
        <w:rPr>
          <w:rFonts w:ascii="Arial" w:cs="Arial" w:eastAsia="Arial" w:hAnsi="Arial"/>
          <w:sz w:val="16"/>
          <w:szCs w:val="16"/>
          <w:color w:val="auto"/>
        </w:rPr>
        <w:t>(i)                 if [_____] elects to purchase any Securities at the [_____] Closing, a written notice (the “[_____] Closing Notice”) on</w:t>
      </w:r>
    </w:p>
    <w:p>
      <w:pPr>
        <w:spacing w:after="0" w:line="29"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or before 5:00 pm EDT on September 15, 2023 informing the Company how many of the [_____] Shares and accompanying Class A Purchase</w:t>
      </w:r>
    </w:p>
    <w:p>
      <w:pPr>
        <w:spacing w:after="0" w:line="29"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Warrants [_____] will purchase in the [_____] Closing, which notice shall include, the name of [_____] and each of its designees to purchase Shares</w:t>
      </w:r>
    </w:p>
    <w:p>
      <w:pPr>
        <w:spacing w:after="0" w:line="29" w:lineRule="exact"/>
        <w:rPr>
          <w:sz w:val="20"/>
          <w:szCs w:val="20"/>
          <w:color w:val="auto"/>
        </w:rPr>
      </w:pPr>
    </w:p>
    <w:p>
      <w:pPr>
        <w:ind w:left="640"/>
        <w:spacing w:after="0"/>
        <w:rPr>
          <w:sz w:val="20"/>
          <w:szCs w:val="20"/>
          <w:color w:val="auto"/>
        </w:rPr>
      </w:pPr>
      <w:r>
        <w:rPr>
          <w:rFonts w:ascii="Arial" w:cs="Arial" w:eastAsia="Arial" w:hAnsi="Arial"/>
          <w:sz w:val="16"/>
          <w:szCs w:val="16"/>
          <w:color w:val="auto"/>
        </w:rPr>
        <w:t>and accompanying Class A Purchase Warrants in the [_____] Closing, the number of Shares and accompanying Class A Purchase Warrants to be</w:t>
      </w:r>
    </w:p>
    <w:p>
      <w:pPr>
        <w:spacing w:after="0" w:line="29" w:lineRule="exact"/>
        <w:rPr>
          <w:sz w:val="20"/>
          <w:szCs w:val="20"/>
          <w:color w:val="auto"/>
        </w:rPr>
      </w:pPr>
    </w:p>
    <w:p>
      <w:pPr>
        <w:ind w:left="640"/>
        <w:spacing w:after="0"/>
        <w:rPr>
          <w:sz w:val="20"/>
          <w:szCs w:val="20"/>
          <w:color w:val="auto"/>
        </w:rPr>
      </w:pPr>
      <w:r>
        <w:rPr>
          <w:rFonts w:ascii="Arial" w:cs="Arial" w:eastAsia="Arial" w:hAnsi="Arial"/>
          <w:sz w:val="16"/>
          <w:szCs w:val="16"/>
          <w:color w:val="auto"/>
        </w:rPr>
        <w:t>purchased by [_____] and each of its designees in the [_____] Closing, the Subscription Amount with respect thereto for [_____] and each of its</w:t>
      </w:r>
    </w:p>
    <w:p>
      <w:pPr>
        <w:spacing w:after="0" w:line="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designees;</w:t>
      </w:r>
    </w:p>
    <w:p>
      <w:pPr>
        <w:spacing w:after="0" w:line="6"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 </w:t>
      </w:r>
    </w:p>
    <w:p>
      <w:pPr>
        <w:spacing w:after="0" w:line="6" w:lineRule="exact"/>
        <w:rPr>
          <w:sz w:val="20"/>
          <w:szCs w:val="20"/>
          <w:color w:val="auto"/>
        </w:rPr>
      </w:pPr>
    </w:p>
    <w:p>
      <w:pPr>
        <w:ind w:left="1920"/>
        <w:spacing w:after="0"/>
        <w:rPr>
          <w:sz w:val="20"/>
          <w:szCs w:val="20"/>
          <w:color w:val="auto"/>
        </w:rPr>
      </w:pPr>
      <w:r>
        <w:rPr>
          <w:rFonts w:ascii="Arial" w:cs="Arial" w:eastAsia="Arial" w:hAnsi="Arial"/>
          <w:sz w:val="16"/>
          <w:szCs w:val="16"/>
          <w:color w:val="auto"/>
        </w:rPr>
        <w:t>(ii)              [_____]’s aggregate Subscription Amount with respect to the number of the [_____] Shares and accompanying Class A</w:t>
      </w:r>
    </w:p>
    <w:p>
      <w:pPr>
        <w:spacing w:after="0" w:line="29" w:lineRule="exact"/>
        <w:rPr>
          <w:sz w:val="20"/>
          <w:szCs w:val="20"/>
          <w:color w:val="auto"/>
        </w:rPr>
      </w:pPr>
    </w:p>
    <w:p>
      <w:pPr>
        <w:ind w:left="640"/>
        <w:spacing w:after="0"/>
        <w:rPr>
          <w:sz w:val="20"/>
          <w:szCs w:val="20"/>
          <w:color w:val="auto"/>
        </w:rPr>
      </w:pPr>
      <w:r>
        <w:rPr>
          <w:rFonts w:ascii="Arial" w:cs="Arial" w:eastAsia="Arial" w:hAnsi="Arial"/>
          <w:sz w:val="16"/>
          <w:szCs w:val="16"/>
          <w:color w:val="auto"/>
        </w:rPr>
        <w:t>Purchase Warrants set forth in the [_____] Closing Notice to be purchase at the [_____] Closing, which shall be made available for “Delivery Versus</w:t>
      </w:r>
    </w:p>
    <w:p>
      <w:pPr>
        <w:spacing w:after="0" w:line="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Payment” settlement with the Company or its designee.</w:t>
      </w:r>
    </w:p>
    <w:p>
      <w:pPr>
        <w:spacing w:after="0" w:line="6" w:lineRule="exact"/>
        <w:rPr>
          <w:sz w:val="20"/>
          <w:szCs w:val="20"/>
          <w:color w:val="auto"/>
        </w:rPr>
      </w:pPr>
    </w:p>
    <w:p>
      <w:pPr>
        <w:ind w:left="1920"/>
        <w:spacing w:after="0"/>
        <w:rPr>
          <w:sz w:val="20"/>
          <w:szCs w:val="20"/>
          <w:color w:val="auto"/>
        </w:rPr>
      </w:pPr>
      <w:r>
        <w:rPr>
          <w:rFonts w:ascii="Arial" w:cs="Arial" w:eastAsia="Arial" w:hAnsi="Arial"/>
          <w:sz w:val="18"/>
          <w:szCs w:val="18"/>
          <w:color w:val="0000FF"/>
        </w:rPr>
        <w:t> </w:t>
      </w:r>
    </w:p>
    <w:p>
      <w:pPr>
        <w:spacing w:after="0" w:line="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2.3            </w:t>
      </w:r>
      <w:r>
        <w:rPr>
          <w:rFonts w:ascii="Arial" w:cs="Arial" w:eastAsia="Arial" w:hAnsi="Arial"/>
          <w:sz w:val="18"/>
          <w:szCs w:val="18"/>
          <w:u w:val="single" w:color="auto"/>
          <w:color w:val="auto"/>
        </w:rPr>
        <w:t>Closing Conditions</w:t>
      </w:r>
      <w:r>
        <w:rPr>
          <w:rFonts w:ascii="Arial" w:cs="Arial" w:eastAsia="Arial" w:hAnsi="Arial"/>
          <w:sz w:val="18"/>
          <w:szCs w:val="18"/>
          <w:color w:val="auto"/>
        </w:rPr>
        <w:t>.</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6" w:lineRule="exact"/>
        <w:rPr>
          <w:sz w:val="20"/>
          <w:szCs w:val="20"/>
          <w:color w:val="auto"/>
        </w:rPr>
      </w:pPr>
    </w:p>
    <w:p>
      <w:pPr>
        <w:ind w:left="1280"/>
        <w:spacing w:after="0"/>
        <w:rPr>
          <w:sz w:val="20"/>
          <w:szCs w:val="20"/>
          <w:color w:val="auto"/>
        </w:rPr>
      </w:pPr>
      <w:r>
        <w:rPr>
          <w:rFonts w:ascii="Arial" w:cs="Arial" w:eastAsia="Arial" w:hAnsi="Arial"/>
          <w:sz w:val="16"/>
          <w:szCs w:val="16"/>
          <w:color w:val="auto"/>
        </w:rPr>
        <w:t>(a)           The obligations of the Company hereunder in connection with the Closing and each Additional [_____] Closing and the [_____]</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Closing are subject to the following conditions being met:</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6" w:lineRule="exact"/>
        <w:rPr>
          <w:sz w:val="20"/>
          <w:szCs w:val="20"/>
          <w:color w:val="auto"/>
        </w:rPr>
      </w:pPr>
    </w:p>
    <w:p>
      <w:pPr>
        <w:jc w:val="both"/>
        <w:ind w:left="640" w:firstLine="1281"/>
        <w:spacing w:after="0" w:line="247" w:lineRule="auto"/>
        <w:rPr>
          <w:sz w:val="20"/>
          <w:szCs w:val="20"/>
          <w:color w:val="auto"/>
        </w:rPr>
      </w:pPr>
      <w:r>
        <w:rPr>
          <w:rFonts w:ascii="Arial" w:cs="Arial" w:eastAsia="Arial" w:hAnsi="Arial"/>
          <w:sz w:val="18"/>
          <w:szCs w:val="18"/>
          <w:color w:val="auto"/>
        </w:rPr>
        <w:t>(i)            the accuracy in all material respects (or, to the extent representations or warranties are qualified by materiality or Material Adverse Effect, in all respects) on the Closing Date of the representations and warranties of the Purchasers contained herein (unless as of a specific date therein in which case they shall be accurate as of such date);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6" w:lineRule="exact"/>
        <w:rPr>
          <w:sz w:val="20"/>
          <w:szCs w:val="20"/>
          <w:color w:val="auto"/>
        </w:rPr>
      </w:pPr>
    </w:p>
    <w:p>
      <w:pPr>
        <w:jc w:val="both"/>
        <w:ind w:left="640" w:right="20" w:firstLine="1281"/>
        <w:spacing w:after="0" w:line="247" w:lineRule="auto"/>
        <w:rPr>
          <w:sz w:val="20"/>
          <w:szCs w:val="20"/>
          <w:color w:val="auto"/>
        </w:rPr>
      </w:pPr>
      <w:r>
        <w:rPr>
          <w:rFonts w:ascii="Arial" w:cs="Arial" w:eastAsia="Arial" w:hAnsi="Arial"/>
          <w:sz w:val="18"/>
          <w:szCs w:val="18"/>
          <w:color w:val="auto"/>
        </w:rPr>
        <w:t>(ii)           all obligations, covenants and agreements of each Purchaser required to be performed at or prior to the Closing Date shall have been performed;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6" w:lineRule="exact"/>
        <w:rPr>
          <w:sz w:val="20"/>
          <w:szCs w:val="20"/>
          <w:color w:val="auto"/>
        </w:rPr>
      </w:pPr>
    </w:p>
    <w:p>
      <w:pPr>
        <w:jc w:val="both"/>
        <w:ind w:left="640" w:firstLine="1281"/>
        <w:spacing w:after="0" w:line="262" w:lineRule="auto"/>
        <w:rPr>
          <w:sz w:val="20"/>
          <w:szCs w:val="20"/>
          <w:color w:val="auto"/>
        </w:rPr>
      </w:pPr>
      <w:r>
        <w:rPr>
          <w:rFonts w:ascii="Arial" w:cs="Arial" w:eastAsia="Arial" w:hAnsi="Arial"/>
          <w:sz w:val="17"/>
          <w:szCs w:val="17"/>
          <w:color w:val="auto"/>
        </w:rPr>
        <w:t>(iii)                 the delivery by each Purchaser of the items set forth in Section 2.2(b) of this Agreement applicable to such closing and Section 2.2(d) with respect to each Additional [_____] Closing and Section 2.2(f) with respect to the [_____] Closing;</w:t>
      </w:r>
    </w:p>
    <w:p>
      <w:pPr>
        <w:ind w:left="1920"/>
        <w:spacing w:after="0"/>
        <w:rPr>
          <w:sz w:val="20"/>
          <w:szCs w:val="20"/>
          <w:color w:val="auto"/>
        </w:rPr>
      </w:pPr>
      <w:r>
        <w:rPr>
          <w:rFonts w:ascii="Arial" w:cs="Arial" w:eastAsia="Arial" w:hAnsi="Arial"/>
          <w:sz w:val="18"/>
          <w:szCs w:val="18"/>
          <w:color w:val="auto"/>
        </w:rPr>
        <w:t> </w:t>
      </w:r>
    </w:p>
    <w:p>
      <w:pPr>
        <w:spacing w:after="0" w:line="6" w:lineRule="exact"/>
        <w:rPr>
          <w:sz w:val="20"/>
          <w:szCs w:val="20"/>
          <w:color w:val="auto"/>
        </w:rPr>
      </w:pPr>
    </w:p>
    <w:p>
      <w:pPr>
        <w:ind w:left="1920"/>
        <w:spacing w:after="0"/>
        <w:rPr>
          <w:sz w:val="20"/>
          <w:szCs w:val="20"/>
          <w:color w:val="auto"/>
        </w:rPr>
      </w:pPr>
      <w:r>
        <w:rPr>
          <w:rFonts w:ascii="Arial" w:cs="Arial" w:eastAsia="Arial" w:hAnsi="Arial"/>
          <w:sz w:val="16"/>
          <w:szCs w:val="16"/>
          <w:color w:val="auto"/>
        </w:rPr>
        <w:t>(iv)              with respect to the [_____] Closing only, the closing price of the Common Shares on the primary Trading Market, as</w:t>
      </w:r>
    </w:p>
    <w:p>
      <w:pPr>
        <w:spacing w:after="0" w:line="29" w:lineRule="exact"/>
        <w:rPr>
          <w:sz w:val="20"/>
          <w:szCs w:val="20"/>
          <w:color w:val="auto"/>
        </w:rPr>
      </w:pPr>
    </w:p>
    <w:p>
      <w:pPr>
        <w:ind w:left="640"/>
        <w:spacing w:after="0"/>
        <w:rPr>
          <w:sz w:val="20"/>
          <w:szCs w:val="20"/>
          <w:color w:val="auto"/>
        </w:rPr>
      </w:pPr>
      <w:r>
        <w:rPr>
          <w:rFonts w:ascii="Arial" w:cs="Arial" w:eastAsia="Arial" w:hAnsi="Arial"/>
          <w:sz w:val="16"/>
          <w:szCs w:val="16"/>
          <w:color w:val="auto"/>
        </w:rPr>
        <w:t>reported by Bloomberg, on the Trading Day immediately before [_____]’s delivery of the [_____] Closing Notice to the Company is $3.00 per share</w:t>
      </w:r>
    </w:p>
    <w:p>
      <w:pPr>
        <w:spacing w:after="0" w:line="29" w:lineRule="exact"/>
        <w:rPr>
          <w:sz w:val="20"/>
          <w:szCs w:val="20"/>
          <w:color w:val="auto"/>
        </w:rPr>
      </w:pPr>
    </w:p>
    <w:p>
      <w:pPr>
        <w:jc w:val="both"/>
        <w:ind w:left="640"/>
        <w:spacing w:after="0" w:line="247" w:lineRule="auto"/>
        <w:rPr>
          <w:sz w:val="20"/>
          <w:szCs w:val="20"/>
          <w:color w:val="auto"/>
        </w:rPr>
      </w:pPr>
      <w:r>
        <w:rPr>
          <w:rFonts w:ascii="Arial" w:cs="Arial" w:eastAsia="Arial" w:hAnsi="Arial"/>
          <w:sz w:val="18"/>
          <w:szCs w:val="18"/>
          <w:color w:val="auto"/>
        </w:rPr>
        <w:t>or less, subject to adjustment for reverse and forward stock splits, stock dividends, stock combinations and other similar transactions of the Common Shares that occur after the date of this Agreement;</w:t>
      </w:r>
    </w:p>
    <w:p>
      <w:pPr>
        <w:spacing w:after="0" w:line="1"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 </w:t>
      </w:r>
    </w:p>
    <w:p>
      <w:pPr>
        <w:spacing w:after="0" w:line="6" w:lineRule="exact"/>
        <w:rPr>
          <w:sz w:val="20"/>
          <w:szCs w:val="20"/>
          <w:color w:val="auto"/>
        </w:rPr>
      </w:pPr>
    </w:p>
    <w:p>
      <w:pPr>
        <w:ind w:left="1920"/>
        <w:spacing w:after="0"/>
        <w:rPr>
          <w:sz w:val="20"/>
          <w:szCs w:val="20"/>
          <w:color w:val="auto"/>
        </w:rPr>
      </w:pPr>
      <w:r>
        <w:rPr>
          <w:rFonts w:ascii="Arial" w:cs="Arial" w:eastAsia="Arial" w:hAnsi="Arial"/>
          <w:sz w:val="16"/>
          <w:szCs w:val="16"/>
          <w:color w:val="auto"/>
        </w:rPr>
        <w:t>(v)            with respect to the [_____] Closing only, at least two (2) Trading Days have occurred following [_____]’s delivery of the</w:t>
      </w:r>
    </w:p>
    <w:p>
      <w:pPr>
        <w:ind w:left="640"/>
        <w:spacing w:after="0" w:line="229" w:lineRule="auto"/>
        <w:rPr>
          <w:sz w:val="20"/>
          <w:szCs w:val="20"/>
          <w:color w:val="auto"/>
        </w:rPr>
      </w:pPr>
      <w:r>
        <w:rPr>
          <w:rFonts w:ascii="Arial" w:cs="Arial" w:eastAsia="Arial" w:hAnsi="Arial"/>
          <w:sz w:val="16"/>
          <w:szCs w:val="16"/>
          <w:color w:val="auto"/>
        </w:rPr>
        <w:t>[_____] Closing Notice to the Company so that the [_____] Closing Date shall be no earlier than the third (3</w:t>
      </w:r>
      <w:r>
        <w:rPr>
          <w:rFonts w:ascii="Arial" w:cs="Arial" w:eastAsia="Arial" w:hAnsi="Arial"/>
          <w:sz w:val="26"/>
          <w:szCs w:val="26"/>
          <w:color w:val="auto"/>
          <w:vertAlign w:val="superscript"/>
        </w:rPr>
        <w:t>rd</w:t>
      </w:r>
      <w:r>
        <w:rPr>
          <w:rFonts w:ascii="Arial" w:cs="Arial" w:eastAsia="Arial" w:hAnsi="Arial"/>
          <w:sz w:val="16"/>
          <w:szCs w:val="16"/>
          <w:color w:val="auto"/>
        </w:rPr>
        <w:t>) Trading Day after such delivery.</w:t>
      </w:r>
    </w:p>
    <w:p>
      <w:pPr>
        <w:spacing w:after="0" w:line="1"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 </w:t>
      </w:r>
    </w:p>
    <w:p>
      <w:pPr>
        <w:spacing w:after="0" w:line="3" w:lineRule="exact"/>
        <w:rPr>
          <w:sz w:val="20"/>
          <w:szCs w:val="20"/>
          <w:color w:val="auto"/>
        </w:rPr>
      </w:pPr>
    </w:p>
    <w:p>
      <w:pPr>
        <w:ind w:firstLine="1281"/>
        <w:spacing w:after="0" w:line="247" w:lineRule="auto"/>
        <w:rPr>
          <w:sz w:val="20"/>
          <w:szCs w:val="20"/>
          <w:color w:val="auto"/>
        </w:rPr>
      </w:pPr>
      <w:r>
        <w:rPr>
          <w:rFonts w:ascii="Arial" w:cs="Arial" w:eastAsia="Arial" w:hAnsi="Arial"/>
          <w:sz w:val="18"/>
          <w:szCs w:val="18"/>
          <w:color w:val="auto"/>
        </w:rPr>
        <w:t>(b)               The respective obligations of the Purchasers participating in the Closing hereunder in connection with the Closing are subject to the following conditions being met:</w:t>
      </w:r>
    </w:p>
    <w:p>
      <w:pPr>
        <w:spacing w:after="0" w:line="1"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 </w:t>
      </w:r>
    </w:p>
    <w:p>
      <w:pPr>
        <w:spacing w:after="0" w:line="6" w:lineRule="exact"/>
        <w:rPr>
          <w:sz w:val="20"/>
          <w:szCs w:val="20"/>
          <w:color w:val="auto"/>
        </w:rPr>
      </w:pPr>
    </w:p>
    <w:p>
      <w:pPr>
        <w:jc w:val="both"/>
        <w:ind w:left="640" w:firstLine="1281"/>
        <w:spacing w:after="0" w:line="247" w:lineRule="auto"/>
        <w:rPr>
          <w:sz w:val="20"/>
          <w:szCs w:val="20"/>
          <w:color w:val="auto"/>
        </w:rPr>
      </w:pPr>
      <w:r>
        <w:rPr>
          <w:rFonts w:ascii="Arial" w:cs="Arial" w:eastAsia="Arial" w:hAnsi="Arial"/>
          <w:sz w:val="18"/>
          <w:szCs w:val="18"/>
          <w:color w:val="auto"/>
        </w:rPr>
        <w:t>(i)            the accuracy in all material respects (or, to the extent representations or warranties are qualified by materiality or Material Adverse Effect, in all respects) when made and on the Closing Date of the representations and warranties of the Company contained herein (unless as of a specific date therein in which case they shall be accurate as of such date);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ectPr>
          <w:pgSz w:w="11900" w:h="16838" w:orient="portrait"/>
          <w:cols w:equalWidth="0" w:num="1">
            <w:col w:w="11240"/>
          </w:cols>
          <w:pgMar w:left="320" w:top="225" w:right="339" w:bottom="0" w:gutter="0" w:footer="0" w:header="0"/>
        </w:sectPr>
      </w:pPr>
    </w:p>
    <w:bookmarkStart w:id="34" w:name="page35"/>
    <w:bookmarkEnd w:id="34"/>
    <w:p>
      <w:pPr>
        <w:ind w:left="640" w:firstLine="1281"/>
        <w:spacing w:after="0" w:line="255" w:lineRule="auto"/>
        <w:rPr>
          <w:sz w:val="20"/>
          <w:szCs w:val="20"/>
          <w:color w:val="auto"/>
        </w:rPr>
      </w:pPr>
      <w:r>
        <w:rPr>
          <w:rFonts w:ascii="Arial" w:cs="Arial" w:eastAsia="Arial" w:hAnsi="Arial"/>
          <w:sz w:val="18"/>
          <w:szCs w:val="18"/>
          <w:color w:val="auto"/>
        </w:rPr>
        <w:t>(ii)           all obligations, covenants and agreements of the Company required to be performed at or prior to the Closing Date shall have been performed;</w:t>
      </w:r>
    </w:p>
    <w:p>
      <w:pPr>
        <w:spacing w:after="0"/>
        <w:rPr>
          <w:sz w:val="20"/>
          <w:szCs w:val="20"/>
          <w:color w:val="auto"/>
        </w:rPr>
      </w:pPr>
      <w:r>
        <w:rPr>
          <w:rFonts w:ascii="Arial" w:cs="Arial" w:eastAsia="Arial" w:hAnsi="Arial"/>
          <w:sz w:val="18"/>
          <w:szCs w:val="18"/>
          <w:color w:val="auto"/>
        </w:rPr>
        <w:t> </w:t>
      </w:r>
    </w:p>
    <w:p>
      <w:pPr>
        <w:spacing w:after="0" w:line="6"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(iii)          the delivery by the Company of the items set forth in Section 2.2(a) of this Agreement;</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6"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(iv)          there shall have been no Material Adverse Effect with respect to the Company since the date hereof; and</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207" w:lineRule="exact"/>
        <w:rPr>
          <w:sz w:val="20"/>
          <w:szCs w:val="20"/>
          <w:color w:val="auto"/>
        </w:rPr>
      </w:pPr>
    </w:p>
    <w:p>
      <w:pPr>
        <w:spacing w:after="0"/>
        <w:tabs>
          <w:tab w:leader="none" w:pos="5560" w:val="left"/>
          <w:tab w:leader="none" w:pos="1118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7</w:t>
      </w:r>
      <w:r>
        <w:rPr>
          <w:sz w:val="20"/>
          <w:szCs w:val="20"/>
          <w:color w:val="auto"/>
        </w:rPr>
        <w:tab/>
      </w: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sz w:val="20"/>
          <w:szCs w:val="20"/>
          <w:color w:val="auto"/>
        </w:rPr>
      </w:pPr>
      <w:r>
        <w:rPr>
          <w:rFonts w:ascii="Arial" w:cs="Arial" w:eastAsia="Arial" w:hAnsi="Arial"/>
          <w:sz w:val="21"/>
          <w:szCs w:val="21"/>
          <w:color w:val="auto"/>
        </w:rPr>
        <w:t> </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19" w:lineRule="exact"/>
        <w:rPr>
          <w:sz w:val="20"/>
          <w:szCs w:val="20"/>
          <w:color w:val="auto"/>
        </w:rPr>
      </w:pPr>
    </w:p>
    <w:p>
      <w:pPr>
        <w:jc w:val="both"/>
        <w:ind w:left="640" w:firstLine="1281"/>
        <w:spacing w:after="0" w:line="278" w:lineRule="auto"/>
        <w:rPr>
          <w:sz w:val="20"/>
          <w:szCs w:val="20"/>
          <w:color w:val="auto"/>
        </w:rPr>
      </w:pPr>
      <w:r>
        <w:rPr>
          <w:rFonts w:ascii="Arial" w:cs="Arial" w:eastAsia="Arial" w:hAnsi="Arial"/>
          <w:sz w:val="16"/>
          <w:szCs w:val="16"/>
          <w:color w:val="auto"/>
        </w:rPr>
        <w:t>(v)           from the date hereof to the Closing Date, trading in the Common Shares shall not have been suspended by the Commission or the Company’s principal Trading Market, and, at any time prior to the Closing Date, trading in securities generally on any nationally recognized securities exchange as reported by Bloomberg L.P. shall not have been suspended or limited, or minimum prices shall not have been established on securities whose trades are reported by such service, or on any Trading Market, nor shall a banking moratorium have been declared either by the United States or New York State authorities nor shall there have occurred any material outbreak or escalation of hostilities or other national or international calamity of such magnitude in its effect on, or any material adverse change in, any financial market which, in each case, in the reasonable judgment of such Purchaser, makes it impracticable or inadvisable to purchase the Securities at the Closing.</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6"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(c)           The respective obligations of [_____] (and the Company solely with respect to the condition set forth in Section 2.3(c)(iv))</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hereunder in connection with each Additional [_____] Closing are subject to the following conditions being met:</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6" w:lineRule="exact"/>
        <w:rPr>
          <w:sz w:val="20"/>
          <w:szCs w:val="20"/>
          <w:color w:val="auto"/>
        </w:rPr>
      </w:pPr>
    </w:p>
    <w:p>
      <w:pPr>
        <w:jc w:val="both"/>
        <w:ind w:left="640" w:firstLine="1281"/>
        <w:spacing w:after="0" w:line="247" w:lineRule="auto"/>
        <w:rPr>
          <w:sz w:val="20"/>
          <w:szCs w:val="20"/>
          <w:color w:val="auto"/>
        </w:rPr>
      </w:pPr>
      <w:r>
        <w:rPr>
          <w:rFonts w:ascii="Arial" w:cs="Arial" w:eastAsia="Arial" w:hAnsi="Arial"/>
          <w:sz w:val="18"/>
          <w:szCs w:val="18"/>
          <w:color w:val="auto"/>
        </w:rPr>
        <w:t>(i)            all obligations, covenants and agreements of the Company required to be performed at or prior to the Closing Date shall have been performed;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6"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(ii)           the delivery by the Company of the items set forth in Section 2.2(c) of this Agreement;</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6" w:lineRule="exact"/>
        <w:rPr>
          <w:sz w:val="20"/>
          <w:szCs w:val="20"/>
          <w:color w:val="auto"/>
        </w:rPr>
      </w:pPr>
    </w:p>
    <w:p>
      <w:pPr>
        <w:ind w:left="1920"/>
        <w:spacing w:after="0"/>
        <w:rPr>
          <w:sz w:val="20"/>
          <w:szCs w:val="20"/>
          <w:color w:val="auto"/>
        </w:rPr>
      </w:pPr>
      <w:r>
        <w:rPr>
          <w:rFonts w:ascii="Arial" w:cs="Arial" w:eastAsia="Arial" w:hAnsi="Arial"/>
          <w:sz w:val="17"/>
          <w:szCs w:val="17"/>
          <w:color w:val="auto"/>
        </w:rPr>
        <w:t>(iii)          from the date hereof to such Additional [_____] Closing Date, trading in the Common Shares shall not have been</w:t>
      </w:r>
    </w:p>
    <w:p>
      <w:pPr>
        <w:spacing w:after="0" w:line="18" w:lineRule="exact"/>
        <w:rPr>
          <w:sz w:val="20"/>
          <w:szCs w:val="20"/>
          <w:color w:val="auto"/>
        </w:rPr>
      </w:pPr>
    </w:p>
    <w:p>
      <w:pPr>
        <w:ind w:left="640"/>
        <w:spacing w:after="0"/>
        <w:rPr>
          <w:sz w:val="20"/>
          <w:szCs w:val="20"/>
          <w:color w:val="auto"/>
        </w:rPr>
      </w:pPr>
      <w:r>
        <w:rPr>
          <w:rFonts w:ascii="Arial" w:cs="Arial" w:eastAsia="Arial" w:hAnsi="Arial"/>
          <w:sz w:val="16"/>
          <w:szCs w:val="16"/>
          <w:color w:val="auto"/>
        </w:rPr>
        <w:t>suspended by the Commission or the Company’s principal Trading Market, and, at any time prior to such Additional [_____] Closing Date, trading</w:t>
      </w:r>
    </w:p>
    <w:p>
      <w:pPr>
        <w:spacing w:after="0" w:line="29" w:lineRule="exact"/>
        <w:rPr>
          <w:sz w:val="20"/>
          <w:szCs w:val="20"/>
          <w:color w:val="auto"/>
        </w:rPr>
      </w:pPr>
    </w:p>
    <w:p>
      <w:pPr>
        <w:jc w:val="both"/>
        <w:ind w:left="640"/>
        <w:spacing w:after="0" w:line="247" w:lineRule="auto"/>
        <w:rPr>
          <w:sz w:val="20"/>
          <w:szCs w:val="20"/>
          <w:color w:val="auto"/>
        </w:rPr>
      </w:pPr>
      <w:r>
        <w:rPr>
          <w:rFonts w:ascii="Arial" w:cs="Arial" w:eastAsia="Arial" w:hAnsi="Arial"/>
          <w:sz w:val="18"/>
          <w:szCs w:val="18"/>
          <w:color w:val="auto"/>
        </w:rPr>
        <w:t>in securities generally on any nationally recognized securities exchange as reported by Bloomberg L.P. shall not have been suspended or limited, or minimum prices shall not have been established on securities whose trades are reported by such service, or on any Trading Market, nor shall a banking moratorium have been declared either by the United States or New York State authorities nor shall there have occurred any material outbreak or escalation of hostilities or other national or international calamity of such magnitude in its effect on, or any material adverse change in, any financial market which, in each case, in the reasonable judgment of such Purchaser, makes it impracticable or inadvisable to purchase the Securities at the Closing; and</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6" w:lineRule="exact"/>
        <w:rPr>
          <w:sz w:val="20"/>
          <w:szCs w:val="20"/>
          <w:color w:val="auto"/>
        </w:rPr>
      </w:pPr>
    </w:p>
    <w:p>
      <w:pPr>
        <w:ind w:left="1920"/>
        <w:spacing w:after="0"/>
        <w:rPr>
          <w:sz w:val="20"/>
          <w:szCs w:val="20"/>
          <w:color w:val="auto"/>
        </w:rPr>
      </w:pPr>
      <w:r>
        <w:rPr>
          <w:rFonts w:ascii="Arial" w:cs="Arial" w:eastAsia="Arial" w:hAnsi="Arial"/>
          <w:sz w:val="16"/>
          <w:szCs w:val="16"/>
          <w:color w:val="auto"/>
        </w:rPr>
        <w:t>(iv)          the issuance of the Securities to [_____] at such Additional [_____] Closing will not require shareholder approval under</w:t>
      </w:r>
    </w:p>
    <w:p>
      <w:pPr>
        <w:spacing w:after="0" w:line="29" w:lineRule="exact"/>
        <w:rPr>
          <w:sz w:val="20"/>
          <w:szCs w:val="20"/>
          <w:color w:val="auto"/>
        </w:rPr>
      </w:pPr>
    </w:p>
    <w:p>
      <w:pPr>
        <w:jc w:val="both"/>
        <w:ind w:left="640"/>
        <w:spacing w:after="0" w:line="247" w:lineRule="auto"/>
        <w:rPr>
          <w:sz w:val="20"/>
          <w:szCs w:val="20"/>
          <w:color w:val="auto"/>
        </w:rPr>
      </w:pPr>
      <w:r>
        <w:rPr>
          <w:rFonts w:ascii="Arial" w:cs="Arial" w:eastAsia="Arial" w:hAnsi="Arial"/>
          <w:sz w:val="18"/>
          <w:szCs w:val="18"/>
          <w:color w:val="auto"/>
        </w:rPr>
        <w:t>the applicable listing rules of the Nasdaq Global Select Market or other Nasdaq market, in which case the Securities issuable at such Additional [_____] Closing shall be reduced to an amount that would not require such shareholder approval.</w:t>
      </w:r>
    </w:p>
    <w:p>
      <w:pPr>
        <w:spacing w:after="0" w:line="1"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 </w:t>
      </w:r>
    </w:p>
    <w:p>
      <w:pPr>
        <w:spacing w:after="0" w:line="6" w:lineRule="exact"/>
        <w:rPr>
          <w:sz w:val="20"/>
          <w:szCs w:val="20"/>
          <w:color w:val="auto"/>
        </w:rPr>
      </w:pPr>
    </w:p>
    <w:p>
      <w:pPr>
        <w:ind w:firstLine="640"/>
        <w:spacing w:after="0" w:line="278" w:lineRule="auto"/>
        <w:rPr>
          <w:sz w:val="20"/>
          <w:szCs w:val="20"/>
          <w:color w:val="auto"/>
        </w:rPr>
      </w:pPr>
      <w:r>
        <w:rPr>
          <w:rFonts w:ascii="Arial" w:cs="Arial" w:eastAsia="Arial" w:hAnsi="Arial"/>
          <w:sz w:val="16"/>
          <w:szCs w:val="16"/>
          <w:color w:val="auto"/>
        </w:rPr>
        <w:t>Notwithstanding anything to the contrary in this Agreement, upon delivery of the closing deliverables set forth in Section 2.2(c) and satisfaction of any conditions to such closing, [_____] shall be irrevocably bound to purchase the applicable Shares and Class A Purchase Warrants at each Additional</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[_____] Closing.</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6" w:lineRule="exact"/>
        <w:rPr>
          <w:sz w:val="20"/>
          <w:szCs w:val="20"/>
          <w:color w:val="auto"/>
        </w:rPr>
      </w:pPr>
    </w:p>
    <w:p>
      <w:pPr>
        <w:ind w:left="1280"/>
        <w:spacing w:after="0"/>
        <w:rPr>
          <w:sz w:val="20"/>
          <w:szCs w:val="20"/>
          <w:color w:val="auto"/>
        </w:rPr>
      </w:pPr>
      <w:r>
        <w:rPr>
          <w:rFonts w:ascii="Arial" w:cs="Arial" w:eastAsia="Arial" w:hAnsi="Arial"/>
          <w:sz w:val="16"/>
          <w:szCs w:val="16"/>
          <w:color w:val="auto"/>
        </w:rPr>
        <w:t>(d)               The respective obligations of [_____] hereunder in connection with the [_____] Closing are subject to the following conditions</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being met:</w:t>
      </w:r>
    </w:p>
    <w:p>
      <w:pPr>
        <w:spacing w:after="0" w:line="6"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 </w:t>
      </w:r>
    </w:p>
    <w:p>
      <w:pPr>
        <w:spacing w:after="0" w:line="6" w:lineRule="exact"/>
        <w:rPr>
          <w:sz w:val="20"/>
          <w:szCs w:val="20"/>
          <w:color w:val="auto"/>
        </w:rPr>
      </w:pPr>
    </w:p>
    <w:p>
      <w:pPr>
        <w:jc w:val="both"/>
        <w:ind w:left="640" w:firstLine="1281"/>
        <w:spacing w:after="0" w:line="247" w:lineRule="auto"/>
        <w:rPr>
          <w:sz w:val="20"/>
          <w:szCs w:val="20"/>
          <w:color w:val="auto"/>
        </w:rPr>
      </w:pPr>
      <w:r>
        <w:rPr>
          <w:rFonts w:ascii="Arial" w:cs="Arial" w:eastAsia="Arial" w:hAnsi="Arial"/>
          <w:sz w:val="18"/>
          <w:szCs w:val="18"/>
          <w:color w:val="auto"/>
        </w:rPr>
        <w:t>(i)               all obligations, covenants and agreements of the Company required to be performed at or prior to the Closing Date shall have been performed;</w:t>
      </w:r>
    </w:p>
    <w:p>
      <w:pPr>
        <w:spacing w:after="0" w:line="1"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 </w:t>
      </w:r>
    </w:p>
    <w:p>
      <w:pPr>
        <w:spacing w:after="0" w:line="6"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(ii)             the delivery by the Company of the items set forth in Section 2.2(e) of this Agreement;</w:t>
      </w:r>
    </w:p>
    <w:p>
      <w:pPr>
        <w:spacing w:after="0" w:line="6"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 </w:t>
      </w:r>
    </w:p>
    <w:p>
      <w:pPr>
        <w:spacing w:after="0" w:line="6" w:lineRule="exact"/>
        <w:rPr>
          <w:sz w:val="20"/>
          <w:szCs w:val="20"/>
          <w:color w:val="auto"/>
        </w:rPr>
      </w:pPr>
    </w:p>
    <w:p>
      <w:pPr>
        <w:ind w:left="1920"/>
        <w:spacing w:after="0"/>
        <w:rPr>
          <w:sz w:val="20"/>
          <w:szCs w:val="20"/>
          <w:color w:val="auto"/>
        </w:rPr>
      </w:pPr>
      <w:r>
        <w:rPr>
          <w:rFonts w:ascii="Arial" w:cs="Arial" w:eastAsia="Arial" w:hAnsi="Arial"/>
          <w:sz w:val="16"/>
          <w:szCs w:val="16"/>
          <w:color w:val="auto"/>
        </w:rPr>
        <w:t>(iii)            from the date hereof to the [_____] Closing Date, trading in the Common Shares shall not have been suspended by the</w:t>
      </w:r>
    </w:p>
    <w:p>
      <w:pPr>
        <w:spacing w:after="0" w:line="29" w:lineRule="exact"/>
        <w:rPr>
          <w:sz w:val="20"/>
          <w:szCs w:val="20"/>
          <w:color w:val="auto"/>
        </w:rPr>
      </w:pPr>
    </w:p>
    <w:p>
      <w:pPr>
        <w:ind w:left="640"/>
        <w:spacing w:after="0"/>
        <w:rPr>
          <w:sz w:val="20"/>
          <w:szCs w:val="20"/>
          <w:color w:val="auto"/>
        </w:rPr>
      </w:pPr>
      <w:r>
        <w:rPr>
          <w:rFonts w:ascii="Arial" w:cs="Arial" w:eastAsia="Arial" w:hAnsi="Arial"/>
          <w:sz w:val="16"/>
          <w:szCs w:val="16"/>
          <w:color w:val="auto"/>
        </w:rPr>
        <w:t>Commission or the Company’s principal Trading Market, and, at any time prior to the [_____] Closing Date, trading in securities generally on any</w:t>
      </w:r>
    </w:p>
    <w:p>
      <w:pPr>
        <w:spacing w:after="0" w:line="29" w:lineRule="exact"/>
        <w:rPr>
          <w:sz w:val="20"/>
          <w:szCs w:val="20"/>
          <w:color w:val="auto"/>
        </w:rPr>
      </w:pPr>
    </w:p>
    <w:p>
      <w:pPr>
        <w:jc w:val="both"/>
        <w:ind w:left="640"/>
        <w:spacing w:after="0" w:line="278" w:lineRule="auto"/>
        <w:rPr>
          <w:sz w:val="20"/>
          <w:szCs w:val="20"/>
          <w:color w:val="auto"/>
        </w:rPr>
      </w:pPr>
      <w:r>
        <w:rPr>
          <w:rFonts w:ascii="Arial" w:cs="Arial" w:eastAsia="Arial" w:hAnsi="Arial"/>
          <w:sz w:val="16"/>
          <w:szCs w:val="16"/>
          <w:color w:val="auto"/>
        </w:rPr>
        <w:t>nationally recognized securities exchange as reported by Bloomberg L.P. shall not have been suspended or limited, or minimum prices shall not have been established on securities whose trades are reported by such service, or on any Trading Market, nor shall a banking moratorium have been declared either by the United States or New York State authorities nor shall there have occurred any material outbreak or escalation of hostilities or other national or international calamity of such magnitude in its effect on, or any material adverse change in, any financial market which, in each case, in the reasonable judgment of such Purchaser, makes it impracticable or inadvisable to purchase the Securities at the Closing;</w:t>
      </w:r>
    </w:p>
    <w:p>
      <w:pPr>
        <w:spacing w:after="0" w:line="2"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 </w:t>
      </w:r>
    </w:p>
    <w:p>
      <w:pPr>
        <w:spacing w:after="0" w:line="6" w:lineRule="exact"/>
        <w:rPr>
          <w:sz w:val="20"/>
          <w:szCs w:val="20"/>
          <w:color w:val="auto"/>
        </w:rPr>
      </w:pPr>
    </w:p>
    <w:p>
      <w:pPr>
        <w:ind w:left="1920"/>
        <w:spacing w:after="0"/>
        <w:rPr>
          <w:sz w:val="20"/>
          <w:szCs w:val="20"/>
          <w:color w:val="auto"/>
        </w:rPr>
      </w:pPr>
      <w:r>
        <w:rPr>
          <w:rFonts w:ascii="Arial" w:cs="Arial" w:eastAsia="Arial" w:hAnsi="Arial"/>
          <w:sz w:val="16"/>
          <w:szCs w:val="16"/>
          <w:color w:val="auto"/>
        </w:rPr>
        <w:t>(iv)            at least two (2) Trading Days have occurred following [_____]’s delivery of the [_____] Closing Notice to the Company</w:t>
      </w:r>
    </w:p>
    <w:p>
      <w:pPr>
        <w:ind w:left="640"/>
        <w:spacing w:after="0" w:line="205" w:lineRule="auto"/>
        <w:rPr>
          <w:sz w:val="20"/>
          <w:szCs w:val="20"/>
          <w:color w:val="auto"/>
        </w:rPr>
      </w:pPr>
      <w:r>
        <w:rPr>
          <w:rFonts w:ascii="Arial" w:cs="Arial" w:eastAsia="Arial" w:hAnsi="Arial"/>
          <w:sz w:val="18"/>
          <w:szCs w:val="18"/>
          <w:color w:val="auto"/>
        </w:rPr>
        <w:t>so that the [_____] Closing Date shall be no earlier than the third (3</w:t>
      </w:r>
      <w:r>
        <w:rPr>
          <w:rFonts w:ascii="Arial" w:cs="Arial" w:eastAsia="Arial" w:hAnsi="Arial"/>
          <w:sz w:val="29"/>
          <w:szCs w:val="29"/>
          <w:color w:val="auto"/>
          <w:vertAlign w:val="superscript"/>
        </w:rPr>
        <w:t>rd</w:t>
      </w:r>
      <w:r>
        <w:rPr>
          <w:rFonts w:ascii="Arial" w:cs="Arial" w:eastAsia="Arial" w:hAnsi="Arial"/>
          <w:sz w:val="18"/>
          <w:szCs w:val="18"/>
          <w:color w:val="auto"/>
        </w:rPr>
        <w:t>) Trading Day after such delivery.</w:t>
      </w:r>
    </w:p>
    <w:p>
      <w:pPr>
        <w:spacing w:after="0" w:line="1"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 </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REPRESENTATIONS AND WARRANTIES</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6" w:lineRule="exact"/>
        <w:rPr>
          <w:sz w:val="20"/>
          <w:szCs w:val="20"/>
          <w:color w:val="auto"/>
        </w:rPr>
      </w:pPr>
    </w:p>
    <w:p>
      <w:pPr>
        <w:ind w:firstLine="640"/>
        <w:spacing w:after="0" w:line="247" w:lineRule="auto"/>
        <w:rPr>
          <w:sz w:val="20"/>
          <w:szCs w:val="20"/>
          <w:color w:val="auto"/>
        </w:rPr>
      </w:pPr>
      <w:r>
        <w:rPr>
          <w:rFonts w:ascii="Arial" w:cs="Arial" w:eastAsia="Arial" w:hAnsi="Arial"/>
          <w:sz w:val="18"/>
          <w:szCs w:val="18"/>
          <w:color w:val="auto"/>
        </w:rPr>
        <w:t>3.1            </w:t>
      </w:r>
      <w:r>
        <w:rPr>
          <w:rFonts w:ascii="Arial" w:cs="Arial" w:eastAsia="Arial" w:hAnsi="Arial"/>
          <w:sz w:val="18"/>
          <w:szCs w:val="18"/>
          <w:u w:val="single" w:color="auto"/>
          <w:color w:val="auto"/>
        </w:rPr>
        <w:t>Representations and Warranties of the Company</w:t>
      </w:r>
      <w:r>
        <w:rPr>
          <w:rFonts w:ascii="Arial" w:cs="Arial" w:eastAsia="Arial" w:hAnsi="Arial"/>
          <w:sz w:val="18"/>
          <w:szCs w:val="18"/>
          <w:color w:val="auto"/>
        </w:rPr>
        <w:t>. Except as set forth in the SEC Reports, which SEC Reports shall be deemed a part hereof and shall qualify any representation or otherwise made herein, the Company hereby makes the following representations and warranties to each Purchaser:  </w:t>
      </w:r>
    </w:p>
    <w:p>
      <w:pPr>
        <w:spacing w:after="0" w:line="1" w:lineRule="exact"/>
        <w:rPr>
          <w:sz w:val="20"/>
          <w:szCs w:val="20"/>
          <w:color w:val="auto"/>
        </w:rPr>
      </w:pPr>
    </w:p>
    <w:p>
      <w:pPr>
        <w:ind w:left="1280"/>
        <w:spacing w:after="0"/>
        <w:rPr>
          <w:sz w:val="20"/>
          <w:szCs w:val="20"/>
          <w:color w:val="auto"/>
        </w:rPr>
      </w:pPr>
      <w:r>
        <w:rPr>
          <w:rFonts w:ascii="Arial" w:cs="Arial" w:eastAsia="Arial" w:hAnsi="Arial"/>
          <w:sz w:val="16"/>
          <w:szCs w:val="16"/>
          <w:color w:val="auto"/>
        </w:rPr>
        <w:t>(a)           </w:t>
      </w:r>
      <w:r>
        <w:rPr>
          <w:rFonts w:ascii="Arial" w:cs="Arial" w:eastAsia="Arial" w:hAnsi="Arial"/>
          <w:sz w:val="16"/>
          <w:szCs w:val="16"/>
          <w:u w:val="single" w:color="auto"/>
          <w:color w:val="auto"/>
        </w:rPr>
        <w:t>Subsidiaries</w:t>
      </w:r>
      <w:r>
        <w:rPr>
          <w:rFonts w:ascii="Arial" w:cs="Arial" w:eastAsia="Arial" w:hAnsi="Arial"/>
          <w:sz w:val="16"/>
          <w:szCs w:val="16"/>
          <w:color w:val="auto"/>
        </w:rPr>
        <w:t>. All of the direct and indirect subsidiaries of the Company are set forth in the SEC Reports. Except as set forth in the</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SEC Reports, the Company owns, directly or indirectly, all of the capital stock or other equity interests of each Subsidiary free and clear of any Liens, and all</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of the issued and outstanding shares of capital stock of each Subsidiary are validly issued and are fully paid, non-assessable and free of preemptive and</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similar rights to subscribe for or purchase securities.</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207" w:lineRule="exact"/>
        <w:rPr>
          <w:sz w:val="20"/>
          <w:szCs w:val="20"/>
          <w:color w:val="auto"/>
        </w:rPr>
      </w:pPr>
    </w:p>
    <w:p>
      <w:pPr>
        <w:spacing w:after="0"/>
        <w:tabs>
          <w:tab w:leader="none" w:pos="5560" w:val="left"/>
          <w:tab w:leader="none" w:pos="1118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8</w:t>
      </w:r>
      <w:r>
        <w:rPr>
          <w:sz w:val="20"/>
          <w:szCs w:val="20"/>
          <w:color w:val="auto"/>
        </w:rPr>
        <w:tab/>
      </w: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36" w:name="page37"/>
    <w:bookmarkEnd w:id="36"/>
    <w:p>
      <w:pPr>
        <w:spacing w:after="0"/>
        <w:rPr>
          <w:sz w:val="20"/>
          <w:szCs w:val="20"/>
          <w:color w:val="auto"/>
        </w:rPr>
      </w:pPr>
      <w:r>
        <w:rPr>
          <w:rFonts w:ascii="Arial" w:cs="Arial" w:eastAsia="Arial" w:hAnsi="Arial"/>
          <w:sz w:val="21"/>
          <w:szCs w:val="21"/>
          <w:color w:val="auto"/>
        </w:rPr>
        <w:t> </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200" w:lineRule="exact"/>
        <w:rPr>
          <w:sz w:val="20"/>
          <w:szCs w:val="20"/>
          <w:color w:val="auto"/>
        </w:rPr>
      </w:pPr>
    </w:p>
    <w:p>
      <w:pPr>
        <w:spacing w:after="0" w:line="233" w:lineRule="exact"/>
        <w:rPr>
          <w:sz w:val="20"/>
          <w:szCs w:val="20"/>
          <w:color w:val="auto"/>
        </w:rPr>
      </w:pPr>
    </w:p>
    <w:p>
      <w:pPr>
        <w:jc w:val="both"/>
        <w:ind w:firstLine="1281"/>
        <w:spacing w:after="0" w:line="284" w:lineRule="auto"/>
        <w:rPr>
          <w:sz w:val="20"/>
          <w:szCs w:val="20"/>
          <w:color w:val="auto"/>
        </w:rPr>
      </w:pPr>
      <w:r>
        <w:rPr>
          <w:rFonts w:ascii="Arial" w:cs="Arial" w:eastAsia="Arial" w:hAnsi="Arial"/>
          <w:sz w:val="16"/>
          <w:szCs w:val="16"/>
          <w:color w:val="auto"/>
        </w:rPr>
        <w:t>(b)            </w:t>
      </w:r>
      <w:r>
        <w:rPr>
          <w:rFonts w:ascii="Arial" w:cs="Arial" w:eastAsia="Arial" w:hAnsi="Arial"/>
          <w:sz w:val="16"/>
          <w:szCs w:val="16"/>
          <w:u w:val="single" w:color="auto"/>
          <w:color w:val="auto"/>
        </w:rPr>
        <w:t>Organization and Qualification</w:t>
      </w:r>
      <w:r>
        <w:rPr>
          <w:rFonts w:ascii="Arial" w:cs="Arial" w:eastAsia="Arial" w:hAnsi="Arial"/>
          <w:sz w:val="16"/>
          <w:szCs w:val="16"/>
          <w:color w:val="auto"/>
        </w:rPr>
        <w:t>. The Company and each of the Subsidiaries is an entity duly incorporated or otherwise organized, validly existing and in good standing under the laws of the jurisdiction of its incorporation or organization, with the requisite power and authority to own and use its properties and assets and to carry on its business as currently conducted. Neither the Company nor any Subsidiary is in violation nor default of any of the provisions of its respective certificate or articles of incorporation, bylaws or other organizational or charter documents. Each of the Company and the Subsidiaries is duly qualified to conduct business and is in good standing as a foreign corporation or other entity in each jurisdiction in which the nature of the business conducted or property owned by it makes such qualification necessary, except where the failure to be so qualified or in good standing, as the case may be, would not have or reasonably be expected to result in: (i) a material adverse effect on the legality, validity or enforceability of any Transaction Document, (ii) a material adverse effect on the results of operations, assets, business, prospects or condition (financial or otherwise) of the Company and the Subsidiaries, taken as a whole, or (iii) a material adverse effect on the Company’s ability to perform in any material respect on a timely basis its obligations under any Transaction Document (any of (i), (ii) or (iii), a “</w:t>
      </w:r>
      <w:r>
        <w:rPr>
          <w:rFonts w:ascii="Arial" w:cs="Arial" w:eastAsia="Arial" w:hAnsi="Arial"/>
          <w:sz w:val="16"/>
          <w:szCs w:val="16"/>
          <w:u w:val="single" w:color="auto"/>
          <w:color w:val="auto"/>
        </w:rPr>
        <w:t>Material Adverse Effect</w:t>
      </w:r>
      <w:r>
        <w:rPr>
          <w:rFonts w:ascii="Arial" w:cs="Arial" w:eastAsia="Arial" w:hAnsi="Arial"/>
          <w:sz w:val="16"/>
          <w:szCs w:val="16"/>
          <w:color w:val="auto"/>
        </w:rPr>
        <w:t>”) and no Proceeding has been instituted in any such jurisdiction revoking, limiting or curtailing or seeking to revoke, limit or curtail such power and authority or qualification.</w:t>
      </w:r>
    </w:p>
    <w:p>
      <w:pPr>
        <w:spacing w:after="0" w:line="167" w:lineRule="exact"/>
        <w:rPr>
          <w:sz w:val="20"/>
          <w:szCs w:val="20"/>
          <w:color w:val="auto"/>
        </w:rPr>
      </w:pPr>
    </w:p>
    <w:p>
      <w:pPr>
        <w:jc w:val="both"/>
        <w:ind w:firstLine="1281"/>
        <w:spacing w:after="0" w:line="265" w:lineRule="auto"/>
        <w:rPr>
          <w:sz w:val="20"/>
          <w:szCs w:val="20"/>
          <w:color w:val="auto"/>
        </w:rPr>
      </w:pPr>
      <w:r>
        <w:rPr>
          <w:rFonts w:ascii="Arial" w:cs="Arial" w:eastAsia="Arial" w:hAnsi="Arial"/>
          <w:sz w:val="17"/>
          <w:szCs w:val="17"/>
          <w:color w:val="auto"/>
        </w:rPr>
        <w:t>(c)            </w:t>
      </w:r>
      <w:r>
        <w:rPr>
          <w:rFonts w:ascii="Arial" w:cs="Arial" w:eastAsia="Arial" w:hAnsi="Arial"/>
          <w:sz w:val="17"/>
          <w:szCs w:val="17"/>
          <w:u w:val="single" w:color="auto"/>
          <w:color w:val="auto"/>
        </w:rPr>
        <w:t>Authorization; Enforcement</w:t>
      </w:r>
      <w:r>
        <w:rPr>
          <w:rFonts w:ascii="Arial" w:cs="Arial" w:eastAsia="Arial" w:hAnsi="Arial"/>
          <w:sz w:val="17"/>
          <w:szCs w:val="17"/>
          <w:color w:val="auto"/>
        </w:rPr>
        <w:t>. The Company has or will have the requisite corporate power and authority to enter into and to consummate the transactions contemplated by this Agreement and each of the other Transaction Documents and otherwise to carry out its obligations hereunder and thereunder. The execution and delivery of this Agreement and each of the other Transaction Documents by the Company and the consummation by it of the transactions contemplated hereby and thereby have been or will be duly authorized by all necessary action on the part of the Company and no further action is required by the Company, the Board of Directors or the Company’s shareholders in connection herewith or therewith other than in connection with the Required Approvals. This Agreement and each other Transaction Document to which it is a party has been (or upon delivery will have been) duly executed by the Company and, when delivered in accordance with the terms hereof and thereof, will constitute the valid and binding obligation of the Company enforceable against the Company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188" w:lineRule="exact"/>
        <w:rPr>
          <w:sz w:val="20"/>
          <w:szCs w:val="20"/>
          <w:color w:val="auto"/>
        </w:rPr>
      </w:pPr>
    </w:p>
    <w:p>
      <w:pPr>
        <w:jc w:val="both"/>
        <w:ind w:firstLine="1281"/>
        <w:spacing w:after="0" w:line="284" w:lineRule="auto"/>
        <w:rPr>
          <w:sz w:val="20"/>
          <w:szCs w:val="20"/>
          <w:color w:val="auto"/>
        </w:rPr>
      </w:pPr>
      <w:r>
        <w:rPr>
          <w:rFonts w:ascii="Arial" w:cs="Arial" w:eastAsia="Arial" w:hAnsi="Arial"/>
          <w:sz w:val="16"/>
          <w:szCs w:val="16"/>
          <w:color w:val="auto"/>
        </w:rPr>
        <w:t>(d)           </w:t>
      </w:r>
      <w:r>
        <w:rPr>
          <w:rFonts w:ascii="Arial" w:cs="Arial" w:eastAsia="Arial" w:hAnsi="Arial"/>
          <w:sz w:val="16"/>
          <w:szCs w:val="16"/>
          <w:u w:val="single" w:color="auto"/>
          <w:color w:val="auto"/>
        </w:rPr>
        <w:t>No Conflicts</w:t>
      </w:r>
      <w:r>
        <w:rPr>
          <w:rFonts w:ascii="Arial" w:cs="Arial" w:eastAsia="Arial" w:hAnsi="Arial"/>
          <w:sz w:val="16"/>
          <w:szCs w:val="16"/>
          <w:color w:val="auto"/>
        </w:rPr>
        <w:t>. The execution, delivery and performance by the Company of this Agreement and the other Transaction Documents to which it is a party, the issuance and sale of the Securities and the consummation by it of the transactions contemplated hereby and thereby do not and will not (i) conflict with or violate any provision of the Company’s or any Subsidiary’s notice of articles, articles, certificate or articles of incorporation, bylaws or other organizational or charter documents, or (ii) conflict with, or constitute a default (or an event that with notice or lapse of time or both would become a default) under, result in the creation of any Lien upon any of the properties or assets of the Company or any Subsidiary, or give to others any rights of termination, amendment, anti-dilution or similar adjustments, acceleration or cancellation (with or without notice, lapse of time or both) of, any agreement, credit facility, debt or other instrument (evidencing a Company or Subsidiary debt or otherwise) to which the Company or any Subsidiary is a party or by which any property or asset of the Company or any Subsidiary is bound or affected, or (iii) subject to the Required Approvals, conflict with or result in a violation of any law, rule, regulation, order, judgment, injunction, decree or other restriction of any court or governmental authority to which the Company or a Subsidiary is subject (including federal and state securities laws and regulations), or by which any property or asset of the Company or a Subsidiary is bound or affected; except in the case of each of clauses (ii) and (iii), such as would not have or reasonably be expected to result in a Material Adverse Effect.</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37" w:name="page38"/>
    <w:bookmarkEnd w:id="37"/>
    <w:p>
      <w:pPr>
        <w:jc w:val="both"/>
        <w:ind w:firstLine="1281"/>
        <w:spacing w:after="0" w:line="269" w:lineRule="auto"/>
        <w:rPr>
          <w:sz w:val="20"/>
          <w:szCs w:val="20"/>
          <w:color w:val="auto"/>
        </w:rPr>
      </w:pPr>
      <w:r>
        <w:rPr>
          <w:rFonts w:ascii="Arial" w:cs="Arial" w:eastAsia="Arial" w:hAnsi="Arial"/>
          <w:sz w:val="17"/>
          <w:szCs w:val="17"/>
          <w:color w:val="auto"/>
        </w:rPr>
        <w:t>(e)           </w:t>
      </w:r>
      <w:r>
        <w:rPr>
          <w:rFonts w:ascii="Arial" w:cs="Arial" w:eastAsia="Arial" w:hAnsi="Arial"/>
          <w:sz w:val="17"/>
          <w:szCs w:val="17"/>
          <w:u w:val="single" w:color="auto"/>
          <w:color w:val="auto"/>
        </w:rPr>
        <w:t>Filings, Consents and Approvals</w:t>
      </w:r>
      <w:r>
        <w:rPr>
          <w:rFonts w:ascii="Arial" w:cs="Arial" w:eastAsia="Arial" w:hAnsi="Arial"/>
          <w:sz w:val="17"/>
          <w:szCs w:val="17"/>
          <w:color w:val="auto"/>
        </w:rPr>
        <w:t>. The Company is not required to obtain any consent, waiver, authorization or order of, give any notice to, or make any filing or registration with, any court or other federal, state, local or other governmental authority or other Person in connection with the execution, delivery and performance by the Company of the Transaction Documents, other than: (i) the filings required pursuant to Section 4.4 of this Agreement, (ii) the filing with the Commission of the Prospectus Supplement, (iii) application(s) to each applicable Trading Market for the listing of the Securities for trading thereon in the time and manner required thereby and (iv) such filings as are required to be made under applicable state securities laws and/or the rules of the Financial Industry Regulatory Authority, Inc. (collectively, the “</w:t>
      </w:r>
      <w:r>
        <w:rPr>
          <w:rFonts w:ascii="Arial" w:cs="Arial" w:eastAsia="Arial" w:hAnsi="Arial"/>
          <w:sz w:val="17"/>
          <w:szCs w:val="17"/>
          <w:u w:val="single" w:color="auto"/>
          <w:color w:val="auto"/>
        </w:rPr>
        <w:t>Required Approvals</w:t>
      </w:r>
      <w:r>
        <w:rPr>
          <w:rFonts w:ascii="Arial" w:cs="Arial" w:eastAsia="Arial" w:hAnsi="Arial"/>
          <w:sz w:val="17"/>
          <w:szCs w:val="17"/>
          <w:color w:val="auto"/>
        </w:rPr>
        <w:t>”).</w:t>
      </w:r>
    </w:p>
    <w:p>
      <w:pPr>
        <w:spacing w:after="0" w:line="180" w:lineRule="exact"/>
        <w:rPr>
          <w:sz w:val="20"/>
          <w:szCs w:val="20"/>
          <w:color w:val="auto"/>
        </w:rPr>
      </w:pPr>
    </w:p>
    <w:p>
      <w:pPr>
        <w:jc w:val="both"/>
        <w:ind w:firstLine="1281"/>
        <w:spacing w:after="0" w:line="281" w:lineRule="auto"/>
        <w:rPr>
          <w:sz w:val="20"/>
          <w:szCs w:val="20"/>
          <w:color w:val="auto"/>
        </w:rPr>
      </w:pPr>
      <w:r>
        <w:rPr>
          <w:rFonts w:ascii="Arial" w:cs="Arial" w:eastAsia="Arial" w:hAnsi="Arial"/>
          <w:sz w:val="16"/>
          <w:szCs w:val="16"/>
          <w:color w:val="auto"/>
        </w:rPr>
        <w:t>(f)            </w:t>
      </w:r>
      <w:r>
        <w:rPr>
          <w:rFonts w:ascii="Arial" w:cs="Arial" w:eastAsia="Arial" w:hAnsi="Arial"/>
          <w:sz w:val="16"/>
          <w:szCs w:val="16"/>
          <w:u w:val="single" w:color="auto"/>
          <w:color w:val="auto"/>
        </w:rPr>
        <w:t>Issuance of the Securities; Registration</w:t>
      </w:r>
      <w:r>
        <w:rPr>
          <w:rFonts w:ascii="Arial" w:cs="Arial" w:eastAsia="Arial" w:hAnsi="Arial"/>
          <w:sz w:val="16"/>
          <w:szCs w:val="16"/>
          <w:color w:val="auto"/>
        </w:rPr>
        <w:t>. The Securities are duly authorized and, when issued and paid for in accordance with the applicable Transaction Documents, will be duly and validly issued, fully paid and nonassessable, free and clear of all Liens imposed by the Company. The Warrant Shares, when issued and (assuming a cash exercise) paid for in accordance with the terms of the Warrants, will be validly issued, fully paid and nonassessable, and free and clear of all Liens imposed by the Company. The Company has reserved from its duly authorized capital stock the maximum number of Common Shares issuable pursuant to this Agreement and the Warrants. The Company has prepared and filed the Registration Statement in conformity with the requirements of the Securities Act, including the Prospectus, and such amendments and supplements thereto as may have been required to the date of this Agreement. The Registration Statement is effective under the Securities Act and no stop order preventing or suspending the effectiveness of the Registration Statement or suspending or preventing the use of the Prospectus has been issued by the Commission and no proceedings for that purpose have been instituted or, to the knowledge of the Company, are threatened in writing by the Commission. The Company shall file the Prospectus Supplement with the Commission pursuant to Rule 424(b) covering the Securities and the Warrants Shares. At the time the Registration Statement and any post-effective amendments thereto became effective, at the date of this Agreement and at the Closing Date, the Registration Statement and any amendments thereto conformed and will conform in all material respects to the requirements of the Securities Act and did not and will not contain any untrue statement of a material fact or omit to state any material fact required to be stated therein or necessary to make the statements therein not misleading; and the Prospectus Supplement and any amendments or supplements thereto, at the time the Prospectus Supplement or any amendment or supplement thereto was issued and at the Closing Date, conformed and will conform in all material respects to the requirements of the Securities Act and did not and will not contain an untrue statement of a material fact or omit to state a material fact necessary in order to make the statements therein, in the light of the circumstances under which they were made, not misleading. The Company is eligible to use Form S-3 under the Securities Act and it meets the transaction requirements as set forth in General Instruction I.B.1 of Form S-3.</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38" w:name="page39"/>
    <w:bookmarkEnd w:id="38"/>
    <w:p>
      <w:pPr>
        <w:jc w:val="both"/>
        <w:ind w:firstLine="1281"/>
        <w:spacing w:after="0" w:line="281" w:lineRule="auto"/>
        <w:rPr>
          <w:sz w:val="20"/>
          <w:szCs w:val="20"/>
          <w:color w:val="auto"/>
        </w:rPr>
      </w:pPr>
      <w:r>
        <w:rPr>
          <w:rFonts w:ascii="Arial" w:cs="Arial" w:eastAsia="Arial" w:hAnsi="Arial"/>
          <w:sz w:val="16"/>
          <w:szCs w:val="16"/>
          <w:color w:val="auto"/>
        </w:rPr>
        <w:t>(g)           </w:t>
      </w:r>
      <w:r>
        <w:rPr>
          <w:rFonts w:ascii="Arial" w:cs="Arial" w:eastAsia="Arial" w:hAnsi="Arial"/>
          <w:sz w:val="16"/>
          <w:szCs w:val="16"/>
          <w:u w:val="single" w:color="auto"/>
          <w:color w:val="auto"/>
        </w:rPr>
        <w:t>Capitalization</w:t>
      </w:r>
      <w:r>
        <w:rPr>
          <w:rFonts w:ascii="Arial" w:cs="Arial" w:eastAsia="Arial" w:hAnsi="Arial"/>
          <w:sz w:val="16"/>
          <w:szCs w:val="16"/>
          <w:color w:val="auto"/>
        </w:rPr>
        <w:t>. The capitalization of the Company as of the date hereof is as set forth in the SEC Reports. Except as disclosed in the Prospectus Supplement, the Company has not issued any capital stock since its most recently filed periodic report under the Exchange Act, other than pursuant to the exercise of stock options under the Company’s equity plans or arrangements, the issuance of Common Shares to employees pursuant to the Company’s equity plans or employee stock purchase plans, pursuant to the conversion and/or exercise of Common Share Equivalents outstanding as of the date of the most recently filed periodic report under the Exchange Act and pursuant to the Sales Agreement. Except as disclosed in the SEC Reports or as has been waived, no Person has any right of first refusal, preemptive right, right of participation, or any similar right to participate in the transactions contemplated by the Transaction Documents. Except as disclosed in the SEC Reports, there are no outstanding options, warrants, scrip rights to subscribe to, calls or commitments of any character whatsoever relating to, or securities, rights or obligations convertible into or exercisable or exchangeable for, or giving any Person any right to subscribe for or acquire, any Common Shares or the capital stock of any Subsidiary, or contracts, commitments, understandings or arrangements by which the Company or any Subsidiary is or may become bound to issue additional Common Shares or Common Share Equivalents or capital stock of any Subsidiary. The issuance and sale of the Securities will not obligate the Company or any Subsidiary to issue Common Shares or other securities to any Person (other than the Purchasers). There are no outstanding securities or instruments of the Company or any Subsidiary with any provision that adjusts the exercise, conversion, exchange or reset price of such security or instrument upon an issuance of securities by the Company or any Subsidiary. There are no outstanding securities or instruments of the Company or any Subsidiary that contain any redemption or similar provisions, and there are no contracts, commitments, understandings or arrangements by which the Company or any Subsidiary is or may become bound to redeem a security of the Company or such Subsidiary. The Company does not have any stock appreciation rights or “phantom stock” plans or agreements or any similar plan or agreement. All of the outstanding shares of capital of the Company were duly authorized, validly issued, fully paid and nonassessable, have been issued in compliance with all federal and state securities laws, and none of such outstanding shares were issued in violation of any preemptive rights or similar rights to subscribe for or purchase securities. No further approval or authorization of any shareholder, the Board of Directors or others is required for the issuance and sale of the Securities. There are no shareholders agreements, voting agreements or other similar agreements with respect to the Company’s capital stock to which the Company is a party or, to the knowledge of the Company, between or among any of the Company’s stockholders.</w:t>
      </w:r>
    </w:p>
    <w:p>
      <w:pPr>
        <w:spacing w:after="0" w:line="173" w:lineRule="exact"/>
        <w:rPr>
          <w:sz w:val="20"/>
          <w:szCs w:val="20"/>
          <w:color w:val="auto"/>
        </w:rPr>
      </w:pPr>
    </w:p>
    <w:p>
      <w:pPr>
        <w:jc w:val="both"/>
        <w:ind w:firstLine="1281"/>
        <w:spacing w:after="0" w:line="282" w:lineRule="auto"/>
        <w:rPr>
          <w:sz w:val="20"/>
          <w:szCs w:val="20"/>
          <w:color w:val="auto"/>
        </w:rPr>
      </w:pPr>
      <w:r>
        <w:rPr>
          <w:rFonts w:ascii="Arial" w:cs="Arial" w:eastAsia="Arial" w:hAnsi="Arial"/>
          <w:sz w:val="16"/>
          <w:szCs w:val="16"/>
          <w:color w:val="auto"/>
        </w:rPr>
        <w:t>(h)           </w:t>
      </w:r>
      <w:r>
        <w:rPr>
          <w:rFonts w:ascii="Arial" w:cs="Arial" w:eastAsia="Arial" w:hAnsi="Arial"/>
          <w:sz w:val="16"/>
          <w:szCs w:val="16"/>
          <w:u w:val="single" w:color="auto"/>
          <w:color w:val="auto"/>
        </w:rPr>
        <w:t>SEC Reports; Financial Statements</w:t>
      </w:r>
      <w:r>
        <w:rPr>
          <w:rFonts w:ascii="Arial" w:cs="Arial" w:eastAsia="Arial" w:hAnsi="Arial"/>
          <w:sz w:val="16"/>
          <w:szCs w:val="16"/>
          <w:color w:val="auto"/>
        </w:rPr>
        <w:t>. The Company has filed all reports, schedules, forms, statements and other documents required to be filed by the Company under the Securities Act and the Exchange Act, including pursuant to Section 13(a) or 15(d) thereof, for the year preceding the date hereof (or such shorter period as the Company was required by law or regulation to file such material) (the foregoing materials, including the exhibits thereto and documents incorporated by reference therein, together with the Prospectus and the Prospectus Supplement, being collectively referred to herein as the “</w:t>
      </w:r>
      <w:r>
        <w:rPr>
          <w:rFonts w:ascii="Arial" w:cs="Arial" w:eastAsia="Arial" w:hAnsi="Arial"/>
          <w:sz w:val="16"/>
          <w:szCs w:val="16"/>
          <w:u w:val="single" w:color="auto"/>
          <w:color w:val="auto"/>
        </w:rPr>
        <w:t>SEC Reports</w:t>
      </w:r>
      <w:r>
        <w:rPr>
          <w:rFonts w:ascii="Arial" w:cs="Arial" w:eastAsia="Arial" w:hAnsi="Arial"/>
          <w:sz w:val="16"/>
          <w:szCs w:val="16"/>
          <w:color w:val="auto"/>
        </w:rPr>
        <w:t>”) on a timely basis or has received a valid extension of such time of filing and has filed any such SEC Reports prior to the expiration of any such extension. As of their respective dates, the SEC Reports complied in all material respects with the requirements of the Securities Act and the Exchange Act, as applicable,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The financial statements of the Company included in the SEC Reports complied in all material respects with applicable accounting requirements and the rules and regulations of the Commission with respect thereto as in effect at the time of filing. Such financial statements have been prepared in accordance with United States generally accepted accounting principles applied on a consistent basis during the periods involved (“</w:t>
      </w:r>
      <w:r>
        <w:rPr>
          <w:rFonts w:ascii="Arial" w:cs="Arial" w:eastAsia="Arial" w:hAnsi="Arial"/>
          <w:sz w:val="16"/>
          <w:szCs w:val="16"/>
          <w:u w:val="single" w:color="auto"/>
          <w:color w:val="auto"/>
        </w:rPr>
        <w:t>GAAP</w:t>
      </w:r>
      <w:r>
        <w:rPr>
          <w:rFonts w:ascii="Arial" w:cs="Arial" w:eastAsia="Arial" w:hAnsi="Arial"/>
          <w:sz w:val="16"/>
          <w:szCs w:val="16"/>
          <w:color w:val="auto"/>
        </w:rPr>
        <w:t>”) (except (i) for such adjustments to accounting standards and practices as are noted therein and (ii) in the case of unaudited interim statements, to the extent the Company may exclude footnotes or may be condensed or summary statements), and fairly present in all material respects the financial position of the Company and its consolidated Subsidiaries as of and for the dates thereof and the results of operations and cash flows for the periods then ended, subject, in the case of unaudited statements, to normal, immaterial, year-end audit adjustments.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39" w:name="page40"/>
    <w:bookmarkEnd w:id="39"/>
    <w:p>
      <w:pPr>
        <w:jc w:val="both"/>
        <w:ind w:firstLine="1281"/>
        <w:spacing w:after="0" w:line="266" w:lineRule="auto"/>
        <w:rPr>
          <w:sz w:val="20"/>
          <w:szCs w:val="20"/>
          <w:color w:val="auto"/>
        </w:rPr>
      </w:pPr>
      <w:r>
        <w:rPr>
          <w:rFonts w:ascii="Arial" w:cs="Arial" w:eastAsia="Arial" w:hAnsi="Arial"/>
          <w:sz w:val="17"/>
          <w:szCs w:val="17"/>
          <w:color w:val="auto"/>
        </w:rPr>
        <w:t>(i)            </w:t>
      </w:r>
      <w:r>
        <w:rPr>
          <w:rFonts w:ascii="Arial" w:cs="Arial" w:eastAsia="Arial" w:hAnsi="Arial"/>
          <w:sz w:val="17"/>
          <w:szCs w:val="17"/>
          <w:u w:val="single" w:color="auto"/>
          <w:color w:val="auto"/>
        </w:rPr>
        <w:t>Material Changes; Undisclosed Events, Liabilities or Developments</w:t>
      </w:r>
      <w:r>
        <w:rPr>
          <w:rFonts w:ascii="Arial" w:cs="Arial" w:eastAsia="Arial" w:hAnsi="Arial"/>
          <w:sz w:val="17"/>
          <w:szCs w:val="17"/>
          <w:color w:val="auto"/>
        </w:rPr>
        <w:t>. Since the date of the most recent unaudited financial statements included within the SEC Reports, except as disclosed in the SEC Reports, (i) there has been no event, occurrence or development that has had or that would reasonably be expected to result in a Material Adverse Effect, (ii) the Company has not incurred any liabilities (contingent or otherwise) other than (A) trade payables and accrued expenses incurred in the ordinary course of business consistent with past practice and (B) liabilities not required to be reflected in the Company’s financial statements pursuant to GAAP or disclosed in filings made with the Commission, (iii) the Company has not altered its method of accounting, (iv) the Company has not declared or made any dividend or distribution of cash or other property to its stockholders or purchased, redeemed or made any agreements to purchase or redeem any shares of its capital and (v) the Company has not issued any equity securities to any officer, director or Affiliate, except pursuant to existing Company equity plans or arrangements. The Company does not have pending before the Commission any request for confidential treatment of information.</w:t>
      </w:r>
    </w:p>
    <w:p>
      <w:pPr>
        <w:spacing w:after="0" w:line="185" w:lineRule="exact"/>
        <w:rPr>
          <w:sz w:val="20"/>
          <w:szCs w:val="20"/>
          <w:color w:val="auto"/>
        </w:rPr>
      </w:pPr>
    </w:p>
    <w:p>
      <w:pPr>
        <w:jc w:val="both"/>
        <w:ind w:firstLine="1281"/>
        <w:spacing w:after="0" w:line="266" w:lineRule="auto"/>
        <w:rPr>
          <w:sz w:val="20"/>
          <w:szCs w:val="20"/>
          <w:color w:val="auto"/>
        </w:rPr>
      </w:pPr>
      <w:r>
        <w:rPr>
          <w:rFonts w:ascii="Arial" w:cs="Arial" w:eastAsia="Arial" w:hAnsi="Arial"/>
          <w:sz w:val="17"/>
          <w:szCs w:val="17"/>
          <w:color w:val="auto"/>
        </w:rPr>
        <w:t>(j)            </w:t>
      </w:r>
      <w:r>
        <w:rPr>
          <w:rFonts w:ascii="Arial" w:cs="Arial" w:eastAsia="Arial" w:hAnsi="Arial"/>
          <w:sz w:val="17"/>
          <w:szCs w:val="17"/>
          <w:u w:val="single" w:color="auto"/>
          <w:color w:val="auto"/>
        </w:rPr>
        <w:t>Litigation</w:t>
      </w:r>
      <w:r>
        <w:rPr>
          <w:rFonts w:ascii="Arial" w:cs="Arial" w:eastAsia="Arial" w:hAnsi="Arial"/>
          <w:sz w:val="17"/>
          <w:szCs w:val="17"/>
          <w:color w:val="auto"/>
        </w:rPr>
        <w:t>. There is no action, suit, inquiry, notice of violation, proceeding or investigation pending or, to the knowledge of the Company, threatened in writing against or affecting the Company, any Subsidiary or any of their respective properties before or by any court, arbitrator, governmental or administrative agency or regulatory authority (federal, state, county, local or foreign) (collectively, an “</w:t>
      </w:r>
      <w:r>
        <w:rPr>
          <w:rFonts w:ascii="Arial" w:cs="Arial" w:eastAsia="Arial" w:hAnsi="Arial"/>
          <w:sz w:val="17"/>
          <w:szCs w:val="17"/>
          <w:u w:val="single" w:color="auto"/>
          <w:color w:val="auto"/>
        </w:rPr>
        <w:t>Action</w:t>
      </w:r>
      <w:r>
        <w:rPr>
          <w:rFonts w:ascii="Arial" w:cs="Arial" w:eastAsia="Arial" w:hAnsi="Arial"/>
          <w:sz w:val="17"/>
          <w:szCs w:val="17"/>
          <w:color w:val="auto"/>
        </w:rPr>
        <w:t>”), which (i) adversely affects or challenges the legality, validity or enforceability of any of the Transaction Documents or the Securities or (ii) would, if there were an unfavorable decision, have or reasonably be expected to result in a Material Adverse Effect. Neither the Company nor any Subsidiary, nor any director or officer thereof (in his or her capacity as such), is or has been the subject of any Action involving a claim of violation of or liability under federal or state securities laws or a claim of breach of fiduciary duty. There has not been, and to the knowledge of the Company, there is not pending or contemplated, any investigation by the Commission involving the Company or any current or former director or officer of the Company (in his or her capacity as such). The Commission has not issued any stop order or other order suspending the effectiveness of any registration statement filed by the Company or any Subsidiary under the Exchange Act or the Securities Act.</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40" w:name="page41"/>
    <w:bookmarkEnd w:id="40"/>
    <w:p>
      <w:pPr>
        <w:jc w:val="both"/>
        <w:ind w:firstLine="1281"/>
        <w:spacing w:after="0" w:line="284" w:lineRule="auto"/>
        <w:rPr>
          <w:sz w:val="20"/>
          <w:szCs w:val="20"/>
          <w:color w:val="auto"/>
        </w:rPr>
      </w:pPr>
      <w:r>
        <w:rPr>
          <w:rFonts w:ascii="Arial" w:cs="Arial" w:eastAsia="Arial" w:hAnsi="Arial"/>
          <w:sz w:val="16"/>
          <w:szCs w:val="16"/>
          <w:color w:val="auto"/>
        </w:rPr>
        <w:t>(k)           </w:t>
      </w:r>
      <w:r>
        <w:rPr>
          <w:rFonts w:ascii="Arial" w:cs="Arial" w:eastAsia="Arial" w:hAnsi="Arial"/>
          <w:sz w:val="16"/>
          <w:szCs w:val="16"/>
          <w:u w:val="single" w:color="auto"/>
          <w:color w:val="auto"/>
        </w:rPr>
        <w:t>Labor Relations</w:t>
      </w:r>
      <w:r>
        <w:rPr>
          <w:rFonts w:ascii="Arial" w:cs="Arial" w:eastAsia="Arial" w:hAnsi="Arial"/>
          <w:sz w:val="16"/>
          <w:szCs w:val="16"/>
          <w:color w:val="auto"/>
        </w:rPr>
        <w:t>. No labor dispute exists or, to the knowledge of the Company, is imminent with respect to any of the employees of the Company, which would reasonably be expected to result in a Material Adverse Effect. None of the Company’s or its Subsidiaries’ employees is a member of a union that relates to such employee’s relationship with the Company or such Subsidiary, and neither the Company nor any of its Subsidiaries is a party to a collective bargaining agreement, and the Company and its Subsidiaries believe that their relationships with their employees are good. To the knowledge of the Company, no executive officer of the Company or any Subsidiary, is, or is now expected to be, in violation of any material term of any employment contract, confidentiality, disclosure or proprietary information agreement or non-competition agreement, or any other contract or agreement or any restrictive covenant in favor of any third party, and the continued employment of each such executive officer does not subject the Company or any of its Subsidiaries to any liability with respect to any of the foregoing matters. The Company and its Subsidiaries are in compliance with all U.S. federal, state, local and foreign laws and regulations relating to employment and employment practices, terms and conditions of employment and wages and hours, except where the failure to be in compliance would not, individually or in the aggregate, reasonably be expected to have a Material Adverse Effect.</w:t>
      </w:r>
    </w:p>
    <w:p>
      <w:pPr>
        <w:spacing w:after="0" w:line="171" w:lineRule="exact"/>
        <w:rPr>
          <w:sz w:val="20"/>
          <w:szCs w:val="20"/>
          <w:color w:val="auto"/>
        </w:rPr>
      </w:pPr>
    </w:p>
    <w:p>
      <w:pPr>
        <w:jc w:val="both"/>
        <w:ind w:firstLine="1281"/>
        <w:spacing w:after="0" w:line="282" w:lineRule="auto"/>
        <w:rPr>
          <w:sz w:val="20"/>
          <w:szCs w:val="20"/>
          <w:color w:val="auto"/>
        </w:rPr>
      </w:pPr>
      <w:r>
        <w:rPr>
          <w:rFonts w:ascii="Arial" w:cs="Arial" w:eastAsia="Arial" w:hAnsi="Arial"/>
          <w:sz w:val="16"/>
          <w:szCs w:val="16"/>
          <w:color w:val="auto"/>
        </w:rPr>
        <w:t>(l)            </w:t>
      </w:r>
      <w:r>
        <w:rPr>
          <w:rFonts w:ascii="Arial" w:cs="Arial" w:eastAsia="Arial" w:hAnsi="Arial"/>
          <w:sz w:val="16"/>
          <w:szCs w:val="16"/>
          <w:u w:val="single" w:color="auto"/>
          <w:color w:val="auto"/>
        </w:rPr>
        <w:t>Compliance</w:t>
      </w:r>
      <w:r>
        <w:rPr>
          <w:rFonts w:ascii="Arial" w:cs="Arial" w:eastAsia="Arial" w:hAnsi="Arial"/>
          <w:sz w:val="16"/>
          <w:szCs w:val="16"/>
          <w:color w:val="auto"/>
        </w:rPr>
        <w:t>. Neither the Company nor any Subsidiary: (i) is in default under or in violation of (and no event has occurred that has not been waived that, with notice or lapse of time or both, would result in a default by the Company or any Subsidiary under), nor has the Company or any Subsidiary received written notice of a claim that it is in default under or that it is in violation of, any indenture, loan or credit agreement or any other agreement or instrument to which it is a party or by which it or any of its properties is bound (whether or not such default or violation has been waived),</w:t>
      </w:r>
    </w:p>
    <w:p>
      <w:pPr>
        <w:spacing w:after="0" w:line="2" w:lineRule="exact"/>
        <w:rPr>
          <w:sz w:val="20"/>
          <w:szCs w:val="20"/>
          <w:color w:val="auto"/>
        </w:rPr>
      </w:pPr>
    </w:p>
    <w:p>
      <w:pPr>
        <w:jc w:val="both"/>
        <w:ind w:firstLine="7"/>
        <w:spacing w:after="0" w:line="250" w:lineRule="auto"/>
        <w:tabs>
          <w:tab w:leader="none" w:pos="27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is in violation of any judgment, decree or order of any court, arbitrator or other governmental authority or (iii) is or has been in violation of any statute, rule, ordinance or regulation of any governmental authority, including without limitation all foreign, federal, state and local laws relating to taxes, environmental protection, occupational health and safety, product quality and safety and employment and labor matters, except in each case as would not have or reasonably be expected to result in a Material Adverse Effect.</w:t>
      </w:r>
    </w:p>
    <w:p>
      <w:pPr>
        <w:spacing w:after="0" w:line="192" w:lineRule="exact"/>
        <w:rPr>
          <w:sz w:val="20"/>
          <w:szCs w:val="20"/>
          <w:color w:val="auto"/>
        </w:rPr>
      </w:pPr>
    </w:p>
    <w:p>
      <w:pPr>
        <w:jc w:val="both"/>
        <w:ind w:firstLine="1281"/>
        <w:spacing w:after="0" w:line="281" w:lineRule="auto"/>
        <w:rPr>
          <w:sz w:val="20"/>
          <w:szCs w:val="20"/>
          <w:color w:val="auto"/>
        </w:rPr>
      </w:pPr>
      <w:r>
        <w:rPr>
          <w:rFonts w:ascii="Arial" w:cs="Arial" w:eastAsia="Arial" w:hAnsi="Arial"/>
          <w:sz w:val="16"/>
          <w:szCs w:val="16"/>
          <w:color w:val="auto"/>
        </w:rPr>
        <w:t>(m)          </w:t>
      </w:r>
      <w:r>
        <w:rPr>
          <w:rFonts w:ascii="Arial" w:cs="Arial" w:eastAsia="Arial" w:hAnsi="Arial"/>
          <w:sz w:val="16"/>
          <w:szCs w:val="16"/>
          <w:u w:val="single" w:color="auto"/>
          <w:color w:val="auto"/>
        </w:rPr>
        <w:t>Environmental Laws</w:t>
      </w:r>
      <w:r>
        <w:rPr>
          <w:rFonts w:ascii="Arial" w:cs="Arial" w:eastAsia="Arial" w:hAnsi="Arial"/>
          <w:sz w:val="16"/>
          <w:szCs w:val="16"/>
          <w:color w:val="auto"/>
        </w:rPr>
        <w:t>. The Company and its Subsidiaries (i) are in compliance with all federal, state, local and foreign laws relating to pollution or protection of human health or the environment (including ambient air, surface water, groundwater, land surface or subsurface strata), including laws relating to emissions, discharges, releases or threatened releases of chemicals, pollutants, contaminants, or toxic or hazardous substances or wastes (collectively, “</w:t>
      </w:r>
      <w:r>
        <w:rPr>
          <w:rFonts w:ascii="Arial" w:cs="Arial" w:eastAsia="Arial" w:hAnsi="Arial"/>
          <w:sz w:val="16"/>
          <w:szCs w:val="16"/>
          <w:u w:val="single" w:color="auto"/>
          <w:color w:val="auto"/>
        </w:rPr>
        <w:t>Hazardous Materials</w:t>
      </w:r>
      <w:r>
        <w:rPr>
          <w:rFonts w:ascii="Arial" w:cs="Arial" w:eastAsia="Arial" w:hAnsi="Arial"/>
          <w:sz w:val="16"/>
          <w:szCs w:val="16"/>
          <w:color w:val="auto"/>
        </w:rPr>
        <w:t>”) into the environment, or otherwise relating to the manufacture, processing, distribution, use, treatment, storage, disposal, transport or handling of Hazardous Materials, as well as all authorizations, codes, decrees, demands, or demand letters, injunctions, judgments, licenses, notices or notice letters, orders, permits, plans or regulations, issued, entered, promulgated or approved thereunder (“</w:t>
      </w:r>
      <w:r>
        <w:rPr>
          <w:rFonts w:ascii="Arial" w:cs="Arial" w:eastAsia="Arial" w:hAnsi="Arial"/>
          <w:sz w:val="16"/>
          <w:szCs w:val="16"/>
          <w:u w:val="single" w:color="auto"/>
          <w:color w:val="auto"/>
        </w:rPr>
        <w:t>Environmental Laws</w:t>
      </w:r>
      <w:r>
        <w:rPr>
          <w:rFonts w:ascii="Arial" w:cs="Arial" w:eastAsia="Arial" w:hAnsi="Arial"/>
          <w:sz w:val="16"/>
          <w:szCs w:val="16"/>
          <w:color w:val="auto"/>
        </w:rPr>
        <w:t>”);</w:t>
      </w:r>
    </w:p>
    <w:p>
      <w:pPr>
        <w:spacing w:after="0" w:line="1" w:lineRule="exact"/>
        <w:rPr>
          <w:sz w:val="20"/>
          <w:szCs w:val="20"/>
          <w:color w:val="auto"/>
        </w:rPr>
      </w:pPr>
    </w:p>
    <w:p>
      <w:pPr>
        <w:ind w:left="280" w:hanging="273"/>
        <w:spacing w:after="0"/>
        <w:tabs>
          <w:tab w:leader="none" w:pos="2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have received all permits licenses or other approvals required of them under applicable Environmental Laws to conduct their respective businesses; and</w:t>
      </w:r>
    </w:p>
    <w:p>
      <w:pPr>
        <w:spacing w:after="0" w:line="29" w:lineRule="exact"/>
        <w:rPr>
          <w:rFonts w:ascii="Arial" w:cs="Arial" w:eastAsia="Arial" w:hAnsi="Arial"/>
          <w:sz w:val="16"/>
          <w:szCs w:val="16"/>
          <w:color w:val="auto"/>
        </w:rPr>
      </w:pPr>
    </w:p>
    <w:p>
      <w:pPr>
        <w:ind w:right="20" w:firstLine="7"/>
        <w:spacing w:after="0" w:line="255" w:lineRule="auto"/>
        <w:tabs>
          <w:tab w:leader="none" w:pos="322" w:val="left"/>
        </w:tabs>
        <w:numPr>
          <w:ilvl w:val="0"/>
          <w:numId w:val="25"/>
        </w:numPr>
        <w:rPr>
          <w:rFonts w:ascii="Arial" w:cs="Arial" w:eastAsia="Arial" w:hAnsi="Arial"/>
          <w:sz w:val="18"/>
          <w:szCs w:val="18"/>
          <w:color w:val="auto"/>
        </w:rPr>
      </w:pPr>
      <w:r>
        <w:rPr>
          <w:rFonts w:ascii="Arial" w:cs="Arial" w:eastAsia="Arial" w:hAnsi="Arial"/>
          <w:sz w:val="18"/>
          <w:szCs w:val="18"/>
          <w:color w:val="auto"/>
        </w:rPr>
        <w:t>are in compliance with all terms and conditions of any such permit, license or approval where in each clause (i), (ii) and (iii), the failure to so comply would be reasonably expected to have, individually or in the aggregate, a Material Adverse Effect.</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41" w:name="page42"/>
    <w:bookmarkEnd w:id="41"/>
    <w:p>
      <w:pPr>
        <w:jc w:val="both"/>
        <w:ind w:firstLine="1281"/>
        <w:spacing w:after="0" w:line="274" w:lineRule="auto"/>
        <w:rPr>
          <w:sz w:val="20"/>
          <w:szCs w:val="20"/>
          <w:color w:val="auto"/>
        </w:rPr>
      </w:pPr>
      <w:r>
        <w:rPr>
          <w:rFonts w:ascii="Arial" w:cs="Arial" w:eastAsia="Arial" w:hAnsi="Arial"/>
          <w:sz w:val="17"/>
          <w:szCs w:val="17"/>
          <w:color w:val="auto"/>
        </w:rPr>
        <w:t>(n)           </w:t>
      </w:r>
      <w:r>
        <w:rPr>
          <w:rFonts w:ascii="Arial" w:cs="Arial" w:eastAsia="Arial" w:hAnsi="Arial"/>
          <w:sz w:val="17"/>
          <w:szCs w:val="17"/>
          <w:u w:val="single" w:color="auto"/>
          <w:color w:val="auto"/>
        </w:rPr>
        <w:t>Regulatory Permits</w:t>
      </w:r>
      <w:r>
        <w:rPr>
          <w:rFonts w:ascii="Arial" w:cs="Arial" w:eastAsia="Arial" w:hAnsi="Arial"/>
          <w:sz w:val="17"/>
          <w:szCs w:val="17"/>
          <w:color w:val="auto"/>
        </w:rPr>
        <w:t>. The Company and the Subsidiaries possess all certificates, authorizations and permits issued by the appropriate federal, state, local or foreign regulatory authorities necessary to conduct their respective businesses as described in the SEC Reports, except where the failure to possess such permits would not reasonably be expected to result in a Material Adverse Effect (“</w:t>
      </w:r>
      <w:r>
        <w:rPr>
          <w:rFonts w:ascii="Arial" w:cs="Arial" w:eastAsia="Arial" w:hAnsi="Arial"/>
          <w:sz w:val="17"/>
          <w:szCs w:val="17"/>
          <w:u w:val="single" w:color="auto"/>
          <w:color w:val="auto"/>
        </w:rPr>
        <w:t>Material Permits</w:t>
      </w:r>
      <w:r>
        <w:rPr>
          <w:rFonts w:ascii="Arial" w:cs="Arial" w:eastAsia="Arial" w:hAnsi="Arial"/>
          <w:sz w:val="17"/>
          <w:szCs w:val="17"/>
          <w:color w:val="auto"/>
        </w:rPr>
        <w:t>”), and neither the Company nor any Subsidiary has received any notice of proceedings relating to the revocation or modification of any Material Permit.</w:t>
      </w:r>
    </w:p>
    <w:p>
      <w:pPr>
        <w:spacing w:after="0" w:line="175" w:lineRule="exact"/>
        <w:rPr>
          <w:sz w:val="20"/>
          <w:szCs w:val="20"/>
          <w:color w:val="auto"/>
        </w:rPr>
      </w:pPr>
    </w:p>
    <w:p>
      <w:pPr>
        <w:jc w:val="both"/>
        <w:ind w:firstLine="1281"/>
        <w:spacing w:after="0" w:line="267" w:lineRule="auto"/>
        <w:rPr>
          <w:sz w:val="20"/>
          <w:szCs w:val="20"/>
          <w:color w:val="auto"/>
        </w:rPr>
      </w:pPr>
      <w:r>
        <w:rPr>
          <w:rFonts w:ascii="Arial" w:cs="Arial" w:eastAsia="Arial" w:hAnsi="Arial"/>
          <w:sz w:val="17"/>
          <w:szCs w:val="17"/>
          <w:color w:val="auto"/>
        </w:rPr>
        <w:t>(o)           </w:t>
      </w:r>
      <w:r>
        <w:rPr>
          <w:rFonts w:ascii="Arial" w:cs="Arial" w:eastAsia="Arial" w:hAnsi="Arial"/>
          <w:sz w:val="17"/>
          <w:szCs w:val="17"/>
          <w:u w:val="single" w:color="auto"/>
          <w:color w:val="auto"/>
        </w:rPr>
        <w:t>Title to Assets</w:t>
      </w:r>
      <w:r>
        <w:rPr>
          <w:rFonts w:ascii="Arial" w:cs="Arial" w:eastAsia="Arial" w:hAnsi="Arial"/>
          <w:sz w:val="17"/>
          <w:szCs w:val="17"/>
          <w:color w:val="auto"/>
        </w:rPr>
        <w:t>. The Company and the Subsidiaries have good and marketable title in fee simple to all real property owned by them and good and marketable title in all personal property owned by them that is material to the business of the Company and the Subsidiaries, in each case free and clear of all Liens, except for (i) Liens as do not materially affect the value of such property and do not materially interfere with the use made and proposed to be made of such property by the Company and the Subsidiaries, (ii) Liens for the payment of federal, state or other taxes, for which appropriate reserves have been made therefor in accordance with GAAP and, the payment of which is neither delinquent nor subject to penalties and (iii) Liens that would not, individually or in the aggregate, have or reasonably be expected to have a Material Adverse Event. Any real property and facilities held under lease by the Company and the Subsidiaries are held by them under valid, subsisting and enforceable leases with which the Company and the Subsidiaries are in compliance in all material respects.</w:t>
      </w:r>
    </w:p>
    <w:p>
      <w:pPr>
        <w:spacing w:after="0" w:line="182" w:lineRule="exact"/>
        <w:rPr>
          <w:sz w:val="20"/>
          <w:szCs w:val="20"/>
          <w:color w:val="auto"/>
        </w:rPr>
      </w:pPr>
    </w:p>
    <w:p>
      <w:pPr>
        <w:jc w:val="both"/>
        <w:ind w:firstLine="1281"/>
        <w:spacing w:after="0" w:line="281" w:lineRule="auto"/>
        <w:rPr>
          <w:sz w:val="20"/>
          <w:szCs w:val="20"/>
          <w:color w:val="auto"/>
        </w:rPr>
      </w:pPr>
      <w:r>
        <w:rPr>
          <w:rFonts w:ascii="Arial" w:cs="Arial" w:eastAsia="Arial" w:hAnsi="Arial"/>
          <w:sz w:val="16"/>
          <w:szCs w:val="16"/>
          <w:color w:val="auto"/>
        </w:rPr>
        <w:t>(p)           </w:t>
      </w:r>
      <w:r>
        <w:rPr>
          <w:rFonts w:ascii="Arial" w:cs="Arial" w:eastAsia="Arial" w:hAnsi="Arial"/>
          <w:sz w:val="16"/>
          <w:szCs w:val="16"/>
          <w:u w:val="single" w:color="auto"/>
          <w:color w:val="auto"/>
        </w:rPr>
        <w:t>Intellectual Property</w:t>
      </w:r>
      <w:r>
        <w:rPr>
          <w:rFonts w:ascii="Arial" w:cs="Arial" w:eastAsia="Arial" w:hAnsi="Arial"/>
          <w:sz w:val="16"/>
          <w:szCs w:val="16"/>
          <w:color w:val="auto"/>
        </w:rPr>
        <w:t>. The Company and the Subsidiaries have, or have rights to use, all patents, patent applications, trademarks, trademark applications, service marks, trade names, trade secrets, inventions, copyrights, licenses and other intellectual property rights and similar rights necessary or required for use in connection with their respective businesses as described in the SEC Reports and where the failure to so have would have a Material Adverse Effect (collectively, the “</w:t>
      </w:r>
      <w:r>
        <w:rPr>
          <w:rFonts w:ascii="Arial" w:cs="Arial" w:eastAsia="Arial" w:hAnsi="Arial"/>
          <w:sz w:val="16"/>
          <w:szCs w:val="16"/>
          <w:u w:val="single" w:color="auto"/>
          <w:color w:val="auto"/>
        </w:rPr>
        <w:t>Intellectual Property Rights</w:t>
      </w:r>
      <w:r>
        <w:rPr>
          <w:rFonts w:ascii="Arial" w:cs="Arial" w:eastAsia="Arial" w:hAnsi="Arial"/>
          <w:sz w:val="16"/>
          <w:szCs w:val="16"/>
          <w:color w:val="auto"/>
        </w:rPr>
        <w:t>”). Neither the Company nor any Subsidiary has received a written notice that any of the material Intellectual Property Rights has expired, terminated or been abandoned, or is expected to expire or terminate or be abandoned, within two</w:t>
      </w:r>
    </w:p>
    <w:p>
      <w:pPr>
        <w:spacing w:after="0" w:line="3" w:lineRule="exact"/>
        <w:rPr>
          <w:sz w:val="20"/>
          <w:szCs w:val="20"/>
          <w:color w:val="auto"/>
        </w:rPr>
      </w:pPr>
    </w:p>
    <w:p>
      <w:pPr>
        <w:jc w:val="both"/>
        <w:ind w:firstLine="7"/>
        <w:spacing w:after="0" w:line="265" w:lineRule="auto"/>
        <w:tabs>
          <w:tab w:leader="none" w:pos="282" w:val="left"/>
        </w:tabs>
        <w:numPr>
          <w:ilvl w:val="0"/>
          <w:numId w:val="26"/>
        </w:numPr>
        <w:rPr>
          <w:rFonts w:ascii="Arial" w:cs="Arial" w:eastAsia="Arial" w:hAnsi="Arial"/>
          <w:sz w:val="17"/>
          <w:szCs w:val="17"/>
          <w:color w:val="auto"/>
        </w:rPr>
      </w:pPr>
      <w:r>
        <w:rPr>
          <w:rFonts w:ascii="Arial" w:cs="Arial" w:eastAsia="Arial" w:hAnsi="Arial"/>
          <w:sz w:val="17"/>
          <w:szCs w:val="17"/>
          <w:color w:val="auto"/>
        </w:rPr>
        <w:t>years from the date of this Agreement, other than in accordance with the terms of the Intellectual Property Rights. Neither the Company nor any Subsidiary has received, since the date of the most recent unaudited financial statements included within the SEC Reports, a written notice of a claim or otherwise has any knowledge that the Intellectual Property Rights violate or infringe upon the rights of any Person, except as would not have or reasonably be expected to not have a Material Adverse Effect. To the knowledge of the Company, all such Intellectual Property Rights are enforceable and there is no existing infringement by another Person of any of the Intellectual Property Rights. The Company and its Subsidiaries have taken reasonable security measures to protect the secrecy, confidentiality and value of all of their intellectual properties, except where failure to do so would not, individually or in the aggregate, reasonably be expected to have a Material Adverse Effect.</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42" w:name="page43"/>
    <w:bookmarkEnd w:id="42"/>
    <w:p>
      <w:pPr>
        <w:jc w:val="both"/>
        <w:ind w:firstLine="1281"/>
        <w:spacing w:after="0" w:line="296" w:lineRule="auto"/>
        <w:rPr>
          <w:sz w:val="20"/>
          <w:szCs w:val="20"/>
          <w:color w:val="auto"/>
        </w:rPr>
      </w:pPr>
      <w:r>
        <w:rPr>
          <w:rFonts w:ascii="Arial" w:cs="Arial" w:eastAsia="Arial" w:hAnsi="Arial"/>
          <w:sz w:val="16"/>
          <w:szCs w:val="16"/>
          <w:color w:val="auto"/>
        </w:rPr>
        <w:t>(q)           </w:t>
      </w:r>
      <w:r>
        <w:rPr>
          <w:rFonts w:ascii="Arial" w:cs="Arial" w:eastAsia="Arial" w:hAnsi="Arial"/>
          <w:sz w:val="16"/>
          <w:szCs w:val="16"/>
          <w:u w:val="single" w:color="auto"/>
          <w:color w:val="auto"/>
        </w:rPr>
        <w:t>Insurance</w:t>
      </w:r>
      <w:r>
        <w:rPr>
          <w:rFonts w:ascii="Arial" w:cs="Arial" w:eastAsia="Arial" w:hAnsi="Arial"/>
          <w:sz w:val="16"/>
          <w:szCs w:val="16"/>
          <w:color w:val="auto"/>
        </w:rPr>
        <w:t>. The Company and the Subsidiaries are insured by insurers of recognized financial responsibility against such losses and risks and in such amounts as are prudent and customary in the businesses in which the Company and the Subsidiaries are engaged. Neither the Company nor any Subsidiary has any reason to believe that it will not be able to renew its existing insurance coverage as and when such coverage expires or to obtain similar coverage from similar insurers as may be necessary to continue its business without a significant increase in cost.</w:t>
      </w:r>
    </w:p>
    <w:p>
      <w:pPr>
        <w:spacing w:after="0" w:line="160" w:lineRule="exact"/>
        <w:rPr>
          <w:sz w:val="20"/>
          <w:szCs w:val="20"/>
          <w:color w:val="auto"/>
        </w:rPr>
      </w:pPr>
    </w:p>
    <w:p>
      <w:pPr>
        <w:jc w:val="both"/>
        <w:ind w:firstLine="1281"/>
        <w:spacing w:after="0" w:line="258" w:lineRule="auto"/>
        <w:rPr>
          <w:sz w:val="20"/>
          <w:szCs w:val="20"/>
          <w:color w:val="auto"/>
        </w:rPr>
      </w:pPr>
      <w:r>
        <w:rPr>
          <w:rFonts w:ascii="Arial" w:cs="Arial" w:eastAsia="Arial" w:hAnsi="Arial"/>
          <w:sz w:val="18"/>
          <w:szCs w:val="18"/>
          <w:color w:val="auto"/>
        </w:rPr>
        <w:t>(r)            </w:t>
      </w:r>
      <w:r>
        <w:rPr>
          <w:rFonts w:ascii="Arial" w:cs="Arial" w:eastAsia="Arial" w:hAnsi="Arial"/>
          <w:sz w:val="18"/>
          <w:szCs w:val="18"/>
          <w:u w:val="single" w:color="auto"/>
          <w:color w:val="auto"/>
        </w:rPr>
        <w:t>Related Person Transactions</w:t>
      </w:r>
      <w:r>
        <w:rPr>
          <w:rFonts w:ascii="Arial" w:cs="Arial" w:eastAsia="Arial" w:hAnsi="Arial"/>
          <w:sz w:val="18"/>
          <w:szCs w:val="18"/>
          <w:color w:val="auto"/>
        </w:rPr>
        <w:t>. There are no business relationships or related person transactions, as defined in Item 404 of Regulation S-K under the Exchange Act, involving the Company or any subsidiary or any other person required to be described in the Prospectus which have not been described as required.</w:t>
      </w:r>
    </w:p>
    <w:p>
      <w:pPr>
        <w:spacing w:after="0" w:line="186" w:lineRule="exact"/>
        <w:rPr>
          <w:sz w:val="20"/>
          <w:szCs w:val="20"/>
          <w:color w:val="auto"/>
        </w:rPr>
      </w:pPr>
    </w:p>
    <w:p>
      <w:pPr>
        <w:jc w:val="both"/>
        <w:ind w:firstLine="1281"/>
        <w:spacing w:after="0" w:line="281" w:lineRule="auto"/>
        <w:rPr>
          <w:sz w:val="20"/>
          <w:szCs w:val="20"/>
          <w:color w:val="auto"/>
        </w:rPr>
      </w:pPr>
      <w:r>
        <w:rPr>
          <w:rFonts w:ascii="Arial" w:cs="Arial" w:eastAsia="Arial" w:hAnsi="Arial"/>
          <w:sz w:val="16"/>
          <w:szCs w:val="16"/>
          <w:color w:val="auto"/>
        </w:rPr>
        <w:t>(s)           </w:t>
      </w:r>
      <w:r>
        <w:rPr>
          <w:rFonts w:ascii="Arial" w:cs="Arial" w:eastAsia="Arial" w:hAnsi="Arial"/>
          <w:sz w:val="16"/>
          <w:szCs w:val="16"/>
          <w:u w:val="single" w:color="auto"/>
          <w:color w:val="auto"/>
        </w:rPr>
        <w:t>Sarbanes-Oxley; Internal Accounting Controls</w:t>
      </w:r>
      <w:r>
        <w:rPr>
          <w:rFonts w:ascii="Arial" w:cs="Arial" w:eastAsia="Arial" w:hAnsi="Arial"/>
          <w:sz w:val="16"/>
          <w:szCs w:val="16"/>
          <w:color w:val="auto"/>
        </w:rPr>
        <w:t>. The Company and the Subsidiaries are in compliance in all material respects with any and all applicable requirements of the Sarbanes-Oxley Act of 2002 that are effective as of the date hereof, and any and all applicable rules and regulations promulgated by the Commission thereunder that are effective as of the date hereof and as of the Closing Date. The Company and the Subsidiaries maintain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w:t>
      </w:r>
    </w:p>
    <w:p>
      <w:pPr>
        <w:spacing w:after="0" w:line="1" w:lineRule="exact"/>
        <w:rPr>
          <w:sz w:val="20"/>
          <w:szCs w:val="20"/>
          <w:color w:val="auto"/>
        </w:rPr>
      </w:pPr>
    </w:p>
    <w:p>
      <w:pPr>
        <w:jc w:val="both"/>
        <w:ind w:firstLine="7"/>
        <w:spacing w:after="0" w:line="282" w:lineRule="auto"/>
        <w:tabs>
          <w:tab w:leader="none" w:pos="3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recorded accountability for assets is compared with the existing assets at reasonable intervals and appropriate action is taken with respect to any differences. The Company and the Subsidiaries have established disclosure controls and procedures (as defined in Exchange Act Rules 13a-15(e) and 15d-15(e)) for the Company and the Subsidiaries and designed such disclosure controls and procedures to ensure that information required to be disclosed by the Company in the reports it files or submits under the Exchange Act is recorded, processed, summarized and reported, within the time periods specified in the Commission’s rules and forms. The Company’s certifying officers have evaluated the effectiveness of the disclosure controls and procedures of the Company and the Subsidiaries as of the end of the period covered by the most recently filed periodic report under the Exchange Act (such date, the “</w:t>
      </w:r>
      <w:r>
        <w:rPr>
          <w:rFonts w:ascii="Arial" w:cs="Arial" w:eastAsia="Arial" w:hAnsi="Arial"/>
          <w:sz w:val="16"/>
          <w:szCs w:val="16"/>
          <w:u w:val="single" w:color="auto"/>
          <w:color w:val="auto"/>
        </w:rPr>
        <w:t>Evaluation Date</w:t>
      </w:r>
      <w:r>
        <w:rPr>
          <w:rFonts w:ascii="Arial" w:cs="Arial" w:eastAsia="Arial" w:hAnsi="Arial"/>
          <w:sz w:val="16"/>
          <w:szCs w:val="16"/>
          <w:color w:val="auto"/>
        </w:rPr>
        <w:t>”). The Company presented in its most recently filed periodic report under the Exchange Act the conclusions of the certifying officers about the effectiveness of the disclosure controls and procedures based on their evaluations as of the Evaluation Date. Since the Evaluation Date, there have been no changes in the internal control over financial reporting (as such term is defined in the Exchange Act) of the Company and its Subsidiaries that have materially affected, or is reasonably likely to materially affect, the internal control over financial reporting of the Company and its Subsidiaries.</w:t>
      </w:r>
    </w:p>
    <w:p>
      <w:pPr>
        <w:spacing w:after="0" w:line="173" w:lineRule="exact"/>
        <w:rPr>
          <w:sz w:val="20"/>
          <w:szCs w:val="20"/>
          <w:color w:val="auto"/>
        </w:rPr>
      </w:pPr>
    </w:p>
    <w:p>
      <w:pPr>
        <w:jc w:val="both"/>
        <w:ind w:firstLine="1281"/>
        <w:spacing w:after="0" w:line="253" w:lineRule="auto"/>
        <w:rPr>
          <w:sz w:val="20"/>
          <w:szCs w:val="20"/>
          <w:color w:val="auto"/>
        </w:rPr>
      </w:pPr>
      <w:r>
        <w:rPr>
          <w:rFonts w:ascii="Arial" w:cs="Arial" w:eastAsia="Arial" w:hAnsi="Arial"/>
          <w:sz w:val="18"/>
          <w:szCs w:val="18"/>
          <w:color w:val="auto"/>
        </w:rPr>
        <w:t>(t)            </w:t>
      </w:r>
      <w:r>
        <w:rPr>
          <w:rFonts w:ascii="Arial" w:cs="Arial" w:eastAsia="Arial" w:hAnsi="Arial"/>
          <w:sz w:val="18"/>
          <w:szCs w:val="18"/>
          <w:u w:val="single" w:color="auto"/>
          <w:color w:val="auto"/>
        </w:rPr>
        <w:t>Certain Fees</w:t>
      </w:r>
      <w:r>
        <w:rPr>
          <w:rFonts w:ascii="Arial" w:cs="Arial" w:eastAsia="Arial" w:hAnsi="Arial"/>
          <w:sz w:val="18"/>
          <w:szCs w:val="18"/>
          <w:color w:val="auto"/>
        </w:rPr>
        <w:t>. Except as set forth in the Prospectus Supplement in connection with this transaction, no brokerage or finder’s fees or commissions are or will be payable by the Company or any Subsidiary to any broker, financial advisor or consultant, finder, placement agent, investment banker, bank or other Person with respect to the transactions contemplated by the Transaction Documents. The Purchasers shall have no obligation with respect to any fees or with respect to any claims made by or on behalf of other Persons for fees of a type contemplated in this Section that may be due in connection with the transactions contemplated by the Transaction Documents.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43" w:name="page44"/>
    <w:bookmarkEnd w:id="43"/>
    <w:p>
      <w:pPr>
        <w:jc w:val="both"/>
        <w:ind w:firstLine="1281"/>
        <w:spacing w:after="0" w:line="270" w:lineRule="auto"/>
        <w:rPr>
          <w:sz w:val="20"/>
          <w:szCs w:val="20"/>
          <w:color w:val="auto"/>
        </w:rPr>
      </w:pPr>
      <w:r>
        <w:rPr>
          <w:rFonts w:ascii="Arial" w:cs="Arial" w:eastAsia="Arial" w:hAnsi="Arial"/>
          <w:sz w:val="18"/>
          <w:szCs w:val="18"/>
          <w:color w:val="auto"/>
        </w:rPr>
        <w:t>(u)           </w:t>
      </w:r>
      <w:r>
        <w:rPr>
          <w:rFonts w:ascii="Arial" w:cs="Arial" w:eastAsia="Arial" w:hAnsi="Arial"/>
          <w:sz w:val="18"/>
          <w:szCs w:val="18"/>
          <w:u w:val="single" w:color="auto"/>
          <w:color w:val="auto"/>
        </w:rPr>
        <w:t>Investment Company</w:t>
      </w:r>
      <w:r>
        <w:rPr>
          <w:rFonts w:ascii="Arial" w:cs="Arial" w:eastAsia="Arial" w:hAnsi="Arial"/>
          <w:sz w:val="18"/>
          <w:szCs w:val="18"/>
          <w:color w:val="auto"/>
        </w:rPr>
        <w:t>. The Company is not, and immediately after receipt of payment for the Securities will not be, an “investment company” within the meaning of the Investment Company Act of 1940, as amended.</w:t>
      </w:r>
    </w:p>
    <w:p>
      <w:pPr>
        <w:spacing w:after="0" w:line="175" w:lineRule="exact"/>
        <w:rPr>
          <w:sz w:val="20"/>
          <w:szCs w:val="20"/>
          <w:color w:val="auto"/>
        </w:rPr>
      </w:pPr>
    </w:p>
    <w:p>
      <w:pPr>
        <w:jc w:val="both"/>
        <w:ind w:firstLine="1281"/>
        <w:spacing w:after="0" w:line="270" w:lineRule="auto"/>
        <w:rPr>
          <w:sz w:val="20"/>
          <w:szCs w:val="20"/>
          <w:color w:val="auto"/>
        </w:rPr>
      </w:pPr>
      <w:r>
        <w:rPr>
          <w:rFonts w:ascii="Arial" w:cs="Arial" w:eastAsia="Arial" w:hAnsi="Arial"/>
          <w:sz w:val="18"/>
          <w:szCs w:val="18"/>
          <w:color w:val="auto"/>
        </w:rPr>
        <w:t>(v)           </w:t>
      </w:r>
      <w:r>
        <w:rPr>
          <w:rFonts w:ascii="Arial" w:cs="Arial" w:eastAsia="Arial" w:hAnsi="Arial"/>
          <w:sz w:val="18"/>
          <w:szCs w:val="18"/>
          <w:u w:val="single" w:color="auto"/>
          <w:color w:val="auto"/>
        </w:rPr>
        <w:t>Registration Rights</w:t>
      </w:r>
      <w:r>
        <w:rPr>
          <w:rFonts w:ascii="Arial" w:cs="Arial" w:eastAsia="Arial" w:hAnsi="Arial"/>
          <w:sz w:val="18"/>
          <w:szCs w:val="18"/>
          <w:color w:val="auto"/>
        </w:rPr>
        <w:t>. Except as set forth in the SEC Reports, no Person has any right to cause the Company or any Subsidiary to effect the registration under the Securities Act of any securities of the Company or any Subsidiary.</w:t>
      </w:r>
    </w:p>
    <w:p>
      <w:pPr>
        <w:spacing w:after="0" w:line="175" w:lineRule="exact"/>
        <w:rPr>
          <w:sz w:val="20"/>
          <w:szCs w:val="20"/>
          <w:color w:val="auto"/>
        </w:rPr>
      </w:pPr>
    </w:p>
    <w:p>
      <w:pPr>
        <w:jc w:val="both"/>
        <w:ind w:firstLine="1281"/>
        <w:spacing w:after="0" w:line="267" w:lineRule="auto"/>
        <w:rPr>
          <w:sz w:val="20"/>
          <w:szCs w:val="20"/>
          <w:color w:val="auto"/>
        </w:rPr>
      </w:pPr>
      <w:r>
        <w:rPr>
          <w:rFonts w:ascii="Arial" w:cs="Arial" w:eastAsia="Arial" w:hAnsi="Arial"/>
          <w:sz w:val="17"/>
          <w:szCs w:val="17"/>
          <w:color w:val="auto"/>
        </w:rPr>
        <w:t>(w)          </w:t>
      </w:r>
      <w:r>
        <w:rPr>
          <w:rFonts w:ascii="Arial" w:cs="Arial" w:eastAsia="Arial" w:hAnsi="Arial"/>
          <w:sz w:val="17"/>
          <w:szCs w:val="17"/>
          <w:u w:val="single" w:color="auto"/>
          <w:color w:val="auto"/>
        </w:rPr>
        <w:t>Listing and Maintenance Requirements</w:t>
      </w:r>
      <w:r>
        <w:rPr>
          <w:rFonts w:ascii="Arial" w:cs="Arial" w:eastAsia="Arial" w:hAnsi="Arial"/>
          <w:sz w:val="17"/>
          <w:szCs w:val="17"/>
          <w:color w:val="auto"/>
        </w:rPr>
        <w:t>. The Common Shares are registered pursuant to Section 12(b) or 12(g) of the Exchange Act, and the Company has taken no action designed to, or which to its knowledge is likely to have the effect of, terminating the registration of the Common Shares under the Exchange Act nor has the Company received any notification that the Commission is contemplating terminating such registration. Except as set forth in the SEC Reports, the Company has not, in the 12 months preceding the date hereof, received notice from any Trading Market on which the Common Shares are or has been listed or quoted to the effect that the Company is not in compliance with the listing or maintenance requirements of such Trading Market. The Common Shares are currently eligible for electronic transfer through the Depository Trust Company or another established clearing corporation and the Company is current in payment of the fees to the Depository Trust Company (or such other established clearing corporation) in connection with such electronic transfer.</w:t>
      </w:r>
    </w:p>
    <w:p>
      <w:pPr>
        <w:spacing w:after="0" w:line="182" w:lineRule="exact"/>
        <w:rPr>
          <w:sz w:val="20"/>
          <w:szCs w:val="20"/>
          <w:color w:val="auto"/>
        </w:rPr>
      </w:pPr>
    </w:p>
    <w:p>
      <w:pPr>
        <w:jc w:val="both"/>
        <w:ind w:firstLine="1281"/>
        <w:spacing w:after="0" w:line="266" w:lineRule="auto"/>
        <w:rPr>
          <w:sz w:val="20"/>
          <w:szCs w:val="20"/>
          <w:color w:val="auto"/>
        </w:rPr>
      </w:pPr>
      <w:r>
        <w:rPr>
          <w:rFonts w:ascii="Arial" w:cs="Arial" w:eastAsia="Arial" w:hAnsi="Arial"/>
          <w:sz w:val="17"/>
          <w:szCs w:val="17"/>
          <w:color w:val="auto"/>
        </w:rPr>
        <w:t>(x)            </w:t>
      </w:r>
      <w:r>
        <w:rPr>
          <w:rFonts w:ascii="Arial" w:cs="Arial" w:eastAsia="Arial" w:hAnsi="Arial"/>
          <w:sz w:val="17"/>
          <w:szCs w:val="17"/>
          <w:u w:val="single" w:color="auto"/>
          <w:color w:val="auto"/>
        </w:rPr>
        <w:t>Disclosure</w:t>
      </w:r>
      <w:r>
        <w:rPr>
          <w:rFonts w:ascii="Arial" w:cs="Arial" w:eastAsia="Arial" w:hAnsi="Arial"/>
          <w:sz w:val="17"/>
          <w:szCs w:val="17"/>
          <w:color w:val="auto"/>
        </w:rPr>
        <w:t>. Except with respect to the material terms and conditions of the transactions contemplated by the Transaction Documents, the Company confirms that neither it nor any other Person acting on its behalf has provided any of the Purchasers or their agents or counsel with any information that it believes constitutes or might constitute material, non-public information which is not otherwise disclosed in the Prospectus Supplement. The Company understands and confirms that the Purchasers will rely on the foregoing representation in effecting transactions in securities of the Company. All of the disclosure furnished by or on behalf of the Company to the Purchasers regarding the Company and its Subsidiaries, their respective businesses and the transactions contemplated hereby is true and correct in all material respects and does not contain any untrue statement of a material fact or omit to state any material fact necessary in order to make the statements made therein, in the light of the circumstances under which they were made, not misleading (it being understood that such disclosure furnished by or on behalf of the Company to the Purchasers includes the SEC Reports). The Company acknowledges and agrees that no Purchaser makes or has made any representations or warranties with respect to the transactions contemplated hereby other than those specifically set forth in Section 3.2 hereof.</w:t>
      </w:r>
    </w:p>
    <w:p>
      <w:pPr>
        <w:spacing w:after="0" w:line="182" w:lineRule="exact"/>
        <w:rPr>
          <w:sz w:val="20"/>
          <w:szCs w:val="20"/>
          <w:color w:val="auto"/>
        </w:rPr>
      </w:pPr>
    </w:p>
    <w:p>
      <w:pPr>
        <w:jc w:val="both"/>
        <w:ind w:firstLine="1281"/>
        <w:spacing w:after="0" w:line="253" w:lineRule="auto"/>
        <w:rPr>
          <w:sz w:val="20"/>
          <w:szCs w:val="20"/>
          <w:color w:val="auto"/>
        </w:rPr>
      </w:pPr>
      <w:r>
        <w:rPr>
          <w:rFonts w:ascii="Arial" w:cs="Arial" w:eastAsia="Arial" w:hAnsi="Arial"/>
          <w:sz w:val="18"/>
          <w:szCs w:val="18"/>
          <w:color w:val="auto"/>
        </w:rPr>
        <w:t>(y)           </w:t>
      </w:r>
      <w:r>
        <w:rPr>
          <w:rFonts w:ascii="Arial" w:cs="Arial" w:eastAsia="Arial" w:hAnsi="Arial"/>
          <w:sz w:val="18"/>
          <w:szCs w:val="18"/>
          <w:u w:val="single" w:color="auto"/>
          <w:color w:val="auto"/>
        </w:rPr>
        <w:t>No Integrated Offering</w:t>
      </w:r>
      <w:r>
        <w:rPr>
          <w:rFonts w:ascii="Arial" w:cs="Arial" w:eastAsia="Arial" w:hAnsi="Arial"/>
          <w:sz w:val="18"/>
          <w:szCs w:val="18"/>
          <w:color w:val="auto"/>
        </w:rPr>
        <w:t>. Assuming the accuracy of the Purchasers’ representations and warranties set forth in Section 3.2, neither the Company, nor any of its Affiliates, nor any Person acting on its or their behalf has, directly or indirectly, made any offers or sales of any security or solicited any offers to buy any security, under circumstances that would cause this offering of the Securities to be integrated with prior offerings by the Company for purposes of any applicable shareholder approval provisions of any Trading Market on which any of the securities of the Company are listed or designated.</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44" w:name="page45"/>
    <w:bookmarkEnd w:id="44"/>
    <w:p>
      <w:pPr>
        <w:jc w:val="both"/>
        <w:ind w:firstLine="1281"/>
        <w:spacing w:after="0" w:line="267" w:lineRule="auto"/>
        <w:rPr>
          <w:sz w:val="20"/>
          <w:szCs w:val="20"/>
          <w:color w:val="auto"/>
        </w:rPr>
      </w:pPr>
      <w:r>
        <w:rPr>
          <w:rFonts w:ascii="Arial" w:cs="Arial" w:eastAsia="Arial" w:hAnsi="Arial"/>
          <w:sz w:val="17"/>
          <w:szCs w:val="17"/>
          <w:color w:val="auto"/>
        </w:rPr>
        <w:t>(z)           </w:t>
      </w:r>
      <w:r>
        <w:rPr>
          <w:rFonts w:ascii="Arial" w:cs="Arial" w:eastAsia="Arial" w:hAnsi="Arial"/>
          <w:sz w:val="17"/>
          <w:szCs w:val="17"/>
          <w:u w:val="single" w:color="auto"/>
          <w:color w:val="auto"/>
        </w:rPr>
        <w:t>Tax Status</w:t>
      </w:r>
      <w:r>
        <w:rPr>
          <w:rFonts w:ascii="Arial" w:cs="Arial" w:eastAsia="Arial" w:hAnsi="Arial"/>
          <w:sz w:val="17"/>
          <w:szCs w:val="17"/>
          <w:color w:val="auto"/>
        </w:rPr>
        <w:t>. Except for matters that would not, individually or in the aggregate, have or reasonably be expected to result in a Material Adverse Effect, the Company and its Subsidiaries each (i) has made or filed all federal, provincial, state and local income and all foreign income and franchise tax returns, reports and declarations required by any jurisdiction to which it is subject, (ii) has paid all taxes and other governmental assessments and charges that are material in amount, shown or determined to be due on such returns, reports and declarations, except for such taxes, if any, as are being contested in good faith and as to which adequate reserves have been established by the Company and (iii) has set aside on its books provision reasonably adequate for the payment of all material taxes for periods subsequent to the periods to which such returns, reports or declarations apply. There are no unpaid taxes in any material amount claimed to be due by the taxing authority of any jurisdiction, and the officers of the Company or of any Subsidiary know of no basis for any such claim.</w:t>
      </w:r>
    </w:p>
    <w:p>
      <w:pPr>
        <w:spacing w:after="0" w:line="182" w:lineRule="exact"/>
        <w:rPr>
          <w:sz w:val="20"/>
          <w:szCs w:val="20"/>
          <w:color w:val="auto"/>
        </w:rPr>
      </w:pPr>
    </w:p>
    <w:p>
      <w:pPr>
        <w:jc w:val="both"/>
        <w:ind w:firstLine="1281"/>
        <w:spacing w:after="0" w:line="252" w:lineRule="auto"/>
        <w:rPr>
          <w:sz w:val="20"/>
          <w:szCs w:val="20"/>
          <w:color w:val="auto"/>
        </w:rPr>
      </w:pPr>
      <w:r>
        <w:rPr>
          <w:rFonts w:ascii="Arial" w:cs="Arial" w:eastAsia="Arial" w:hAnsi="Arial"/>
          <w:sz w:val="18"/>
          <w:szCs w:val="18"/>
          <w:color w:val="auto"/>
        </w:rPr>
        <w:t>(aa)         </w:t>
      </w:r>
      <w:r>
        <w:rPr>
          <w:rFonts w:ascii="Arial" w:cs="Arial" w:eastAsia="Arial" w:hAnsi="Arial"/>
          <w:sz w:val="18"/>
          <w:szCs w:val="18"/>
          <w:u w:val="single" w:color="auto"/>
          <w:color w:val="auto"/>
        </w:rPr>
        <w:t>Foreign Corrupt Practices</w:t>
      </w:r>
      <w:r>
        <w:rPr>
          <w:rFonts w:ascii="Arial" w:cs="Arial" w:eastAsia="Arial" w:hAnsi="Arial"/>
          <w:sz w:val="18"/>
          <w:szCs w:val="18"/>
          <w:color w:val="auto"/>
        </w:rPr>
        <w:t>. Neither the Company nor any Subsidiary, nor to the knowledge of the Company or any Subsidiary, any agent or other person acting on behalf of the Company or any Subsidiary, has (i) directly or indirectly, used any funds for unlawful contributions, gifts, entertainment or other unlawful expenses related to foreign or domestic political activity, (ii) made any unlawful payment to foreign or domestic government officials or employees or to any foreign or domestic political parties or campaigns from corporate funds, (iii) failed to disclose fully any contribution made by the Company or any Subsidiary (or made by any person acting on its behalf of which the Company is aware) which is in violation of law, or (iv) violated in any material respect any provision of FCPA.</w:t>
      </w:r>
    </w:p>
    <w:p>
      <w:pPr>
        <w:spacing w:after="0" w:line="190" w:lineRule="exact"/>
        <w:rPr>
          <w:sz w:val="20"/>
          <w:szCs w:val="20"/>
          <w:color w:val="auto"/>
        </w:rPr>
      </w:pPr>
    </w:p>
    <w:p>
      <w:pPr>
        <w:jc w:val="both"/>
        <w:ind w:firstLine="1281"/>
        <w:spacing w:after="0" w:line="270" w:lineRule="auto"/>
        <w:rPr>
          <w:sz w:val="20"/>
          <w:szCs w:val="20"/>
          <w:color w:val="auto"/>
        </w:rPr>
      </w:pPr>
      <w:r>
        <w:rPr>
          <w:rFonts w:ascii="Arial" w:cs="Arial" w:eastAsia="Arial" w:hAnsi="Arial"/>
          <w:sz w:val="18"/>
          <w:szCs w:val="18"/>
          <w:color w:val="auto"/>
        </w:rPr>
        <w:t>(bb)         </w:t>
      </w:r>
      <w:r>
        <w:rPr>
          <w:rFonts w:ascii="Arial" w:cs="Arial" w:eastAsia="Arial" w:hAnsi="Arial"/>
          <w:sz w:val="18"/>
          <w:szCs w:val="18"/>
          <w:u w:val="single" w:color="auto"/>
          <w:color w:val="auto"/>
        </w:rPr>
        <w:t>Accountants</w:t>
      </w:r>
      <w:r>
        <w:rPr>
          <w:rFonts w:ascii="Arial" w:cs="Arial" w:eastAsia="Arial" w:hAnsi="Arial"/>
          <w:sz w:val="18"/>
          <w:szCs w:val="18"/>
          <w:color w:val="auto"/>
        </w:rPr>
        <w:t>. The Company’s accounting firm is Ernst &amp; Young LLP. To the knowledge and belief of the Company, such accounting firm is a registered public accounting firm as required by the Exchange Act.</w:t>
      </w:r>
    </w:p>
    <w:p>
      <w:pPr>
        <w:spacing w:after="0" w:line="175" w:lineRule="exact"/>
        <w:rPr>
          <w:sz w:val="20"/>
          <w:szCs w:val="20"/>
          <w:color w:val="auto"/>
        </w:rPr>
      </w:pPr>
    </w:p>
    <w:p>
      <w:pPr>
        <w:jc w:val="both"/>
        <w:ind w:firstLine="1281"/>
        <w:spacing w:after="0" w:line="287" w:lineRule="auto"/>
        <w:rPr>
          <w:sz w:val="20"/>
          <w:szCs w:val="20"/>
          <w:color w:val="auto"/>
        </w:rPr>
      </w:pPr>
      <w:r>
        <w:rPr>
          <w:rFonts w:ascii="Arial" w:cs="Arial" w:eastAsia="Arial" w:hAnsi="Arial"/>
          <w:sz w:val="16"/>
          <w:szCs w:val="16"/>
          <w:color w:val="auto"/>
        </w:rPr>
        <w:t>(cc)         </w:t>
      </w:r>
      <w:r>
        <w:rPr>
          <w:rFonts w:ascii="Arial" w:cs="Arial" w:eastAsia="Arial" w:hAnsi="Arial"/>
          <w:sz w:val="16"/>
          <w:szCs w:val="16"/>
          <w:u w:val="single" w:color="auto"/>
          <w:color w:val="auto"/>
        </w:rPr>
        <w:t>Acknowledgment Regarding Purchasers’ Purchase of Securities</w:t>
      </w:r>
      <w:r>
        <w:rPr>
          <w:rFonts w:ascii="Arial" w:cs="Arial" w:eastAsia="Arial" w:hAnsi="Arial"/>
          <w:sz w:val="16"/>
          <w:szCs w:val="16"/>
          <w:color w:val="auto"/>
        </w:rPr>
        <w:t>. The Company acknowledges and agrees that each of the Purchasers is acting solely in the capacity of an arm’s length purchaser with respect to the Transaction Documents and the transactions contemplated thereby. The Company further acknowledges that no Purchaser is acting as a financial advisor or fiduciary of the Company (or in any similar capacity) with respect to the Transaction Documents and the transactions contemplated thereby and any advice given by any Purchaser or any of their respective representatives or agents in connection with the Transaction Documents and the transactions contemplated thereby is merely incidental to the Purchasers’ purchase of the Securities. The Company further represents to each Purchaser that the Company’s decision to enter into this Agreement and the other Transaction Documents has been based solely on the independent evaluation of the transactions contemplated hereby by the Company and its representatives.</w:t>
      </w:r>
    </w:p>
    <w:p>
      <w:pPr>
        <w:spacing w:after="0" w:line="168" w:lineRule="exact"/>
        <w:rPr>
          <w:sz w:val="20"/>
          <w:szCs w:val="20"/>
          <w:color w:val="auto"/>
        </w:rPr>
      </w:pPr>
    </w:p>
    <w:p>
      <w:pPr>
        <w:jc w:val="both"/>
        <w:ind w:firstLine="1281"/>
        <w:spacing w:after="0" w:line="280" w:lineRule="auto"/>
        <w:rPr>
          <w:sz w:val="20"/>
          <w:szCs w:val="20"/>
          <w:color w:val="auto"/>
        </w:rPr>
      </w:pPr>
      <w:r>
        <w:rPr>
          <w:rFonts w:ascii="Arial" w:cs="Arial" w:eastAsia="Arial" w:hAnsi="Arial"/>
          <w:sz w:val="16"/>
          <w:szCs w:val="16"/>
          <w:color w:val="auto"/>
        </w:rPr>
        <w:t>(dd)         </w:t>
      </w:r>
      <w:r>
        <w:rPr>
          <w:rFonts w:ascii="Arial" w:cs="Arial" w:eastAsia="Arial" w:hAnsi="Arial"/>
          <w:sz w:val="16"/>
          <w:szCs w:val="16"/>
          <w:u w:val="single" w:color="auto"/>
          <w:color w:val="auto"/>
        </w:rPr>
        <w:t>Acknowledgment Regarding Purchaser’s Trading Activity</w:t>
      </w:r>
      <w:r>
        <w:rPr>
          <w:rFonts w:ascii="Arial" w:cs="Arial" w:eastAsia="Arial" w:hAnsi="Arial"/>
          <w:sz w:val="16"/>
          <w:szCs w:val="16"/>
          <w:color w:val="auto"/>
        </w:rPr>
        <w:t>. Anything in this Agreement or elsewhere herein to the contrary notwithstanding (except for Sections 3.2(f) and 4.12 hereof), it is understood and acknowledged by the Company that: (i) none of the Purchasers has been asked by the Company to agree, nor has any Purchaser agreed, to desist from purchasing or selling, long and/or short, securities of the Company, or “derivative” securities based on securities issued by the Company or to hold the Securities for any specified term; (ii) past or future open market or other transactions by any Purchaser, specifically including, without limitation, Short Sales or “derivative” transactions, before or after the closing of this or future private placement transactions, may negatively impact the market price of the Company’s publicly-traded securities; (iii) any Purchaser, and counter-parties in “derivative” transactions to which any such Purchaser is a party, directly or indirectly, presently may have a “short” position in the Common Shares, and</w:t>
      </w:r>
    </w:p>
    <w:p>
      <w:pPr>
        <w:spacing w:after="0" w:line="5" w:lineRule="exact"/>
        <w:rPr>
          <w:sz w:val="20"/>
          <w:szCs w:val="20"/>
          <w:color w:val="auto"/>
        </w:rPr>
      </w:pPr>
    </w:p>
    <w:p>
      <w:pPr>
        <w:jc w:val="both"/>
        <w:ind w:firstLine="7"/>
        <w:spacing w:after="0" w:line="249" w:lineRule="auto"/>
        <w:tabs>
          <w:tab w:leader="none" w:pos="323" w:val="left"/>
        </w:tabs>
        <w:numPr>
          <w:ilvl w:val="0"/>
          <w:numId w:val="28"/>
        </w:numPr>
        <w:rPr>
          <w:rFonts w:ascii="Arial" w:cs="Arial" w:eastAsia="Arial" w:hAnsi="Arial"/>
          <w:sz w:val="18"/>
          <w:szCs w:val="18"/>
          <w:color w:val="auto"/>
        </w:rPr>
      </w:pPr>
      <w:r>
        <w:rPr>
          <w:rFonts w:ascii="Arial" w:cs="Arial" w:eastAsia="Arial" w:hAnsi="Arial"/>
          <w:sz w:val="18"/>
          <w:szCs w:val="18"/>
          <w:color w:val="auto"/>
        </w:rPr>
        <w:t>each Purchaser shall not be deemed to have any affiliation with or control over any arm’s length counter-party in any “derivative” transaction. The Company further understands and acknowledges that (y) one or more Purchasers may engage in hedging activities at various times during the period that the Securities are outstanding, and (z) such hedging activities (if any) could reduce the value of the existing stockholders' equity interests in the Company at and after the time that the hedging activities are being conducted. The Company acknowledges that such aforementioned hedging activities do not constitute a breach of any of the Transaction Documents.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45" w:name="page46"/>
    <w:bookmarkEnd w:id="45"/>
    <w:p>
      <w:pPr>
        <w:jc w:val="both"/>
        <w:ind w:firstLine="1281"/>
        <w:spacing w:after="0" w:line="274" w:lineRule="auto"/>
        <w:rPr>
          <w:sz w:val="20"/>
          <w:szCs w:val="20"/>
          <w:color w:val="auto"/>
        </w:rPr>
      </w:pPr>
      <w:r>
        <w:rPr>
          <w:rFonts w:ascii="Arial" w:cs="Arial" w:eastAsia="Arial" w:hAnsi="Arial"/>
          <w:sz w:val="17"/>
          <w:szCs w:val="17"/>
          <w:color w:val="auto"/>
        </w:rPr>
        <w:t>(ee)         </w:t>
      </w:r>
      <w:r>
        <w:rPr>
          <w:rFonts w:ascii="Arial" w:cs="Arial" w:eastAsia="Arial" w:hAnsi="Arial"/>
          <w:sz w:val="17"/>
          <w:szCs w:val="17"/>
          <w:u w:val="single" w:color="auto"/>
          <w:color w:val="auto"/>
        </w:rPr>
        <w:t>Regulation M Compliance</w:t>
      </w:r>
      <w:r>
        <w:rPr>
          <w:rFonts w:ascii="Arial" w:cs="Arial" w:eastAsia="Arial" w:hAnsi="Arial"/>
          <w:sz w:val="17"/>
          <w:szCs w:val="17"/>
          <w:color w:val="auto"/>
        </w:rPr>
        <w:t>. The Company has not, and to its knowledge no one acting on its behalf has, (i) taken, directly or indirectly, any action designed to cause or to result in the stabilization or manipulation of the price of any security of the Company to facilitate the sale or resale of any of the Securities, (ii) sold, bid for, purchased, or, paid any compensation for soliciting purchases of, any of the Securities, or (iii) paid or agreed to pay to any Person any compensation for soliciting another to purchase any other securities of the Company.</w:t>
      </w:r>
    </w:p>
    <w:p>
      <w:pPr>
        <w:spacing w:after="0" w:line="175" w:lineRule="exact"/>
        <w:rPr>
          <w:sz w:val="20"/>
          <w:szCs w:val="20"/>
          <w:color w:val="auto"/>
        </w:rPr>
      </w:pPr>
    </w:p>
    <w:p>
      <w:pPr>
        <w:jc w:val="both"/>
        <w:ind w:firstLine="1281"/>
        <w:spacing w:after="0" w:line="322" w:lineRule="auto"/>
        <w:rPr>
          <w:sz w:val="20"/>
          <w:szCs w:val="20"/>
          <w:color w:val="auto"/>
        </w:rPr>
      </w:pPr>
      <w:r>
        <w:rPr>
          <w:rFonts w:ascii="Arial" w:cs="Arial" w:eastAsia="Arial" w:hAnsi="Arial"/>
          <w:sz w:val="14"/>
          <w:szCs w:val="14"/>
          <w:color w:val="auto"/>
        </w:rPr>
        <w:t>(ff)          </w:t>
      </w:r>
      <w:r>
        <w:rPr>
          <w:rFonts w:ascii="Arial" w:cs="Arial" w:eastAsia="Arial" w:hAnsi="Arial"/>
          <w:sz w:val="14"/>
          <w:szCs w:val="14"/>
          <w:u w:val="single" w:color="auto"/>
          <w:color w:val="auto"/>
        </w:rPr>
        <w:t>Regulatory Compliance</w:t>
      </w:r>
      <w:r>
        <w:rPr>
          <w:rFonts w:ascii="Arial" w:cs="Arial" w:eastAsia="Arial" w:hAnsi="Arial"/>
          <w:sz w:val="14"/>
          <w:szCs w:val="14"/>
          <w:color w:val="auto"/>
        </w:rPr>
        <w:t>. (1) Except as otherwise set forth in the SEC Reports, neither the Company nor any of its Subsidiaries has held any material Regulatory Permits and, to the Company’s knowledge, no such Regulatory Permits are or have been necessary for the Company or any of its Subsidiaries to conduct their respective businesses as presently conducted. Except as otherwise set forth in the Registration Statement, the Prospectus and the Prospectus Supplement, to the Company’s knowledge, no governmental agency (including the ISA or sponsoring state) has stated or otherwise indicated that a material Regulatory Permit is required for the Company or any of its Subsidiaries to conduct their respective businesses as presently conducted.</w:t>
      </w:r>
    </w:p>
    <w:p>
      <w:pPr>
        <w:jc w:val="both"/>
        <w:ind w:firstLine="7"/>
        <w:spacing w:after="0" w:line="265" w:lineRule="auto"/>
        <w:tabs>
          <w:tab w:leader="none" w:pos="285" w:val="left"/>
        </w:tabs>
        <w:numPr>
          <w:ilvl w:val="0"/>
          <w:numId w:val="29"/>
        </w:numPr>
        <w:rPr>
          <w:rFonts w:ascii="Arial" w:cs="Arial" w:eastAsia="Arial" w:hAnsi="Arial"/>
          <w:sz w:val="17"/>
          <w:szCs w:val="17"/>
          <w:color w:val="auto"/>
        </w:rPr>
      </w:pPr>
      <w:r>
        <w:rPr>
          <w:rFonts w:ascii="Arial" w:cs="Arial" w:eastAsia="Arial" w:hAnsi="Arial"/>
          <w:sz w:val="17"/>
          <w:szCs w:val="17"/>
          <w:color w:val="auto"/>
        </w:rPr>
        <w:t xml:space="preserve">There are no actions, suits or proceedings or, to the Company’s knowledge, threatened against the Company or any of its Subsidiaries related to compliance with UNCLOS Laws and Regulations, including by a governmental agency (including the ISA or sponsoring state). The Company and its Subsidiaries are in material compliance with UNCLOS Laws and Regulations. As used in this </w:t>
      </w:r>
      <w:r>
        <w:rPr>
          <w:rFonts w:ascii="Arial" w:cs="Arial" w:eastAsia="Arial" w:hAnsi="Arial"/>
          <w:sz w:val="17"/>
          <w:szCs w:val="17"/>
          <w:u w:val="single" w:color="auto"/>
          <w:color w:val="auto"/>
        </w:rPr>
        <w:t>Section 3.1(ff)</w:t>
      </w:r>
      <w:r>
        <w:rPr>
          <w:rFonts w:ascii="Arial" w:cs="Arial" w:eastAsia="Arial" w:hAnsi="Arial"/>
          <w:sz w:val="17"/>
          <w:szCs w:val="17"/>
          <w:color w:val="auto"/>
        </w:rPr>
        <w:t>, the following terms have the defined meanings: “</w:t>
      </w:r>
      <w:r>
        <w:rPr>
          <w:rFonts w:ascii="Arial" w:cs="Arial" w:eastAsia="Arial" w:hAnsi="Arial"/>
          <w:sz w:val="17"/>
          <w:szCs w:val="17"/>
          <w:u w:val="single" w:color="auto"/>
          <w:color w:val="auto"/>
        </w:rPr>
        <w:t>ISA</w:t>
      </w:r>
      <w:r>
        <w:rPr>
          <w:rFonts w:ascii="Arial" w:cs="Arial" w:eastAsia="Arial" w:hAnsi="Arial"/>
          <w:sz w:val="17"/>
          <w:szCs w:val="17"/>
          <w:color w:val="auto"/>
        </w:rPr>
        <w:t>” means the International Seabed Authority; “</w:t>
      </w:r>
      <w:r>
        <w:rPr>
          <w:rFonts w:ascii="Arial" w:cs="Arial" w:eastAsia="Arial" w:hAnsi="Arial"/>
          <w:sz w:val="17"/>
          <w:szCs w:val="17"/>
          <w:u w:val="single" w:color="auto"/>
          <w:color w:val="auto"/>
        </w:rPr>
        <w:t>Regulatory Permits</w:t>
      </w:r>
      <w:r>
        <w:rPr>
          <w:rFonts w:ascii="Arial" w:cs="Arial" w:eastAsia="Arial" w:hAnsi="Arial"/>
          <w:sz w:val="17"/>
          <w:szCs w:val="17"/>
          <w:color w:val="auto"/>
        </w:rPr>
        <w:t>” means all permits or contracts granted or approved by ISA or sponsoring state to the Company or any of its Subsidiaries; and “</w:t>
      </w:r>
      <w:r>
        <w:rPr>
          <w:rFonts w:ascii="Arial" w:cs="Arial" w:eastAsia="Arial" w:hAnsi="Arial"/>
          <w:sz w:val="17"/>
          <w:szCs w:val="17"/>
          <w:u w:val="single" w:color="auto"/>
          <w:color w:val="auto"/>
        </w:rPr>
        <w:t>UNCLOS Laws and Regulations</w:t>
      </w:r>
      <w:r>
        <w:rPr>
          <w:rFonts w:ascii="Arial" w:cs="Arial" w:eastAsia="Arial" w:hAnsi="Arial"/>
          <w:sz w:val="17"/>
          <w:szCs w:val="17"/>
          <w:color w:val="auto"/>
        </w:rPr>
        <w:t>” means the United Nations Convention for the Law of the Sea (“</w:t>
      </w:r>
      <w:r>
        <w:rPr>
          <w:rFonts w:ascii="Arial" w:cs="Arial" w:eastAsia="Arial" w:hAnsi="Arial"/>
          <w:sz w:val="17"/>
          <w:szCs w:val="17"/>
          <w:u w:val="single" w:color="auto"/>
          <w:color w:val="auto"/>
        </w:rPr>
        <w:t>UNCLOS</w:t>
      </w:r>
      <w:r>
        <w:rPr>
          <w:rFonts w:ascii="Arial" w:cs="Arial" w:eastAsia="Arial" w:hAnsi="Arial"/>
          <w:sz w:val="17"/>
          <w:szCs w:val="17"/>
          <w:color w:val="auto"/>
        </w:rPr>
        <w:t>”) and all related laws, conventions, international agreements, and implementing agreements, including (a) the 1994 Agreement relating to the Implementation of Part XI of UNCLOS, (b) the laws administered by the ISA, and (c) any applicable customary international law.</w:t>
      </w:r>
    </w:p>
    <w:p>
      <w:pPr>
        <w:spacing w:after="0" w:line="184" w:lineRule="exact"/>
        <w:rPr>
          <w:sz w:val="20"/>
          <w:szCs w:val="20"/>
          <w:color w:val="auto"/>
        </w:rPr>
      </w:pPr>
    </w:p>
    <w:p>
      <w:pPr>
        <w:jc w:val="both"/>
        <w:ind w:firstLine="1281"/>
        <w:spacing w:after="0" w:line="274" w:lineRule="auto"/>
        <w:rPr>
          <w:sz w:val="20"/>
          <w:szCs w:val="20"/>
          <w:color w:val="auto"/>
        </w:rPr>
      </w:pPr>
      <w:r>
        <w:rPr>
          <w:rFonts w:ascii="Arial" w:cs="Arial" w:eastAsia="Arial" w:hAnsi="Arial"/>
          <w:sz w:val="17"/>
          <w:szCs w:val="17"/>
          <w:color w:val="auto"/>
        </w:rPr>
        <w:t>(gg)        </w:t>
      </w:r>
      <w:r>
        <w:rPr>
          <w:rFonts w:ascii="Arial" w:cs="Arial" w:eastAsia="Arial" w:hAnsi="Arial"/>
          <w:sz w:val="17"/>
          <w:szCs w:val="17"/>
          <w:u w:val="single" w:color="auto"/>
          <w:color w:val="auto"/>
        </w:rPr>
        <w:t>Mineral Rights Agreements</w:t>
      </w:r>
      <w:r>
        <w:rPr>
          <w:rFonts w:ascii="Arial" w:cs="Arial" w:eastAsia="Arial" w:hAnsi="Arial"/>
          <w:sz w:val="17"/>
          <w:szCs w:val="17"/>
          <w:color w:val="auto"/>
        </w:rPr>
        <w:t>. Any and all of the agreements and other documents and instruments relating to the Mineral Rights are valid and subsisting agreements, documents or instruments in full force and effect, enforceable in accordance with the terms thereof, the Company is not in default of any of the material provisions of any such agreements, documents or instruments, nor to the knowledge of the Company has any such default been alleged, except in each case as would not reasonably be expected to have a Material Adverse Effect on the Company.</w:t>
      </w:r>
    </w:p>
    <w:p>
      <w:pPr>
        <w:spacing w:after="0" w:line="175" w:lineRule="exact"/>
        <w:rPr>
          <w:sz w:val="20"/>
          <w:szCs w:val="20"/>
          <w:color w:val="auto"/>
        </w:rPr>
      </w:pPr>
    </w:p>
    <w:p>
      <w:pPr>
        <w:jc w:val="both"/>
        <w:ind w:firstLine="1281"/>
        <w:spacing w:after="0" w:line="255" w:lineRule="auto"/>
        <w:rPr>
          <w:sz w:val="20"/>
          <w:szCs w:val="20"/>
          <w:color w:val="auto"/>
        </w:rPr>
      </w:pPr>
      <w:r>
        <w:rPr>
          <w:rFonts w:ascii="Arial" w:cs="Arial" w:eastAsia="Arial" w:hAnsi="Arial"/>
          <w:sz w:val="18"/>
          <w:szCs w:val="18"/>
          <w:color w:val="auto"/>
        </w:rPr>
        <w:t>(hh)        </w:t>
      </w:r>
      <w:r>
        <w:rPr>
          <w:rFonts w:ascii="Arial" w:cs="Arial" w:eastAsia="Arial" w:hAnsi="Arial"/>
          <w:sz w:val="18"/>
          <w:szCs w:val="18"/>
          <w:u w:val="single" w:color="auto"/>
          <w:color w:val="auto"/>
        </w:rPr>
        <w:t>Technical Reports</w:t>
      </w:r>
      <w:r>
        <w:rPr>
          <w:rFonts w:ascii="Arial" w:cs="Arial" w:eastAsia="Arial" w:hAnsi="Arial"/>
          <w:sz w:val="18"/>
          <w:szCs w:val="18"/>
          <w:color w:val="auto"/>
        </w:rPr>
        <w:t>. The Technical Reports complied in all material respects with the requirements of subpart 1300 of Regulation S-K under the Securities Act (“</w:t>
      </w:r>
      <w:r>
        <w:rPr>
          <w:rFonts w:ascii="Arial" w:cs="Arial" w:eastAsia="Arial" w:hAnsi="Arial"/>
          <w:sz w:val="18"/>
          <w:szCs w:val="18"/>
          <w:u w:val="single" w:color="auto"/>
          <w:color w:val="auto"/>
        </w:rPr>
        <w:t>S-K 1300</w:t>
      </w:r>
      <w:r>
        <w:rPr>
          <w:rFonts w:ascii="Arial" w:cs="Arial" w:eastAsia="Arial" w:hAnsi="Arial"/>
          <w:sz w:val="18"/>
          <w:szCs w:val="18"/>
          <w:color w:val="auto"/>
        </w:rPr>
        <w:t>”) as at the date of each such report; since the date of preparation of the Technical Reports there has been no change that would disaffirm or change any aspect of the Technical Reports in any material respect or require the Company to file updated Technical Reports in accordance with S-K 1300.</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46" w:name="page47"/>
    <w:bookmarkEnd w:id="46"/>
    <w:p>
      <w:pPr>
        <w:jc w:val="both"/>
        <w:ind w:firstLine="1281"/>
        <w:spacing w:after="0" w:line="258" w:lineRule="auto"/>
        <w:rPr>
          <w:sz w:val="20"/>
          <w:szCs w:val="20"/>
          <w:color w:val="auto"/>
        </w:rPr>
      </w:pPr>
      <w:r>
        <w:rPr>
          <w:rFonts w:ascii="Arial" w:cs="Arial" w:eastAsia="Arial" w:hAnsi="Arial"/>
          <w:sz w:val="18"/>
          <w:szCs w:val="18"/>
          <w:color w:val="auto"/>
        </w:rPr>
        <w:t>(ii)           </w:t>
      </w:r>
      <w:r>
        <w:rPr>
          <w:rFonts w:ascii="Arial" w:cs="Arial" w:eastAsia="Arial" w:hAnsi="Arial"/>
          <w:sz w:val="18"/>
          <w:szCs w:val="18"/>
          <w:u w:val="single" w:color="auto"/>
          <w:color w:val="auto"/>
        </w:rPr>
        <w:t>Office of Foreign Assets Control</w:t>
      </w:r>
      <w:r>
        <w:rPr>
          <w:rFonts w:ascii="Arial" w:cs="Arial" w:eastAsia="Arial" w:hAnsi="Arial"/>
          <w:sz w:val="18"/>
          <w:szCs w:val="18"/>
          <w:color w:val="auto"/>
        </w:rPr>
        <w:t>. Neither the Company nor any Subsidiary nor, to the Company's knowledge, any director, officer, agent, employee or affiliate of the Company or any Subsidiary is currently subject to any U.S. sanctions administered by the Office of Foreign Assets Control of the U.S. Treasury Department (“</w:t>
      </w:r>
      <w:r>
        <w:rPr>
          <w:rFonts w:ascii="Arial" w:cs="Arial" w:eastAsia="Arial" w:hAnsi="Arial"/>
          <w:sz w:val="18"/>
          <w:szCs w:val="18"/>
          <w:u w:val="single" w:color="auto"/>
          <w:color w:val="auto"/>
        </w:rPr>
        <w:t>OFAC</w:t>
      </w:r>
      <w:r>
        <w:rPr>
          <w:rFonts w:ascii="Arial" w:cs="Arial" w:eastAsia="Arial" w:hAnsi="Arial"/>
          <w:sz w:val="18"/>
          <w:szCs w:val="18"/>
          <w:color w:val="auto"/>
        </w:rPr>
        <w:t>”).</w:t>
      </w:r>
    </w:p>
    <w:p>
      <w:pPr>
        <w:spacing w:after="0" w:line="186" w:lineRule="exact"/>
        <w:rPr>
          <w:sz w:val="20"/>
          <w:szCs w:val="20"/>
          <w:color w:val="auto"/>
        </w:rPr>
      </w:pPr>
    </w:p>
    <w:p>
      <w:pPr>
        <w:jc w:val="both"/>
        <w:ind w:firstLine="1281"/>
        <w:spacing w:after="0" w:line="271" w:lineRule="auto"/>
        <w:rPr>
          <w:sz w:val="20"/>
          <w:szCs w:val="20"/>
          <w:color w:val="auto"/>
        </w:rPr>
      </w:pPr>
      <w:r>
        <w:rPr>
          <w:rFonts w:ascii="Arial" w:cs="Arial" w:eastAsia="Arial" w:hAnsi="Arial"/>
          <w:sz w:val="17"/>
          <w:szCs w:val="17"/>
          <w:color w:val="auto"/>
        </w:rPr>
        <w:t>(jj)           </w:t>
      </w:r>
      <w:r>
        <w:rPr>
          <w:rFonts w:ascii="Arial" w:cs="Arial" w:eastAsia="Arial" w:hAnsi="Arial"/>
          <w:sz w:val="17"/>
          <w:szCs w:val="17"/>
          <w:u w:val="single" w:color="auto"/>
          <w:color w:val="auto"/>
        </w:rPr>
        <w:t>Money Laundering</w:t>
      </w:r>
      <w:r>
        <w:rPr>
          <w:rFonts w:ascii="Arial" w:cs="Arial" w:eastAsia="Arial" w:hAnsi="Arial"/>
          <w:sz w:val="17"/>
          <w:szCs w:val="17"/>
          <w:color w:val="auto"/>
        </w:rPr>
        <w:t>. The operations of the Company and its Subsidiaries are and have been conducted at all times in compliance with applicable financial record-keeping and reporting requirements of the Currency and Foreign Transactions Reporting Act of 1970, as amended, applicable money laundering statutes and applicable rules and regulations thereunder (collectively, the “</w:t>
      </w:r>
      <w:r>
        <w:rPr>
          <w:rFonts w:ascii="Arial" w:cs="Arial" w:eastAsia="Arial" w:hAnsi="Arial"/>
          <w:sz w:val="17"/>
          <w:szCs w:val="17"/>
          <w:u w:val="single" w:color="auto"/>
          <w:color w:val="auto"/>
        </w:rPr>
        <w:t>Money Laundering Laws</w:t>
      </w:r>
      <w:r>
        <w:rPr>
          <w:rFonts w:ascii="Arial" w:cs="Arial" w:eastAsia="Arial" w:hAnsi="Arial"/>
          <w:sz w:val="17"/>
          <w:szCs w:val="17"/>
          <w:color w:val="auto"/>
        </w:rPr>
        <w:t>”), and no Action or Proceeding by or before any court or governmental agency, authority or body or any arbitrator involving the Company or any Subsidiary with respect to the Money Laundering Laws is pending or, to the knowledge of the Company or any Subsidiary, threatened in writing.</w:t>
      </w:r>
    </w:p>
    <w:p>
      <w:pPr>
        <w:spacing w:after="0" w:line="177" w:lineRule="exact"/>
        <w:rPr>
          <w:sz w:val="20"/>
          <w:szCs w:val="20"/>
          <w:color w:val="auto"/>
        </w:rPr>
      </w:pPr>
    </w:p>
    <w:p>
      <w:pPr>
        <w:jc w:val="both"/>
        <w:ind w:firstLine="640"/>
        <w:spacing w:after="0" w:line="258" w:lineRule="auto"/>
        <w:rPr>
          <w:sz w:val="20"/>
          <w:szCs w:val="20"/>
          <w:color w:val="auto"/>
        </w:rPr>
      </w:pPr>
      <w:r>
        <w:rPr>
          <w:rFonts w:ascii="Arial" w:cs="Arial" w:eastAsia="Arial" w:hAnsi="Arial"/>
          <w:sz w:val="18"/>
          <w:szCs w:val="18"/>
          <w:color w:val="auto"/>
        </w:rPr>
        <w:t>3.2            </w:t>
      </w:r>
      <w:r>
        <w:rPr>
          <w:rFonts w:ascii="Arial" w:cs="Arial" w:eastAsia="Arial" w:hAnsi="Arial"/>
          <w:sz w:val="18"/>
          <w:szCs w:val="18"/>
          <w:u w:val="single" w:color="auto"/>
          <w:color w:val="auto"/>
        </w:rPr>
        <w:t>Representations and Warranties of the Purchasers</w:t>
      </w:r>
      <w:r>
        <w:rPr>
          <w:rFonts w:ascii="Arial" w:cs="Arial" w:eastAsia="Arial" w:hAnsi="Arial"/>
          <w:sz w:val="18"/>
          <w:szCs w:val="18"/>
          <w:color w:val="auto"/>
        </w:rPr>
        <w:t>. Each Purchaser, for itself and for no other Purchaser, hereby represents and warrants as of the date hereof and as of the Closing Date to the Company as follows (unless as of a specific date therein, in which case they shall be accurate as of such date):</w:t>
      </w:r>
    </w:p>
    <w:p>
      <w:pPr>
        <w:spacing w:after="0" w:line="186" w:lineRule="exact"/>
        <w:rPr>
          <w:sz w:val="20"/>
          <w:szCs w:val="20"/>
          <w:color w:val="auto"/>
        </w:rPr>
      </w:pPr>
    </w:p>
    <w:p>
      <w:pPr>
        <w:jc w:val="both"/>
        <w:ind w:firstLine="1281"/>
        <w:spacing w:after="0" w:line="284" w:lineRule="auto"/>
        <w:rPr>
          <w:sz w:val="20"/>
          <w:szCs w:val="20"/>
          <w:color w:val="auto"/>
        </w:rPr>
      </w:pPr>
      <w:r>
        <w:rPr>
          <w:rFonts w:ascii="Arial" w:cs="Arial" w:eastAsia="Arial" w:hAnsi="Arial"/>
          <w:sz w:val="16"/>
          <w:szCs w:val="16"/>
          <w:color w:val="auto"/>
        </w:rPr>
        <w:t>(a)            </w:t>
      </w:r>
      <w:r>
        <w:rPr>
          <w:rFonts w:ascii="Arial" w:cs="Arial" w:eastAsia="Arial" w:hAnsi="Arial"/>
          <w:sz w:val="16"/>
          <w:szCs w:val="16"/>
          <w:u w:val="single" w:color="auto"/>
          <w:color w:val="auto"/>
        </w:rPr>
        <w:t>Organization; Authority</w:t>
      </w:r>
      <w:r>
        <w:rPr>
          <w:rFonts w:ascii="Arial" w:cs="Arial" w:eastAsia="Arial" w:hAnsi="Arial"/>
          <w:sz w:val="16"/>
          <w:szCs w:val="16"/>
          <w:color w:val="auto"/>
        </w:rPr>
        <w:t>. Such Purchaser is either an individual or an entity duly incorporated or formed, validly existing and in good standing under the laws of the jurisdiction of its incorporation or formation with full right, corporate, partnership, limited liability company or similar power and authority to enter into and to consummate the transactions contemplated by the Transaction Documents and otherwise to carry out its obligations hereunder and thereunder. The execution and delivery of the Transaction Documents and performance by such Purchaser of the transactions contemplated by the Transaction Documents have been duly authorized by all necessary corporate, partnership, limited liability company or similar action, as applicable, on the part of such Purchaser. Each Transaction Document to which it is a party has been duly executed by such Purchaser, and when delivered by such Purchaser in accordance with the terms hereof, will constitute the valid and legally binding obligation of such Purchaser, enforceable against it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171" w:lineRule="exact"/>
        <w:rPr>
          <w:sz w:val="20"/>
          <w:szCs w:val="20"/>
          <w:color w:val="auto"/>
        </w:rPr>
      </w:pPr>
    </w:p>
    <w:p>
      <w:pPr>
        <w:jc w:val="both"/>
        <w:ind w:firstLine="1281"/>
        <w:spacing w:after="0" w:line="252" w:lineRule="auto"/>
        <w:rPr>
          <w:sz w:val="20"/>
          <w:szCs w:val="20"/>
          <w:color w:val="auto"/>
        </w:rPr>
      </w:pPr>
      <w:r>
        <w:rPr>
          <w:rFonts w:ascii="Arial" w:cs="Arial" w:eastAsia="Arial" w:hAnsi="Arial"/>
          <w:sz w:val="18"/>
          <w:szCs w:val="18"/>
          <w:color w:val="auto"/>
        </w:rPr>
        <w:t>(b)           </w:t>
      </w:r>
      <w:r>
        <w:rPr>
          <w:rFonts w:ascii="Arial" w:cs="Arial" w:eastAsia="Arial" w:hAnsi="Arial"/>
          <w:sz w:val="18"/>
          <w:szCs w:val="18"/>
          <w:u w:val="single" w:color="auto"/>
          <w:color w:val="auto"/>
        </w:rPr>
        <w:t>Understandings or Arrangements</w:t>
      </w:r>
      <w:r>
        <w:rPr>
          <w:rFonts w:ascii="Arial" w:cs="Arial" w:eastAsia="Arial" w:hAnsi="Arial"/>
          <w:sz w:val="18"/>
          <w:szCs w:val="18"/>
          <w:color w:val="auto"/>
        </w:rPr>
        <w:t>. Such Purchaser is acquiring the Securities as principal for its own account and has no direct or indirect arrangement or understandings with any other persons to distribute or regarding the distribution of such Securities (this representation and warranty not limiting such Purchaser’s right to sell the Securities pursuant to the Registration Statement or otherwise in compliance with applicable federal and state securities laws). Such Purchaser is acquiring the Securities hereunder in the ordinary course of its business. Such Purchaser is not a resident in a province or territory of Canada and acknowledges that the Securities have not been and will not be qualified for distribution in Canada and may not be offered or sold in Canada, including to a purchaser of Pre-Settlement Shares.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47" w:name="page48"/>
    <w:bookmarkEnd w:id="47"/>
    <w:p>
      <w:pPr>
        <w:ind w:left="1280"/>
        <w:spacing w:after="0"/>
        <w:rPr>
          <w:sz w:val="20"/>
          <w:szCs w:val="20"/>
          <w:color w:val="auto"/>
        </w:rPr>
      </w:pPr>
      <w:r>
        <w:rPr>
          <w:rFonts w:ascii="Arial" w:cs="Arial" w:eastAsia="Arial" w:hAnsi="Arial"/>
          <w:sz w:val="18"/>
          <w:szCs w:val="18"/>
          <w:color w:val="auto"/>
        </w:rPr>
        <w:t>(c)           </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20" w:lineRule="exact"/>
        <w:rPr>
          <w:sz w:val="20"/>
          <w:szCs w:val="20"/>
          <w:color w:val="auto"/>
        </w:rPr>
      </w:pPr>
    </w:p>
    <w:p>
      <w:pPr>
        <w:jc w:val="both"/>
        <w:ind w:firstLine="1281"/>
        <w:spacing w:after="0" w:line="255" w:lineRule="auto"/>
        <w:rPr>
          <w:sz w:val="20"/>
          <w:szCs w:val="20"/>
          <w:color w:val="auto"/>
        </w:rPr>
      </w:pPr>
      <w:r>
        <w:rPr>
          <w:rFonts w:ascii="Arial" w:cs="Arial" w:eastAsia="Arial" w:hAnsi="Arial"/>
          <w:sz w:val="18"/>
          <w:szCs w:val="18"/>
          <w:color w:val="auto"/>
        </w:rPr>
        <w:t>(d)           </w:t>
      </w:r>
      <w:r>
        <w:rPr>
          <w:rFonts w:ascii="Arial" w:cs="Arial" w:eastAsia="Arial" w:hAnsi="Arial"/>
          <w:sz w:val="18"/>
          <w:szCs w:val="18"/>
          <w:u w:val="single" w:color="auto"/>
          <w:color w:val="auto"/>
        </w:rPr>
        <w:t>Experience of Such Purchaser</w:t>
      </w:r>
      <w:r>
        <w:rPr>
          <w:rFonts w:ascii="Arial" w:cs="Arial" w:eastAsia="Arial" w:hAnsi="Arial"/>
          <w:sz w:val="18"/>
          <w:szCs w:val="18"/>
          <w:color w:val="auto"/>
        </w:rPr>
        <w:t>. Such Purchaser, either alone or together with its representatives, has such knowledge, sophistication and experience in business and financial matters so as to be capable of evaluating the merits and risks of the prospective investment in the Securities, and has so evaluated the merits and risks of such investment. Such Purchaser is able to bear the economic risk of an investment in the Securities and, at the present time, is able to afford a complete loss of such investment.</w:t>
      </w:r>
    </w:p>
    <w:p>
      <w:pPr>
        <w:spacing w:after="0" w:line="188" w:lineRule="exact"/>
        <w:rPr>
          <w:sz w:val="20"/>
          <w:szCs w:val="20"/>
          <w:color w:val="auto"/>
        </w:rPr>
      </w:pPr>
    </w:p>
    <w:p>
      <w:pPr>
        <w:jc w:val="both"/>
        <w:ind w:firstLine="1281"/>
        <w:spacing w:after="0" w:line="289" w:lineRule="auto"/>
        <w:rPr>
          <w:sz w:val="20"/>
          <w:szCs w:val="20"/>
          <w:color w:val="auto"/>
        </w:rPr>
      </w:pPr>
      <w:r>
        <w:rPr>
          <w:rFonts w:ascii="Arial" w:cs="Arial" w:eastAsia="Arial" w:hAnsi="Arial"/>
          <w:sz w:val="16"/>
          <w:szCs w:val="16"/>
          <w:color w:val="auto"/>
        </w:rPr>
        <w:t>(e)           </w:t>
      </w:r>
      <w:r>
        <w:rPr>
          <w:rFonts w:ascii="Arial" w:cs="Arial" w:eastAsia="Arial" w:hAnsi="Arial"/>
          <w:sz w:val="16"/>
          <w:szCs w:val="16"/>
          <w:u w:val="single" w:color="auto"/>
          <w:color w:val="auto"/>
        </w:rPr>
        <w:t>Access to Information</w:t>
      </w:r>
      <w:r>
        <w:rPr>
          <w:rFonts w:ascii="Arial" w:cs="Arial" w:eastAsia="Arial" w:hAnsi="Arial"/>
          <w:sz w:val="16"/>
          <w:szCs w:val="16"/>
          <w:color w:val="auto"/>
        </w:rPr>
        <w:t>. Such Purchaser acknowledges that it has had the opportunity to review the Transaction Documents (including all exhibits and schedules thereto) and the SEC Reports and has been afforded, (i) the opportunity to ask such questions as it has deemed necessary of, and to receive answers from, representatives of the Company concerning the terms and conditions of the offering of the Securities and the merits and risks of investing in the Securities; (ii) access to information about the Company and its financial condition, results of operations, business, properties, management and prospects sufficient to enable it to evaluate its investment; and (iii) the opportunity to obtain such additional information that the Company possesses or can acquire without unreasonable effort or expense that is necessary to make an informed investment decision with respect to the investment.</w:t>
      </w:r>
    </w:p>
    <w:p>
      <w:pPr>
        <w:spacing w:after="0" w:line="165" w:lineRule="exact"/>
        <w:rPr>
          <w:sz w:val="20"/>
          <w:szCs w:val="20"/>
          <w:color w:val="auto"/>
        </w:rPr>
      </w:pPr>
    </w:p>
    <w:p>
      <w:pPr>
        <w:jc w:val="both"/>
        <w:ind w:firstLine="1281"/>
        <w:spacing w:after="0" w:line="281" w:lineRule="auto"/>
        <w:rPr>
          <w:sz w:val="20"/>
          <w:szCs w:val="20"/>
          <w:color w:val="auto"/>
        </w:rPr>
      </w:pPr>
      <w:r>
        <w:rPr>
          <w:rFonts w:ascii="Arial" w:cs="Arial" w:eastAsia="Arial" w:hAnsi="Arial"/>
          <w:sz w:val="16"/>
          <w:szCs w:val="16"/>
          <w:color w:val="auto"/>
        </w:rPr>
        <w:t>(f)            </w:t>
      </w:r>
      <w:r>
        <w:rPr>
          <w:rFonts w:ascii="Arial" w:cs="Arial" w:eastAsia="Arial" w:hAnsi="Arial"/>
          <w:sz w:val="16"/>
          <w:szCs w:val="16"/>
          <w:u w:val="single" w:color="auto"/>
          <w:color w:val="auto"/>
        </w:rPr>
        <w:t>Certain Transactions and Confidentiality</w:t>
      </w:r>
      <w:r>
        <w:rPr>
          <w:rFonts w:ascii="Arial" w:cs="Arial" w:eastAsia="Arial" w:hAnsi="Arial"/>
          <w:sz w:val="16"/>
          <w:szCs w:val="16"/>
          <w:color w:val="auto"/>
        </w:rPr>
        <w:t>. Other than consummating the transactions contemplated hereunder, such Purchaser has not, nor has any Person acting on behalf of or pursuant to any understanding with such Purchaser, directly or indirectly executed any purchases or sales, including Short Sales, of the securities of the Company during the period commencing as of the time that such Purchaser first received notice of the transaction contemplated hereunder (written or oral) from the Company or any other Person representing the Company and ending immediately prior to the execution hereof or, with respect to [_____] until the last Additional [_____] Closing and with respect to [_____] until the [_____] Closing. Notwithstanding</w:t>
      </w:r>
    </w:p>
    <w:p>
      <w:pPr>
        <w:spacing w:after="0" w:line="3"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the foregoing, in the case of a Purchaser that is a multi-managed investment vehicle whereby separate portfolio managers manage separate portions of such Purchaser’s assets and the portfolio managers have no direct knowledge of the investment decisions made by the portfolio managers managing other portions of such Purchaser’s assets, the representation set forth above shall only apply with respect to the portion of assets managed by the portfolio manager that made the investment decision to purchase the Securities covered by this Agreement. Other than to other Persons party to this Agreement or to such Purchaser’s representatives, including, without limitation, its officers, directors, partners, legal and other advisors, employees, agents and Affiliates, such Purchaser has maintained the confidentiality of all disclosures made to it in connection with this transaction (including the existence and terms of this transaction). Notwithstanding the foregoing, for the avoidance of doubt, nothing contained herein shall constitute a representation or warranty, or preclude any actions, with respect to locating or borrowing shares in order to effect Short Sales or similar transactions in the future, except with respect to [_____]</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until the last Additional [_____] Closing and with respect to [_____] until the [_____] Closing.</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48" w:name="page49"/>
    <w:bookmarkEnd w:id="48"/>
    <w:p>
      <w:pPr>
        <w:jc w:val="both"/>
        <w:ind w:firstLine="1281"/>
        <w:spacing w:after="0" w:line="285" w:lineRule="auto"/>
        <w:rPr>
          <w:sz w:val="20"/>
          <w:szCs w:val="20"/>
          <w:color w:val="auto"/>
        </w:rPr>
      </w:pPr>
      <w:r>
        <w:rPr>
          <w:rFonts w:ascii="Arial" w:cs="Arial" w:eastAsia="Arial" w:hAnsi="Arial"/>
          <w:sz w:val="16"/>
          <w:szCs w:val="16"/>
          <w:color w:val="auto"/>
        </w:rPr>
        <w:t>(g)           </w:t>
      </w:r>
      <w:r>
        <w:rPr>
          <w:rFonts w:ascii="Arial" w:cs="Arial" w:eastAsia="Arial" w:hAnsi="Arial"/>
          <w:sz w:val="16"/>
          <w:szCs w:val="16"/>
          <w:u w:val="single" w:color="auto"/>
          <w:color w:val="auto"/>
        </w:rPr>
        <w:t>Money Laundering</w:t>
      </w:r>
      <w:r>
        <w:rPr>
          <w:rFonts w:ascii="Arial" w:cs="Arial" w:eastAsia="Arial" w:hAnsi="Arial"/>
          <w:sz w:val="16"/>
          <w:szCs w:val="16"/>
          <w:color w:val="auto"/>
        </w:rPr>
        <w:t>. The funds representing such Purchaser’s Subscription Amount which will be advanced by such Purchaser to the Company hereunder will not represent proceeds of crime for the purposes of the Proceeds of Crime (Money Laundering) and Terrorist Financing Act (Canada) (the “</w:t>
      </w:r>
      <w:r>
        <w:rPr>
          <w:rFonts w:ascii="Arial" w:cs="Arial" w:eastAsia="Arial" w:hAnsi="Arial"/>
          <w:sz w:val="16"/>
          <w:szCs w:val="16"/>
          <w:u w:val="single" w:color="auto"/>
          <w:color w:val="auto"/>
        </w:rPr>
        <w:t>PCMLA</w:t>
      </w:r>
      <w:r>
        <w:rPr>
          <w:rFonts w:ascii="Arial" w:cs="Arial" w:eastAsia="Arial" w:hAnsi="Arial"/>
          <w:sz w:val="16"/>
          <w:szCs w:val="16"/>
          <w:color w:val="auto"/>
        </w:rPr>
        <w:t>”) or the equivalent laws or regulations in other jurisdictions, and such Purchaser acknowledges that the Company may in the future be required by law to disclose such Purchaser’s name and other information relating to this Agreement and such Purchaser’s subscription hereunder, on a confidential basis, pursuant to the PCMLA or other similar law or regulation. To the best of such Purchaser’s knowledge (i) none of the subscription funds to be provided by such Purchaser’s (A) have been or will be obtained or derived, directly or indirectly, from or related to any activity that is deemed criminal under the law of Canada, the United States of America, or any other jurisdiction, or (B) are being tendered on behalf of a person or entity who has not been identified to such Purchaser, and (ii) it shall promptly notify the Company if such Purchaser discovers that any of such representations ceases to be true, and to provide the Company with appropriate information in connection therewith</w:t>
      </w:r>
    </w:p>
    <w:p>
      <w:pPr>
        <w:spacing w:after="0" w:line="168" w:lineRule="exact"/>
        <w:rPr>
          <w:sz w:val="20"/>
          <w:szCs w:val="20"/>
          <w:color w:val="auto"/>
        </w:rPr>
      </w:pPr>
    </w:p>
    <w:p>
      <w:pPr>
        <w:jc w:val="both"/>
        <w:ind w:firstLine="640"/>
        <w:spacing w:after="0" w:line="269" w:lineRule="auto"/>
        <w:rPr>
          <w:sz w:val="20"/>
          <w:szCs w:val="20"/>
          <w:color w:val="auto"/>
        </w:rPr>
      </w:pPr>
      <w:r>
        <w:rPr>
          <w:rFonts w:ascii="Arial" w:cs="Arial" w:eastAsia="Arial" w:hAnsi="Arial"/>
          <w:sz w:val="17"/>
          <w:szCs w:val="17"/>
          <w:color w:val="auto"/>
        </w:rPr>
        <w:t>The Company acknowledges and agrees that the representations contained in this Section 3.2 shall not modify, amend or affect such Purchaser’s right to rely on the Company’s representations and warranties contained in this Agreement or any representations and warranties contained in any other Transaction Document or any other document or instrument executed and/or delivered in connection with this Agreement or the consummation of the transactions contemplated hereby. Notwithstanding the foregoing, for the avoidance of doubt, nothing contained herein shall constitute a representation or warranty, or preclude any actions, with respect to locating or borrowing shares in order to effect Short Sales or similar transactions in the future, except with respect to [_____] until the last Additional [_____] Closing and with respect to [_____] until the [_____] Closing.</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OTHER AGREEMENTS OF THE PARTIES</w:t>
      </w:r>
    </w:p>
    <w:p>
      <w:pPr>
        <w:spacing w:after="0" w:line="207" w:lineRule="exact"/>
        <w:rPr>
          <w:sz w:val="20"/>
          <w:szCs w:val="20"/>
          <w:color w:val="auto"/>
        </w:rPr>
      </w:pPr>
    </w:p>
    <w:p>
      <w:pPr>
        <w:jc w:val="both"/>
        <w:ind w:firstLine="640"/>
        <w:spacing w:after="0" w:line="285" w:lineRule="auto"/>
        <w:rPr>
          <w:sz w:val="20"/>
          <w:szCs w:val="20"/>
          <w:color w:val="auto"/>
        </w:rPr>
      </w:pPr>
      <w:r>
        <w:rPr>
          <w:rFonts w:ascii="Arial" w:cs="Arial" w:eastAsia="Arial" w:hAnsi="Arial"/>
          <w:sz w:val="16"/>
          <w:szCs w:val="16"/>
          <w:color w:val="auto"/>
        </w:rPr>
        <w:t>4.1            </w:t>
      </w:r>
      <w:r>
        <w:rPr>
          <w:rFonts w:ascii="Arial" w:cs="Arial" w:eastAsia="Arial" w:hAnsi="Arial"/>
          <w:sz w:val="16"/>
          <w:szCs w:val="16"/>
          <w:u w:val="single" w:color="auto"/>
          <w:color w:val="auto"/>
        </w:rPr>
        <w:t>Warrant Shares</w:t>
      </w:r>
      <w:r>
        <w:rPr>
          <w:rFonts w:ascii="Arial" w:cs="Arial" w:eastAsia="Arial" w:hAnsi="Arial"/>
          <w:sz w:val="16"/>
          <w:szCs w:val="16"/>
          <w:color w:val="auto"/>
        </w:rPr>
        <w:t>. If all or any portion of a Warrant is exercised at a time when there is an effective registration statement to cover the issuance or resale of the Warrant Shares or if the Warrant is exercised via cashless exercise, if applicable, the Warrant Shares issued pursuant to any such exercise shall be issued free of all legends. If at any time following the date hereof the Registration Statement (or any subsequent registration statement registering the sale or resale of the Warrant Shares) is not effective or is not otherwise available for the sale or resale of the Warrant Shares, the Company shall immediately notify the holders of the Warrants in writing that such registration statement is not then effective and thereafter shall promptly notify such holders when the registration statement is effective again and available for the sale or resale of the Warrant Shares (it being understood and agreed that the foregoing shall not limit the ability of the Company to issue, or any Purchaser to sell, any of the Warrant Shares in compliance with applicable federal and state securities laws). The Company shall use reasonable best efforts to keep a registration statement (including the Registration Statement) registering the issuance or resale of the Warrant Shares effective during the term of the Warrants.</w:t>
      </w:r>
    </w:p>
    <w:p>
      <w:pPr>
        <w:spacing w:after="0" w:line="168" w:lineRule="exact"/>
        <w:rPr>
          <w:sz w:val="20"/>
          <w:szCs w:val="20"/>
          <w:color w:val="auto"/>
        </w:rPr>
      </w:pPr>
    </w:p>
    <w:p>
      <w:pPr>
        <w:jc w:val="both"/>
        <w:ind w:firstLine="640"/>
        <w:spacing w:after="0" w:line="255" w:lineRule="auto"/>
        <w:rPr>
          <w:sz w:val="20"/>
          <w:szCs w:val="20"/>
          <w:color w:val="auto"/>
        </w:rPr>
      </w:pPr>
      <w:r>
        <w:rPr>
          <w:rFonts w:ascii="Arial" w:cs="Arial" w:eastAsia="Arial" w:hAnsi="Arial"/>
          <w:sz w:val="18"/>
          <w:szCs w:val="18"/>
          <w:color w:val="auto"/>
        </w:rPr>
        <w:t>4.2            </w:t>
      </w:r>
      <w:r>
        <w:rPr>
          <w:rFonts w:ascii="Arial" w:cs="Arial" w:eastAsia="Arial" w:hAnsi="Arial"/>
          <w:sz w:val="18"/>
          <w:szCs w:val="18"/>
          <w:u w:val="single" w:color="auto"/>
          <w:color w:val="auto"/>
        </w:rPr>
        <w:t>Furnishing of Information</w:t>
      </w:r>
      <w:r>
        <w:rPr>
          <w:rFonts w:ascii="Arial" w:cs="Arial" w:eastAsia="Arial" w:hAnsi="Arial"/>
          <w:sz w:val="18"/>
          <w:szCs w:val="18"/>
          <w:color w:val="auto"/>
        </w:rPr>
        <w:t>. Until the earliest of the time that (i) no Purchaser owns Securities or (ii) the Warrants have expired, the Company covenants to use reasonable best efforts to timely file (or obtain extensions in respect thereof and file within the applicable grace period) all reports required to be filed by the Company after the date hereof pursuant to the Exchange Act, provided that the Company is then subject to the reporting requirements of the Exchange Act.</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49" w:name="page50"/>
    <w:bookmarkEnd w:id="49"/>
    <w:p>
      <w:pPr>
        <w:jc w:val="both"/>
        <w:ind w:firstLine="640"/>
        <w:spacing w:after="0" w:line="255" w:lineRule="auto"/>
        <w:rPr>
          <w:sz w:val="20"/>
          <w:szCs w:val="20"/>
          <w:color w:val="auto"/>
        </w:rPr>
      </w:pPr>
      <w:r>
        <w:rPr>
          <w:rFonts w:ascii="Arial" w:cs="Arial" w:eastAsia="Arial" w:hAnsi="Arial"/>
          <w:sz w:val="18"/>
          <w:szCs w:val="18"/>
          <w:color w:val="auto"/>
        </w:rPr>
        <w:t>4.3            </w:t>
      </w:r>
      <w:r>
        <w:rPr>
          <w:rFonts w:ascii="Arial" w:cs="Arial" w:eastAsia="Arial" w:hAnsi="Arial"/>
          <w:sz w:val="18"/>
          <w:szCs w:val="18"/>
          <w:u w:val="single" w:color="auto"/>
          <w:color w:val="auto"/>
        </w:rPr>
        <w:t>Integration</w:t>
      </w:r>
      <w:r>
        <w:rPr>
          <w:rFonts w:ascii="Arial" w:cs="Arial" w:eastAsia="Arial" w:hAnsi="Arial"/>
          <w:sz w:val="18"/>
          <w:szCs w:val="18"/>
          <w:color w:val="auto"/>
        </w:rPr>
        <w:t>. The Company shall not sell, offer for sale or solicit offers to buy or otherwise negotiate in respect of any security (as defined in Section 2 of the Securities Act) that would be integrated with the offer or sale of the Securities for purposes of the rules and regulations of any Trading Market such that it would require shareholder approval prior to the closing of such other transaction unless shareholder approval is obtained before the closing of such subsequent transaction.</w:t>
      </w:r>
    </w:p>
    <w:p>
      <w:pPr>
        <w:spacing w:after="0" w:line="188" w:lineRule="exact"/>
        <w:rPr>
          <w:sz w:val="20"/>
          <w:szCs w:val="20"/>
          <w:color w:val="auto"/>
        </w:rPr>
      </w:pPr>
    </w:p>
    <w:p>
      <w:pPr>
        <w:jc w:val="both"/>
        <w:ind w:firstLine="640"/>
        <w:spacing w:after="0" w:line="283" w:lineRule="auto"/>
        <w:rPr>
          <w:sz w:val="20"/>
          <w:szCs w:val="20"/>
          <w:color w:val="auto"/>
        </w:rPr>
      </w:pPr>
      <w:r>
        <w:rPr>
          <w:rFonts w:ascii="Arial" w:cs="Arial" w:eastAsia="Arial" w:hAnsi="Arial"/>
          <w:sz w:val="16"/>
          <w:szCs w:val="16"/>
          <w:color w:val="auto"/>
        </w:rPr>
        <w:t>4.4            </w:t>
      </w:r>
      <w:r>
        <w:rPr>
          <w:rFonts w:ascii="Arial" w:cs="Arial" w:eastAsia="Arial" w:hAnsi="Arial"/>
          <w:sz w:val="16"/>
          <w:szCs w:val="16"/>
          <w:u w:val="single" w:color="auto"/>
          <w:color w:val="auto"/>
        </w:rPr>
        <w:t>Securities Laws Disclosure; Publicity</w:t>
      </w:r>
      <w:r>
        <w:rPr>
          <w:rFonts w:ascii="Arial" w:cs="Arial" w:eastAsia="Arial" w:hAnsi="Arial"/>
          <w:sz w:val="16"/>
          <w:szCs w:val="16"/>
          <w:color w:val="auto"/>
        </w:rPr>
        <w:t>. The Company shall file a Current Report on Form 8-K, including the Transaction Documents as exhibits thereto, with the Commission within the time required by the Exchange Act. From and after the issuance of such press release and the dissemination of the information set forth on Schedule A hereto, the Company represents to the Purchasers that it shall have publicly disclosed all material, non-public information delivered to any of the Purchasers by the Company or any of its Subsidiaries, or any of their respective officers, directors, employees or agents in connection with the transactions contemplated by the Transaction Documents. In addition, effective upon the issuance of such press release, the Company acknowledges and agrees that any and all confidentiality or similar obligations under any agreement, whether written or oral, between the Company, any of its Subsidiaries or any of their respective officers, directors, agents, employees or Affiliates on the one hand, and any of the Purchasers or any of their Affiliates on the other hand, shall terminate. Notwithstanding the foregoing, the Company shall not publicly disclose the name of any Purchaser, or include the name of any Purchaser in any filing with the Commission or any regulatory agency or Trading Market, without the prior written consent of such Purchaser, except (a) as required by federal securities law in connection with the filing of final Transaction Documents with the Commission and (b) to the extent such disclosure is required by law or Trading Market regulations, in which case the Company shall, to the extent permitted by law, provide the Purchasers with prior notice of such disclosure permitted under this clause (b).</w:t>
      </w:r>
    </w:p>
    <w:p>
      <w:pPr>
        <w:spacing w:after="0" w:line="172" w:lineRule="exact"/>
        <w:rPr>
          <w:sz w:val="20"/>
          <w:szCs w:val="20"/>
          <w:color w:val="auto"/>
        </w:rPr>
      </w:pPr>
    </w:p>
    <w:p>
      <w:pPr>
        <w:jc w:val="both"/>
        <w:ind w:firstLine="640"/>
        <w:spacing w:after="0" w:line="253" w:lineRule="auto"/>
        <w:rPr>
          <w:sz w:val="20"/>
          <w:szCs w:val="20"/>
          <w:color w:val="auto"/>
        </w:rPr>
      </w:pPr>
      <w:r>
        <w:rPr>
          <w:rFonts w:ascii="Arial" w:cs="Arial" w:eastAsia="Arial" w:hAnsi="Arial"/>
          <w:sz w:val="18"/>
          <w:szCs w:val="18"/>
          <w:color w:val="auto"/>
        </w:rPr>
        <w:t>4.5            </w:t>
      </w:r>
      <w:r>
        <w:rPr>
          <w:rFonts w:ascii="Arial" w:cs="Arial" w:eastAsia="Arial" w:hAnsi="Arial"/>
          <w:sz w:val="18"/>
          <w:szCs w:val="18"/>
          <w:u w:val="single" w:color="auto"/>
          <w:color w:val="auto"/>
        </w:rPr>
        <w:t>Shareholder Rights Plan</w:t>
      </w:r>
      <w:r>
        <w:rPr>
          <w:rFonts w:ascii="Arial" w:cs="Arial" w:eastAsia="Arial" w:hAnsi="Arial"/>
          <w:sz w:val="18"/>
          <w:szCs w:val="18"/>
          <w:color w:val="auto"/>
        </w:rPr>
        <w:t>. No claim will be made or enforced by the Company or, with the consent of the Company, any other Person, that any Purchaser is an “Acquiring Person” under any control share acquisition, business combination, poison pill (including any distribution under a rights agreement) or similar anti-takeover plan or arrangement in effect or hereafter adopted by the Company, or that any Purchaser could be deemed to trigger the provisions of any such plan or arrangement, by virtue of receiving Securities under the Transaction Documents or under any other agreement between the Company and the Purchasers.</w:t>
      </w:r>
    </w:p>
    <w:p>
      <w:pPr>
        <w:spacing w:after="0" w:line="190" w:lineRule="exact"/>
        <w:rPr>
          <w:sz w:val="20"/>
          <w:szCs w:val="20"/>
          <w:color w:val="auto"/>
        </w:rPr>
      </w:pPr>
    </w:p>
    <w:p>
      <w:pPr>
        <w:jc w:val="both"/>
        <w:ind w:firstLine="640"/>
        <w:spacing w:after="0" w:line="282" w:lineRule="auto"/>
        <w:rPr>
          <w:sz w:val="20"/>
          <w:szCs w:val="20"/>
          <w:color w:val="auto"/>
        </w:rPr>
      </w:pPr>
      <w:r>
        <w:rPr>
          <w:rFonts w:ascii="Arial" w:cs="Arial" w:eastAsia="Arial" w:hAnsi="Arial"/>
          <w:sz w:val="16"/>
          <w:szCs w:val="16"/>
          <w:color w:val="auto"/>
        </w:rPr>
        <w:t>4.6            </w:t>
      </w:r>
      <w:r>
        <w:rPr>
          <w:rFonts w:ascii="Arial" w:cs="Arial" w:eastAsia="Arial" w:hAnsi="Arial"/>
          <w:sz w:val="16"/>
          <w:szCs w:val="16"/>
          <w:u w:val="single" w:color="auto"/>
          <w:color w:val="auto"/>
        </w:rPr>
        <w:t>Non-Public Information</w:t>
      </w:r>
      <w:r>
        <w:rPr>
          <w:rFonts w:ascii="Arial" w:cs="Arial" w:eastAsia="Arial" w:hAnsi="Arial"/>
          <w:sz w:val="16"/>
          <w:szCs w:val="16"/>
          <w:color w:val="auto"/>
        </w:rPr>
        <w:t>. Except with respect to the material terms and conditions of the transactions contemplated by the Transaction Documents, which shall be disclosed pursuant to Section 4.4, the Company covenants and agrees that neither it, nor any other Person acting on its behalf will provide any Purchaser or its agents or counsel with any information that constitutes, or the Company reasonably believes constitutes, material non-public information, unless prior thereto such Purchaser shall have consented to the receipt of such information and agreed with the Company to keep such information confidential. The Company understands and confirms that each Purchaser shall be relying on the foregoing covenant in effecting transactions in securities of the Company. To the extent that the Company, any of its Subsidiaries, or any of their respective officers, directors, agents, employees or Affiliates, in any case acting on behalf of the Company or any of its Subsidiaries, delivers any material, non-public information to a Purchaser without such Purchaser’s consent, the Company hereby covenants and agrees that such Purchaser shall not have any duty of confidentiality to the Company, any of its Subsidiaries, or any of their respective officers, directors, agents, employees or Affiliates, or a duty to the Company, any of its Subsidiaries or any of their respective officers, directors, agents, employees or Affiliates not to trade on the basis of, such material, non-public information, provided that the Purchaser shall remain subject to applicable law. Unless otherwise agreed to by the applicable parties, to the extent that any notice provided pursuant to any Transaction Document constitutes, or contains, material, non-public information regarding the Company or any Subsidiaries, the Company shall simultaneously file such material, non-public information with the Commission pursuant to a Current Report on Form 8-K. The Company understands and confirms that each Purchaser shall be relying on the foregoing covenant in effecting transactions in securities of the Company.</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50" w:name="page51"/>
    <w:bookmarkEnd w:id="50"/>
    <w:p>
      <w:pPr>
        <w:jc w:val="both"/>
        <w:ind w:firstLine="640"/>
        <w:spacing w:after="0" w:line="270" w:lineRule="auto"/>
        <w:rPr>
          <w:sz w:val="20"/>
          <w:szCs w:val="20"/>
          <w:color w:val="auto"/>
        </w:rPr>
      </w:pPr>
      <w:r>
        <w:rPr>
          <w:rFonts w:ascii="Arial" w:cs="Arial" w:eastAsia="Arial" w:hAnsi="Arial"/>
          <w:sz w:val="18"/>
          <w:szCs w:val="18"/>
          <w:color w:val="auto"/>
        </w:rPr>
        <w:t>4.7            </w:t>
      </w:r>
      <w:r>
        <w:rPr>
          <w:rFonts w:ascii="Arial" w:cs="Arial" w:eastAsia="Arial" w:hAnsi="Arial"/>
          <w:sz w:val="18"/>
          <w:szCs w:val="18"/>
          <w:u w:val="single" w:color="auto"/>
          <w:color w:val="auto"/>
        </w:rPr>
        <w:t>Use of Proceeds</w:t>
      </w:r>
      <w:r>
        <w:rPr>
          <w:rFonts w:ascii="Arial" w:cs="Arial" w:eastAsia="Arial" w:hAnsi="Arial"/>
          <w:sz w:val="18"/>
          <w:szCs w:val="18"/>
          <w:color w:val="auto"/>
        </w:rPr>
        <w:t>. The Company intends to use the net proceeds from the sale of the Securities hereunder for working capital, and other general corporate purposes.</w:t>
      </w:r>
    </w:p>
    <w:p>
      <w:pPr>
        <w:spacing w:after="0" w:line="175" w:lineRule="exact"/>
        <w:rPr>
          <w:sz w:val="20"/>
          <w:szCs w:val="20"/>
          <w:color w:val="auto"/>
        </w:rPr>
      </w:pPr>
    </w:p>
    <w:p>
      <w:pPr>
        <w:jc w:val="both"/>
        <w:ind w:firstLine="640"/>
        <w:spacing w:after="0" w:line="280" w:lineRule="auto"/>
        <w:rPr>
          <w:sz w:val="20"/>
          <w:szCs w:val="20"/>
          <w:color w:val="auto"/>
        </w:rPr>
      </w:pPr>
      <w:r>
        <w:rPr>
          <w:rFonts w:ascii="Arial" w:cs="Arial" w:eastAsia="Arial" w:hAnsi="Arial"/>
          <w:sz w:val="16"/>
          <w:szCs w:val="16"/>
          <w:color w:val="auto"/>
        </w:rPr>
        <w:t>4.8            </w:t>
      </w:r>
      <w:r>
        <w:rPr>
          <w:rFonts w:ascii="Arial" w:cs="Arial" w:eastAsia="Arial" w:hAnsi="Arial"/>
          <w:sz w:val="16"/>
          <w:szCs w:val="16"/>
          <w:u w:val="single" w:color="auto"/>
          <w:color w:val="auto"/>
        </w:rPr>
        <w:t>Indemnification of Purchasers</w:t>
      </w:r>
      <w:r>
        <w:rPr>
          <w:rFonts w:ascii="Arial" w:cs="Arial" w:eastAsia="Arial" w:hAnsi="Arial"/>
          <w:sz w:val="16"/>
          <w:szCs w:val="16"/>
          <w:color w:val="auto"/>
        </w:rPr>
        <w:t>. Subject to the provisions of this Section 4.8, the Company will indemnify and hold each Purchaser and its directors, officers, shareholders, members, partners, employees and agents (and any other Persons with a functionally equivalent role of a Person holding such titles notwithstanding a lack of such title or any other title), each Person who controls such Purchaser (within the meaning of Section 15 of the Securities Act and Section 20 of the Exchange Act), and the directors, officers, shareholders, agents, members, partners or employees (and any other Persons with a functionally equivalent role of a Person holding such titles notwithstanding a lack of such title or any other title) of such controlling persons (each, a “Purchaser Party”) harmless from any and all losses, liabilities, obligations, claims, contingencies, damages, costs and expenses, including all judgments, amounts paid in settlements, court costs and reasonable attorneys’ fees and costs of investigation that any such Purchaser Party may suffer or incur as a result of or relating to (a) any breach of any of the representations, warranties, covenants or agreements made by the Company in this Agreement or in the other Transaction Documents or (b) any action instituted against the Purchaser Parties in any capacity, or any of them or their respective Affiliates, by any stockholder of the Company who is not an Affiliate of such Purchaser Party, with respect to any of the transactions contemplated by the Transaction Documents (unless such action is solely based upon a material breach of such Purchaser Party’s representations, warranties or covenants under the Transaction Documents or any agreements or understandings such Purchaser Party may have with any such stockholder or any violations by such Purchaser Party of state or federal securities laws or any conduct by such Purchaser Party which is finally judicially determined to constitute fraud, gross negligence or willful misconduct). If any action shall be brought against any Purchaser Party in respect of which indemnity may be sought pursuant to this Agreement, such Purchaser Party shall promptly notify the Company in writing, and the Company shall have the right to assume the defense thereof with counsel of its own choosing reasonably acceptable to the Purchaser Party. Any Purchaser Party shall have the right to employ separate counsel in any such action and participate in the defense thereof, but the fees and expenses of such counsel shall be at the expense of such Purchaser Party except to the extent that (i) the employment thereof has been specifically authorized by the Company in writing, (ii) the Company has failed after a reasonable period of time to assume such defense and to employ counsel or (iii) in such action there is, in the reasonable opinion of counsel, a material conflict on any material issue between the position of the Company and the position of such Purchaser Party, in which case the Company shall be responsible for the reasonable fees and expenses of no more than one such separate counsel. The Company will not be liable to any Purchaser Party under this Agreement (y) for any settlement by a Purchaser Party effected without the Company’s prior written consent, which shall not be unreasonably withheld or delayed; or (z) to the extent, but only to the extent that a loss, claim, damage or liability is attributable to any Purchaser Party’s breach of any of the representations, warranties, covenants or agreements made by such Purchaser Party in this Agreement or in the other Transaction Documents. The indemnity agreements contained herein shall be in addition to any cause of action or similar right of any Purchaser Party against the Company or others and any liabilities the Company may be subject to pursuant to law.</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51" w:name="page52"/>
    <w:bookmarkEnd w:id="51"/>
    <w:p>
      <w:pPr>
        <w:jc w:val="both"/>
        <w:ind w:firstLine="640"/>
        <w:spacing w:after="0" w:line="258" w:lineRule="auto"/>
        <w:rPr>
          <w:sz w:val="20"/>
          <w:szCs w:val="20"/>
          <w:color w:val="auto"/>
        </w:rPr>
      </w:pPr>
      <w:r>
        <w:rPr>
          <w:rFonts w:ascii="Arial" w:cs="Arial" w:eastAsia="Arial" w:hAnsi="Arial"/>
          <w:sz w:val="18"/>
          <w:szCs w:val="18"/>
          <w:color w:val="auto"/>
        </w:rPr>
        <w:t>4.9            </w:t>
      </w:r>
      <w:r>
        <w:rPr>
          <w:rFonts w:ascii="Arial" w:cs="Arial" w:eastAsia="Arial" w:hAnsi="Arial"/>
          <w:sz w:val="18"/>
          <w:szCs w:val="18"/>
          <w:u w:val="single" w:color="auto"/>
          <w:color w:val="auto"/>
        </w:rPr>
        <w:t>Reservation of Common Shares</w:t>
      </w:r>
      <w:r>
        <w:rPr>
          <w:rFonts w:ascii="Arial" w:cs="Arial" w:eastAsia="Arial" w:hAnsi="Arial"/>
          <w:sz w:val="18"/>
          <w:szCs w:val="18"/>
          <w:color w:val="auto"/>
        </w:rPr>
        <w:t>. As of the date hereof, the Company has reserved and the Company shall continue to reserve and keep available at all times, free of preemptive rights, a sufficient number of Common Shares for the purpose of enabling the Company to issue Shares pursuant to this Agreement and Warrant Shares pursuant to any exercise of the Warrants.</w:t>
      </w:r>
    </w:p>
    <w:p>
      <w:pPr>
        <w:spacing w:after="0" w:line="186" w:lineRule="exact"/>
        <w:rPr>
          <w:sz w:val="20"/>
          <w:szCs w:val="20"/>
          <w:color w:val="auto"/>
        </w:rPr>
      </w:pPr>
    </w:p>
    <w:p>
      <w:pPr>
        <w:jc w:val="both"/>
        <w:ind w:firstLine="640"/>
        <w:spacing w:after="0" w:line="284" w:lineRule="auto"/>
        <w:rPr>
          <w:sz w:val="20"/>
          <w:szCs w:val="20"/>
          <w:color w:val="auto"/>
        </w:rPr>
      </w:pPr>
      <w:r>
        <w:rPr>
          <w:rFonts w:ascii="Arial" w:cs="Arial" w:eastAsia="Arial" w:hAnsi="Arial"/>
          <w:sz w:val="16"/>
          <w:szCs w:val="16"/>
          <w:color w:val="auto"/>
        </w:rPr>
        <w:t>4.10          </w:t>
      </w:r>
      <w:r>
        <w:rPr>
          <w:rFonts w:ascii="Arial" w:cs="Arial" w:eastAsia="Arial" w:hAnsi="Arial"/>
          <w:sz w:val="16"/>
          <w:szCs w:val="16"/>
          <w:u w:val="single" w:color="auto"/>
          <w:color w:val="auto"/>
        </w:rPr>
        <w:t>Listing of Common Shares</w:t>
      </w:r>
      <w:r>
        <w:rPr>
          <w:rFonts w:ascii="Arial" w:cs="Arial" w:eastAsia="Arial" w:hAnsi="Arial"/>
          <w:sz w:val="16"/>
          <w:szCs w:val="16"/>
          <w:color w:val="auto"/>
        </w:rPr>
        <w:t>. The Company hereby agrees to use commercially reasonable efforts to maintain the listing or quotation of the Common Shares on the Trading Market on which they are currently listed, and concurrently with the Closing, the Company shall apply to list or quote all of the Shares and Warrant Shares on such Trading Market and promptly secure the listing of all of the Shares and Warrant Shares on such Trading Market. The Company further agrees, if the Company applies to have the Common Shares traded on any other Trading Market, it will then include in such application all of the Shares and Warrant Shares, and will take such other action as is reasonably necessary to cause all of the Shares and Warrant Shares to be listed or quoted on such other Trading Market as promptly as possible. The Company will then take all action reasonably necessary to continue the listing and trading of its Common Shares on a Trading Market and will comply in all respects with the Company’s reporting, filing and other obligations of which it has control under its articles or rules of the Trading Market. The Company agrees to maintain the eligibility of the Common Shares for electronic transfer through the Depository Trust Company or another established clearing corporation, including, without limitation, by timely payment of fees to the Depository Trust Company or such other established clearing corporation in connection with such electronic transfer.</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4.11          </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20" w:lineRule="exact"/>
        <w:rPr>
          <w:sz w:val="20"/>
          <w:szCs w:val="20"/>
          <w:color w:val="auto"/>
        </w:rPr>
      </w:pPr>
    </w:p>
    <w:p>
      <w:pPr>
        <w:jc w:val="both"/>
        <w:ind w:firstLine="640"/>
        <w:spacing w:after="0" w:line="292" w:lineRule="auto"/>
        <w:rPr>
          <w:sz w:val="20"/>
          <w:szCs w:val="20"/>
          <w:color w:val="auto"/>
        </w:rPr>
      </w:pPr>
      <w:r>
        <w:rPr>
          <w:rFonts w:ascii="Arial" w:cs="Arial" w:eastAsia="Arial" w:hAnsi="Arial"/>
          <w:sz w:val="16"/>
          <w:szCs w:val="16"/>
          <w:color w:val="auto"/>
        </w:rPr>
        <w:t>4.12          </w:t>
      </w:r>
      <w:r>
        <w:rPr>
          <w:rFonts w:ascii="Arial" w:cs="Arial" w:eastAsia="Arial" w:hAnsi="Arial"/>
          <w:sz w:val="16"/>
          <w:szCs w:val="16"/>
          <w:u w:val="single" w:color="auto"/>
          <w:color w:val="auto"/>
        </w:rPr>
        <w:t>Equal Treatment of Purchasers</w:t>
      </w:r>
      <w:r>
        <w:rPr>
          <w:rFonts w:ascii="Arial" w:cs="Arial" w:eastAsia="Arial" w:hAnsi="Arial"/>
          <w:sz w:val="16"/>
          <w:szCs w:val="16"/>
          <w:color w:val="auto"/>
        </w:rPr>
        <w:t>. No consideration (including any modification of any Transaction Document) shall be offered or paid to any Person to amend or consent to a waiver or modification of any provision of the Transaction Documents unless the same consideration is also offered to all of the parties to such Transaction Document. For clarification purposes, this provision constitutes a separate right granted to each Purchaser by the Company and negotiated separately by each Purchaser, and is intended for the Company to treat the Purchasers as a class and shall not in any way be construed as the Purchasers acting in concert or as a group with respect to the purchase, disposition or voting of Securities or otherwise.</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52" w:name="page53"/>
    <w:bookmarkEnd w:id="52"/>
    <w:p>
      <w:pPr>
        <w:jc w:val="both"/>
        <w:ind w:firstLine="640"/>
        <w:spacing w:after="0" w:line="281" w:lineRule="auto"/>
        <w:rPr>
          <w:sz w:val="20"/>
          <w:szCs w:val="20"/>
          <w:color w:val="auto"/>
        </w:rPr>
      </w:pPr>
      <w:r>
        <w:rPr>
          <w:rFonts w:ascii="Arial" w:cs="Arial" w:eastAsia="Arial" w:hAnsi="Arial"/>
          <w:sz w:val="16"/>
          <w:szCs w:val="16"/>
          <w:color w:val="auto"/>
        </w:rPr>
        <w:t>4.13          </w:t>
      </w:r>
      <w:r>
        <w:rPr>
          <w:rFonts w:ascii="Arial" w:cs="Arial" w:eastAsia="Arial" w:hAnsi="Arial"/>
          <w:sz w:val="16"/>
          <w:szCs w:val="16"/>
          <w:u w:val="single" w:color="auto"/>
          <w:color w:val="auto"/>
        </w:rPr>
        <w:t>Certain Transactions and Confidentiality</w:t>
      </w:r>
      <w:r>
        <w:rPr>
          <w:rFonts w:ascii="Arial" w:cs="Arial" w:eastAsia="Arial" w:hAnsi="Arial"/>
          <w:sz w:val="16"/>
          <w:szCs w:val="16"/>
          <w:color w:val="auto"/>
        </w:rPr>
        <w:t>. Each Purchaser, severally and not jointly with the other Purchasers, covenants that neither it nor any Affiliate acting on its behalf or pursuant to any understanding with it will execute any purchases or sales, including Short Sales of any of the Company’s securities (other than the Shares purchased hereunder) during the period commencing with the execution of this Agreement and ending at such time that the transactions contemplated by this Agreement are first publicly announced pursuant to the initial press release as described in Section 4.4 or, with respect to [_____] until the last Additional [_____] Closing and with respect to [_____] until the [_____] Closing. Each Purchaser, severally and not jointly with the</w:t>
      </w:r>
    </w:p>
    <w:p>
      <w:pPr>
        <w:spacing w:after="0" w:line="3"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other Purchasers, covenants that until such time as the transactions contemplated by this Agreement are publicly disclosed by the Company pursuant to the initial press release as described in Section 4.4, such Purchaser will maintain the confidentiality of the existence and terms of this transaction. Notwithstanding the foregoing, and notwithstanding anything contained in this Agreement to the contrary, the Company expressly acknowledges and agrees that (i) no Purchaser makes any representation, warranty or covenant hereby that it will not engage in effecting transactions in any securities of the Company after the time that the transactions contemplated by this Agreement are first publicly announced pursuant to the initial press release as described in Section 4.4, (ii) no Purchaser shall be restricted or prohibited from effecting any transactions in any securities of the Company in accordance with applicable securities laws from and after the time that the transactions contemplated by this Agreement are first publicly announced pursuant to the initial press release as described in Section 4.4 and (iii) no Purchaser shall have any duty of confidentiality or duty not to trade in the securities of the Company to the Company or its Subsidiaries after the issuance of the initial press release as described in Section 4.4. Notwithstanding the foregoing, in the case of a Purchaser that is a multi-managed investment vehicle whereby separate portfolio managers manage separate portions of such Purchaser’s assets and the portfolio managers have no direct knowledge of the investment decisions made by the portfolio managers managing other portions of such Purchaser’s assets, the covenant set forth above shall only apply with respect to the portion of assets managed by the portfolio manager that made the investment decision to purchase the Securities covered by this Agreement.</w:t>
      </w:r>
    </w:p>
    <w:p>
      <w:pPr>
        <w:spacing w:after="0" w:line="175" w:lineRule="exact"/>
        <w:rPr>
          <w:sz w:val="20"/>
          <w:szCs w:val="20"/>
          <w:color w:val="auto"/>
        </w:rPr>
      </w:pPr>
    </w:p>
    <w:p>
      <w:pPr>
        <w:jc w:val="both"/>
        <w:ind w:firstLine="640"/>
        <w:spacing w:after="0" w:line="292" w:lineRule="auto"/>
        <w:rPr>
          <w:sz w:val="20"/>
          <w:szCs w:val="20"/>
          <w:color w:val="auto"/>
        </w:rPr>
      </w:pPr>
      <w:r>
        <w:rPr>
          <w:rFonts w:ascii="Arial" w:cs="Arial" w:eastAsia="Arial" w:hAnsi="Arial"/>
          <w:sz w:val="16"/>
          <w:szCs w:val="16"/>
          <w:color w:val="auto"/>
        </w:rPr>
        <w:t>4.14          </w:t>
      </w:r>
      <w:r>
        <w:rPr>
          <w:rFonts w:ascii="Arial" w:cs="Arial" w:eastAsia="Arial" w:hAnsi="Arial"/>
          <w:sz w:val="16"/>
          <w:szCs w:val="16"/>
          <w:u w:val="single" w:color="auto"/>
          <w:color w:val="auto"/>
        </w:rPr>
        <w:t>Exercise Procedures</w:t>
      </w:r>
      <w:r>
        <w:rPr>
          <w:rFonts w:ascii="Arial" w:cs="Arial" w:eastAsia="Arial" w:hAnsi="Arial"/>
          <w:sz w:val="16"/>
          <w:szCs w:val="16"/>
          <w:color w:val="auto"/>
        </w:rPr>
        <w:t>. The form of Notice of Exercise included in the Warrants set forth the totality of the procedures required of the Purchasers in order to exercise the Warrants. No additional legal opinion, other information or instructions shall be required of the Purchasers to exercise their Warrants. Without limiting the preceding sentences, no ink-original Notice of Exercise shall be required, nor shall any medallion guarantee (or other type of guarantee or notarization) of any Notice of Exercise form be required in order to exercise the Warrants. The Company shall honor exercises of the Warrants and shall deliver Warrant Shares in accordance with the terms, conditions and time periods set forth in the Transaction Documents.</w:t>
      </w:r>
    </w:p>
    <w:p>
      <w:pPr>
        <w:spacing w:after="0" w:line="162" w:lineRule="exact"/>
        <w:rPr>
          <w:sz w:val="20"/>
          <w:szCs w:val="20"/>
          <w:color w:val="auto"/>
        </w:rPr>
      </w:pPr>
    </w:p>
    <w:p>
      <w:pPr>
        <w:jc w:val="both"/>
        <w:ind w:firstLine="640"/>
        <w:spacing w:after="0" w:line="284" w:lineRule="auto"/>
        <w:rPr>
          <w:sz w:val="20"/>
          <w:szCs w:val="20"/>
          <w:color w:val="auto"/>
        </w:rPr>
      </w:pPr>
      <w:r>
        <w:rPr>
          <w:rFonts w:ascii="Arial" w:cs="Arial" w:eastAsia="Arial" w:hAnsi="Arial"/>
          <w:sz w:val="16"/>
          <w:szCs w:val="16"/>
          <w:color w:val="auto"/>
        </w:rPr>
        <w:t>4.15          </w:t>
      </w:r>
      <w:r>
        <w:rPr>
          <w:rFonts w:ascii="Arial" w:cs="Arial" w:eastAsia="Arial" w:hAnsi="Arial"/>
          <w:sz w:val="16"/>
          <w:szCs w:val="16"/>
          <w:u w:val="single" w:color="auto"/>
          <w:color w:val="auto"/>
        </w:rPr>
        <w:t>Canadian Sales</w:t>
      </w:r>
      <w:r>
        <w:rPr>
          <w:rFonts w:ascii="Arial" w:cs="Arial" w:eastAsia="Arial" w:hAnsi="Arial"/>
          <w:sz w:val="16"/>
          <w:szCs w:val="16"/>
          <w:color w:val="auto"/>
        </w:rPr>
        <w:t>. Each Purchaser (i) acknowledges that any resale of the Securities in or into Canada must be exempt from, or not subject to, the requirement in Canadian securities legislation that prohibits a person or company from distributing a security without a prospectus that qualifies that distribution, and, where applicable, in compliance with or exempt from dealer registration requirements under Canadian securities legislation, and</w:t>
      </w:r>
    </w:p>
    <w:p>
      <w:pPr>
        <w:ind w:firstLine="7"/>
        <w:spacing w:after="0" w:line="255" w:lineRule="auto"/>
        <w:tabs>
          <w:tab w:leader="none" w:pos="272"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covenants that, unless permitted under applicable Canadian securities legislation, such Purchaser will not trade the Securities in Canada before the date that is four (4) months and a day after the Closing Date.</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t>ARTICLE V.</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MISCELLANEOUS</w:t>
      </w:r>
    </w:p>
    <w:p>
      <w:pPr>
        <w:spacing w:after="0" w:line="207" w:lineRule="exact"/>
        <w:rPr>
          <w:sz w:val="20"/>
          <w:szCs w:val="20"/>
          <w:color w:val="auto"/>
        </w:rPr>
      </w:pPr>
    </w:p>
    <w:p>
      <w:pPr>
        <w:jc w:val="both"/>
        <w:ind w:firstLine="640"/>
        <w:spacing w:after="0" w:line="286" w:lineRule="auto"/>
        <w:rPr>
          <w:sz w:val="20"/>
          <w:szCs w:val="20"/>
          <w:color w:val="auto"/>
        </w:rPr>
      </w:pPr>
      <w:r>
        <w:rPr>
          <w:rFonts w:ascii="Arial" w:cs="Arial" w:eastAsia="Arial" w:hAnsi="Arial"/>
          <w:sz w:val="16"/>
          <w:szCs w:val="16"/>
          <w:color w:val="auto"/>
        </w:rPr>
        <w:t>5.1            </w:t>
      </w:r>
      <w:r>
        <w:rPr>
          <w:rFonts w:ascii="Arial" w:cs="Arial" w:eastAsia="Arial" w:hAnsi="Arial"/>
          <w:sz w:val="16"/>
          <w:szCs w:val="16"/>
          <w:u w:val="single" w:color="auto"/>
          <w:color w:val="auto"/>
        </w:rPr>
        <w:t>Termination</w:t>
      </w:r>
      <w:r>
        <w:rPr>
          <w:rFonts w:ascii="Arial" w:cs="Arial" w:eastAsia="Arial" w:hAnsi="Arial"/>
          <w:sz w:val="16"/>
          <w:szCs w:val="16"/>
          <w:color w:val="auto"/>
        </w:rPr>
        <w:t>. This Agreement may be terminated by any Purchaser, as to such Purchaser’s obligations hereunder only and without any effect whatsoever on the obligations between the Company and the other Purchasers, by written notice to the other parties, if the Closing has not been</w:t>
      </w:r>
    </w:p>
    <w:p>
      <w:pPr>
        <w:spacing w:after="0" w:line="1" w:lineRule="exact"/>
        <w:rPr>
          <w:sz w:val="20"/>
          <w:szCs w:val="20"/>
          <w:color w:val="auto"/>
        </w:rPr>
      </w:pPr>
    </w:p>
    <w:p>
      <w:pPr>
        <w:jc w:val="both"/>
        <w:spacing w:after="0" w:line="207" w:lineRule="auto"/>
        <w:rPr>
          <w:sz w:val="20"/>
          <w:szCs w:val="20"/>
          <w:color w:val="auto"/>
        </w:rPr>
      </w:pPr>
      <w:r>
        <w:rPr>
          <w:rFonts w:ascii="Arial" w:cs="Arial" w:eastAsia="Arial" w:hAnsi="Arial"/>
          <w:sz w:val="18"/>
          <w:szCs w:val="18"/>
          <w:color w:val="auto"/>
        </w:rPr>
        <w:t>consummated on or before the fifth (5</w:t>
      </w:r>
      <w:r>
        <w:rPr>
          <w:rFonts w:ascii="Arial" w:cs="Arial" w:eastAsia="Arial" w:hAnsi="Arial"/>
          <w:sz w:val="29"/>
          <w:szCs w:val="29"/>
          <w:color w:val="auto"/>
          <w:vertAlign w:val="superscript"/>
        </w:rPr>
        <w:t>th</w:t>
      </w:r>
      <w:r>
        <w:rPr>
          <w:rFonts w:ascii="Arial" w:cs="Arial" w:eastAsia="Arial" w:hAnsi="Arial"/>
          <w:sz w:val="18"/>
          <w:szCs w:val="18"/>
          <w:color w:val="auto"/>
        </w:rPr>
        <w:t>) Trading Day following the date hereof; provided, however, that no such termination will affect the right of any party to sue for any breach by any other party (or parties).</w:t>
      </w:r>
    </w:p>
    <w:p>
      <w:pPr>
        <w:spacing w:after="0" w:line="201" w:lineRule="exact"/>
        <w:rPr>
          <w:sz w:val="20"/>
          <w:szCs w:val="20"/>
          <w:color w:val="auto"/>
        </w:rPr>
      </w:pPr>
    </w:p>
    <w:p>
      <w:pPr>
        <w:jc w:val="both"/>
        <w:ind w:firstLine="640"/>
        <w:spacing w:after="0" w:line="271" w:lineRule="auto"/>
        <w:rPr>
          <w:sz w:val="20"/>
          <w:szCs w:val="20"/>
          <w:color w:val="auto"/>
        </w:rPr>
      </w:pPr>
      <w:r>
        <w:rPr>
          <w:rFonts w:ascii="Arial" w:cs="Arial" w:eastAsia="Arial" w:hAnsi="Arial"/>
          <w:sz w:val="17"/>
          <w:szCs w:val="17"/>
          <w:color w:val="auto"/>
        </w:rPr>
        <w:t>5.2            </w:t>
      </w:r>
      <w:r>
        <w:rPr>
          <w:rFonts w:ascii="Arial" w:cs="Arial" w:eastAsia="Arial" w:hAnsi="Arial"/>
          <w:sz w:val="17"/>
          <w:szCs w:val="17"/>
          <w:u w:val="single" w:color="auto"/>
          <w:color w:val="auto"/>
        </w:rPr>
        <w:t>Fees and Expenses.</w:t>
      </w:r>
      <w:r>
        <w:rPr>
          <w:rFonts w:ascii="Arial" w:cs="Arial" w:eastAsia="Arial" w:hAnsi="Arial"/>
          <w:sz w:val="17"/>
          <w:szCs w:val="17"/>
          <w:color w:val="auto"/>
        </w:rPr>
        <w:t xml:space="preserve"> Except as expressly set forth in the Transaction Documents to the contrary, each party shall pay the fees and expenses of its advisers, counsel, accountants and other experts, if any, and all other expenses incurred by such party incident to the negotiation, preparation, execution, delivery and performance of this Agreement. The Company shall pay all Transfer Agent fees (including, without limitation, any fees required for same-day processing of any instruction letter delivered by the Company and any exercise notice delivered by a Purchaser), stamp taxes and other taxes and duties levied in connection with the delivery of any Securities to the Purchasers.</w:t>
      </w:r>
    </w:p>
    <w:p>
      <w:pPr>
        <w:spacing w:after="0" w:line="177" w:lineRule="exact"/>
        <w:rPr>
          <w:sz w:val="20"/>
          <w:szCs w:val="20"/>
          <w:color w:val="auto"/>
        </w:rPr>
      </w:pPr>
    </w:p>
    <w:p>
      <w:pPr>
        <w:jc w:val="both"/>
        <w:ind w:firstLine="640"/>
        <w:spacing w:after="0" w:line="306" w:lineRule="auto"/>
        <w:rPr>
          <w:sz w:val="20"/>
          <w:szCs w:val="20"/>
          <w:color w:val="auto"/>
        </w:rPr>
      </w:pPr>
      <w:r>
        <w:rPr>
          <w:rFonts w:ascii="Arial" w:cs="Arial" w:eastAsia="Arial" w:hAnsi="Arial"/>
          <w:sz w:val="16"/>
          <w:szCs w:val="16"/>
          <w:color w:val="auto"/>
        </w:rPr>
        <w:t>5.3            </w:t>
      </w:r>
      <w:r>
        <w:rPr>
          <w:rFonts w:ascii="Arial" w:cs="Arial" w:eastAsia="Arial" w:hAnsi="Arial"/>
          <w:sz w:val="16"/>
          <w:szCs w:val="16"/>
          <w:u w:val="single" w:color="auto"/>
          <w:color w:val="auto"/>
        </w:rPr>
        <w:t>Entire Agreement</w:t>
      </w:r>
      <w:r>
        <w:rPr>
          <w:rFonts w:ascii="Arial" w:cs="Arial" w:eastAsia="Arial" w:hAnsi="Arial"/>
          <w:sz w:val="16"/>
          <w:szCs w:val="16"/>
          <w:color w:val="auto"/>
        </w:rPr>
        <w:t>. The Transaction Documents, together with the exhibits and schedules thereto, the Prospectus and the Prospectus Supplement, contain the entire understanding of the parties with respect to the subject matter hereof and thereof and supersede all prior agreements and understandings, oral or written, with respect to such matters, which the parties acknowledge have been merged into such documents, exhibits and schedules.</w:t>
      </w:r>
    </w:p>
    <w:p>
      <w:pPr>
        <w:spacing w:after="0" w:line="150" w:lineRule="exact"/>
        <w:rPr>
          <w:sz w:val="20"/>
          <w:szCs w:val="20"/>
          <w:color w:val="auto"/>
        </w:rPr>
      </w:pPr>
    </w:p>
    <w:p>
      <w:pPr>
        <w:jc w:val="both"/>
        <w:ind w:firstLine="640"/>
        <w:spacing w:after="0" w:line="282" w:lineRule="auto"/>
        <w:rPr>
          <w:sz w:val="20"/>
          <w:szCs w:val="20"/>
          <w:color w:val="auto"/>
        </w:rPr>
      </w:pPr>
      <w:r>
        <w:rPr>
          <w:rFonts w:ascii="Arial" w:cs="Arial" w:eastAsia="Arial" w:hAnsi="Arial"/>
          <w:sz w:val="16"/>
          <w:szCs w:val="16"/>
          <w:color w:val="auto"/>
        </w:rPr>
        <w:t>5.4            </w:t>
      </w:r>
      <w:r>
        <w:rPr>
          <w:rFonts w:ascii="Arial" w:cs="Arial" w:eastAsia="Arial" w:hAnsi="Arial"/>
          <w:sz w:val="16"/>
          <w:szCs w:val="16"/>
          <w:u w:val="single" w:color="auto"/>
          <w:color w:val="auto"/>
        </w:rPr>
        <w:t>Notices</w:t>
      </w:r>
      <w:r>
        <w:rPr>
          <w:rFonts w:ascii="Arial" w:cs="Arial" w:eastAsia="Arial" w:hAnsi="Arial"/>
          <w:sz w:val="16"/>
          <w:szCs w:val="16"/>
          <w:color w:val="auto"/>
        </w:rPr>
        <w:t>. Any and all notices or other communications or deliveries required or permitted to be provided hereunder shall be in writing and shall be deemed given and effective on the earliest of: (a) the time of transmission, if such notice or communication is delivered via email attachment at the email address as set forth on the signature pages attached hereto at or prior to 5:30 p.m. (New York City time) on a Trading Day, (b) the next Trading Day after the time of transmission, if such notice or communication is delivered via email attachment at the email address as set forth on the signature</w:t>
      </w:r>
    </w:p>
    <w:p>
      <w:pPr>
        <w:spacing w:after="0" w:line="2"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pages attached hereto on a day that is not a Trading Day or later than 5:30 p.m. (New York City time) on any Trading Day, (c) the second (2</w:t>
      </w:r>
      <w:r>
        <w:rPr>
          <w:rFonts w:ascii="Arial" w:cs="Arial" w:eastAsia="Arial" w:hAnsi="Arial"/>
          <w:sz w:val="26"/>
          <w:szCs w:val="26"/>
          <w:color w:val="auto"/>
          <w:vertAlign w:val="superscript"/>
        </w:rPr>
        <w:t>nd</w:t>
      </w:r>
      <w:r>
        <w:rPr>
          <w:rFonts w:ascii="Arial" w:cs="Arial" w:eastAsia="Arial" w:hAnsi="Arial"/>
          <w:sz w:val="16"/>
          <w:szCs w:val="16"/>
          <w:color w:val="auto"/>
        </w:rPr>
        <w:t>) Trading Day following the date of mailing, if sent by U.S. nationally recognized overnight courier service or (d) upon actual receipt by the party to whom such notice is required to be given. The address for such notices and communications shall be as set forth on the signature pages attached hereto.</w:t>
      </w:r>
    </w:p>
    <w:p>
      <w:pPr>
        <w:spacing w:after="0" w:line="197" w:lineRule="exact"/>
        <w:rPr>
          <w:sz w:val="20"/>
          <w:szCs w:val="20"/>
          <w:color w:val="auto"/>
        </w:rPr>
      </w:pPr>
    </w:p>
    <w:p>
      <w:pPr>
        <w:jc w:val="both"/>
        <w:ind w:firstLine="640"/>
        <w:spacing w:after="0" w:line="265" w:lineRule="auto"/>
        <w:rPr>
          <w:sz w:val="20"/>
          <w:szCs w:val="20"/>
          <w:color w:val="auto"/>
        </w:rPr>
      </w:pPr>
      <w:r>
        <w:rPr>
          <w:rFonts w:ascii="Arial" w:cs="Arial" w:eastAsia="Arial" w:hAnsi="Arial"/>
          <w:sz w:val="17"/>
          <w:szCs w:val="17"/>
          <w:color w:val="auto"/>
        </w:rPr>
        <w:t>5.5            </w:t>
      </w:r>
      <w:r>
        <w:rPr>
          <w:rFonts w:ascii="Arial" w:cs="Arial" w:eastAsia="Arial" w:hAnsi="Arial"/>
          <w:sz w:val="17"/>
          <w:szCs w:val="17"/>
          <w:u w:val="single" w:color="auto"/>
          <w:color w:val="auto"/>
        </w:rPr>
        <w:t>Amendments; Waivers</w:t>
      </w:r>
      <w:r>
        <w:rPr>
          <w:rFonts w:ascii="Arial" w:cs="Arial" w:eastAsia="Arial" w:hAnsi="Arial"/>
          <w:sz w:val="17"/>
          <w:szCs w:val="17"/>
          <w:color w:val="auto"/>
        </w:rPr>
        <w:t>. No provision of this Agreement may be waived, modified, supplemented or amended except in a written instrument signed, in the case of an amendment, by the Company and Purchasers which purchased at least 50.1% in interest of the Securities based on the initial Subscription Amounts hereunder or, in the case of a waiver, by the party against whom enforcement of any such waived provision is sought, provided that if any amendment, modification or waiver disproportionately and adversely impacts a Purchaser (or group of Purchasers) in any material respect, the consent of such disproportionately impacted Purchaser (or group of Purchasers) shall also be required. No waiver of any default with respect to any provision, condition or requirement of this Agreement shall be deemed to be a continuing waiver in the future or a waiver of any subsequent default or a waiver of any other provision, condition or requirement hereof except to the extent expressly stated in such waiver, nor shall any delay or omission of any party to exercise any right hereunder in any manner impair the exercise of any such right. Any proposed amendment or waiver that disproportionately, materially and adversely affects the rights and obligations of any Purchaser relative to the comparable rights and obligations of the other Purchasers shall require the prior written consent of such adversely affected Purchaser. Any amendment effected in accordance with this Section 5.5 shall be binding upon each Purchaser and holder of Securities and the Company.</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54" w:name="page55"/>
    <w:bookmarkEnd w:id="54"/>
    <w:p>
      <w:pPr>
        <w:jc w:val="both"/>
        <w:ind w:firstLine="640"/>
        <w:spacing w:after="0" w:line="270" w:lineRule="auto"/>
        <w:rPr>
          <w:sz w:val="20"/>
          <w:szCs w:val="20"/>
          <w:color w:val="auto"/>
        </w:rPr>
      </w:pPr>
      <w:r>
        <w:rPr>
          <w:rFonts w:ascii="Arial" w:cs="Arial" w:eastAsia="Arial" w:hAnsi="Arial"/>
          <w:sz w:val="18"/>
          <w:szCs w:val="18"/>
          <w:color w:val="auto"/>
        </w:rPr>
        <w:t>5.6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herein are for convenience only, do not constitute a part of this Agreement and shall not be deemed to limit or affect any of the provisions hereof.</w:t>
      </w:r>
    </w:p>
    <w:p>
      <w:pPr>
        <w:spacing w:after="0" w:line="175" w:lineRule="exact"/>
        <w:rPr>
          <w:sz w:val="20"/>
          <w:szCs w:val="20"/>
          <w:color w:val="auto"/>
        </w:rPr>
      </w:pPr>
    </w:p>
    <w:p>
      <w:pPr>
        <w:jc w:val="both"/>
        <w:ind w:firstLine="640"/>
        <w:spacing w:after="0" w:line="253" w:lineRule="auto"/>
        <w:rPr>
          <w:sz w:val="20"/>
          <w:szCs w:val="20"/>
          <w:color w:val="auto"/>
        </w:rPr>
      </w:pPr>
      <w:r>
        <w:rPr>
          <w:rFonts w:ascii="Arial" w:cs="Arial" w:eastAsia="Arial" w:hAnsi="Arial"/>
          <w:sz w:val="18"/>
          <w:szCs w:val="18"/>
          <w:color w:val="auto"/>
        </w:rPr>
        <w:t>5.7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This Agreement shall be binding upon and inure to the benefit of the parties and their successors and permitted assigns. The Company may not assign this Agreement or any rights or obligations hereunder without the prior written consent of each Purchaser (other than by merger). Any Purchaser may assign any or all of its rights under this Agreement to any Person to whom such Purchaser assigns or transfers any Securities, provided that such transferee agrees in writing to be bound, with respect to the transferred Securities, by the provisions of the Transaction Documents that apply to the “Purchasers.”</w:t>
      </w:r>
    </w:p>
    <w:p>
      <w:pPr>
        <w:spacing w:after="0" w:line="190" w:lineRule="exact"/>
        <w:rPr>
          <w:sz w:val="20"/>
          <w:szCs w:val="20"/>
          <w:color w:val="auto"/>
        </w:rPr>
      </w:pPr>
    </w:p>
    <w:p>
      <w:pPr>
        <w:jc w:val="both"/>
        <w:ind w:firstLine="640"/>
        <w:spacing w:after="0" w:line="258" w:lineRule="auto"/>
        <w:rPr>
          <w:sz w:val="20"/>
          <w:szCs w:val="20"/>
          <w:color w:val="auto"/>
        </w:rPr>
      </w:pPr>
      <w:r>
        <w:rPr>
          <w:rFonts w:ascii="Arial" w:cs="Arial" w:eastAsia="Arial" w:hAnsi="Arial"/>
          <w:sz w:val="18"/>
          <w:szCs w:val="18"/>
          <w:color w:val="auto"/>
        </w:rPr>
        <w:t>5.8            </w:t>
      </w:r>
      <w:r>
        <w:rPr>
          <w:rFonts w:ascii="Arial" w:cs="Arial" w:eastAsia="Arial" w:hAnsi="Arial"/>
          <w:sz w:val="18"/>
          <w:szCs w:val="18"/>
          <w:u w:val="single" w:color="auto"/>
          <w:color w:val="auto"/>
        </w:rPr>
        <w:t>No Third-Party Beneficiaries</w:t>
      </w:r>
      <w:r>
        <w:rPr>
          <w:rFonts w:ascii="Arial" w:cs="Arial" w:eastAsia="Arial" w:hAnsi="Arial"/>
          <w:sz w:val="18"/>
          <w:szCs w:val="18"/>
          <w:color w:val="auto"/>
        </w:rPr>
        <w:t>. This Agreement is intended for the benefit of the parties hereto and their respective successors and permitted assigns and is not for the benefit of, nor may any provision hereof be enforced by, any other Person, except as otherwise set forth in Section 4.8 and this Section 5.8.</w:t>
      </w:r>
    </w:p>
    <w:p>
      <w:pPr>
        <w:spacing w:after="0" w:line="186" w:lineRule="exact"/>
        <w:rPr>
          <w:sz w:val="20"/>
          <w:szCs w:val="20"/>
          <w:color w:val="auto"/>
        </w:rPr>
      </w:pPr>
    </w:p>
    <w:p>
      <w:pPr>
        <w:jc w:val="both"/>
        <w:ind w:firstLine="640"/>
        <w:spacing w:after="0" w:line="283" w:lineRule="auto"/>
        <w:rPr>
          <w:sz w:val="20"/>
          <w:szCs w:val="20"/>
          <w:color w:val="auto"/>
        </w:rPr>
      </w:pPr>
      <w:r>
        <w:rPr>
          <w:rFonts w:ascii="Arial" w:cs="Arial" w:eastAsia="Arial" w:hAnsi="Arial"/>
          <w:sz w:val="16"/>
          <w:szCs w:val="16"/>
          <w:color w:val="auto"/>
        </w:rPr>
        <w:t>5.9            </w:t>
      </w:r>
      <w:r>
        <w:rPr>
          <w:rFonts w:ascii="Arial" w:cs="Arial" w:eastAsia="Arial" w:hAnsi="Arial"/>
          <w:sz w:val="16"/>
          <w:szCs w:val="16"/>
          <w:u w:val="single" w:color="auto"/>
          <w:color w:val="auto"/>
        </w:rPr>
        <w:t>Governing Law</w:t>
      </w:r>
      <w:r>
        <w:rPr>
          <w:rFonts w:ascii="Arial" w:cs="Arial" w:eastAsia="Arial" w:hAnsi="Arial"/>
          <w:sz w:val="16"/>
          <w:szCs w:val="16"/>
          <w:color w:val="auto"/>
        </w:rPr>
        <w:t>. All questions concerning the construction, validity, enforcement and interpretation of the Transaction Documents shall be governed by and construed and enforced in accordance with the internal laws of the State of New York, without regard to the principles of conflicts of law thereof. Each party agrees that all legal Proceedings concerning the interpretations, enforcement and defense of the transactions contemplated by this Agreement and any other Transaction Documents (whether brought against a party hereto or its respective affiliates, directors, officers, shareholders, partners, members, employees or agents) shall be commenced exclusively in the state and federal courts sitting in the City of New York. 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(including with respect to the enforcement of any of the Transaction Documents), and hereby irrevocably waives, and agrees not to assert in any Action or Proceeding, any claim that it is not personally subject to the jurisdiction of any such court, that such Action or Proceeding is improper or is an inconvenient venue for such Proceeding. Each party hereby irrevocably waives personal service of process and consents to process being served in any such Action or Proceeding by mailing a copy thereof via registered or certified mail or overnight delivery (with evidence of delivery) to such party at the address in effect for notices to it under this Agreement and agrees that such service shall constitute good and sufficient service of process and notice thereof. Nothing contained herein shall be deemed to limit in any way any right to serve process in any other manner permitted by law.</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55" w:name="page56"/>
    <w:bookmarkEnd w:id="55"/>
    <w:p>
      <w:pPr>
        <w:jc w:val="both"/>
        <w:ind w:firstLine="640"/>
        <w:spacing w:after="0" w:line="270" w:lineRule="auto"/>
        <w:rPr>
          <w:sz w:val="20"/>
          <w:szCs w:val="20"/>
          <w:color w:val="auto"/>
        </w:rPr>
      </w:pPr>
      <w:r>
        <w:rPr>
          <w:rFonts w:ascii="Arial" w:cs="Arial" w:eastAsia="Arial" w:hAnsi="Arial"/>
          <w:sz w:val="18"/>
          <w:szCs w:val="18"/>
          <w:color w:val="auto"/>
        </w:rPr>
        <w:t>5.10          </w:t>
      </w:r>
      <w:r>
        <w:rPr>
          <w:rFonts w:ascii="Arial" w:cs="Arial" w:eastAsia="Arial" w:hAnsi="Arial"/>
          <w:sz w:val="18"/>
          <w:szCs w:val="18"/>
          <w:u w:val="single" w:color="auto"/>
          <w:color w:val="auto"/>
        </w:rPr>
        <w:t>Survival</w:t>
      </w:r>
      <w:r>
        <w:rPr>
          <w:rFonts w:ascii="Arial" w:cs="Arial" w:eastAsia="Arial" w:hAnsi="Arial"/>
          <w:sz w:val="18"/>
          <w:szCs w:val="18"/>
          <w:color w:val="auto"/>
        </w:rPr>
        <w:t>. The representations and warranties contained herein shall survive the Closing and the delivery of the Securities for one year following the Closing Date.</w:t>
      </w:r>
    </w:p>
    <w:p>
      <w:pPr>
        <w:spacing w:after="0" w:line="175" w:lineRule="exact"/>
        <w:rPr>
          <w:sz w:val="20"/>
          <w:szCs w:val="20"/>
          <w:color w:val="auto"/>
        </w:rPr>
      </w:pPr>
    </w:p>
    <w:p>
      <w:pPr>
        <w:jc w:val="both"/>
        <w:ind w:firstLine="640"/>
        <w:spacing w:after="0" w:line="269" w:lineRule="auto"/>
        <w:rPr>
          <w:sz w:val="20"/>
          <w:szCs w:val="20"/>
          <w:color w:val="auto"/>
        </w:rPr>
      </w:pPr>
      <w:r>
        <w:rPr>
          <w:rFonts w:ascii="Arial" w:cs="Arial" w:eastAsia="Arial" w:hAnsi="Arial"/>
          <w:sz w:val="17"/>
          <w:szCs w:val="17"/>
          <w:color w:val="auto"/>
        </w:rPr>
        <w:t>5.11          </w:t>
      </w:r>
      <w:r>
        <w:rPr>
          <w:rFonts w:ascii="Arial" w:cs="Arial" w:eastAsia="Arial" w:hAnsi="Arial"/>
          <w:sz w:val="17"/>
          <w:szCs w:val="17"/>
          <w:u w:val="single" w:color="auto"/>
          <w:color w:val="auto"/>
        </w:rPr>
        <w:t>Execution</w:t>
      </w:r>
      <w:r>
        <w:rPr>
          <w:rFonts w:ascii="Arial" w:cs="Arial" w:eastAsia="Arial" w:hAnsi="Arial"/>
          <w:sz w:val="17"/>
          <w:szCs w:val="17"/>
          <w:color w:val="auto"/>
        </w:rPr>
        <w:t>. This Agreement may be executed in two or more counterparts, all of which when taken together shall be considered one and the same agreement and shall become effective when counterparts have been signed by each party and delivered to each other party, it being understood that the parties need not sign the same counterpart. In the event that any signature is delivered by e-mail delivery of a “.pdf” format data file or any electronic signature complying with the U.S. federal ESIGN Act of 2000, the Uniform Electronic Transactions Act or other applicable law (e.g., www.docusign.com), such signature shall create a valid and binding obligation of the party executing (or on whose behalf such signature is executed) with the same force and effect as if such “.pdf” or “electronic” signature page were an original thereof.</w:t>
      </w:r>
    </w:p>
    <w:p>
      <w:pPr>
        <w:spacing w:after="0" w:line="180" w:lineRule="exact"/>
        <w:rPr>
          <w:sz w:val="20"/>
          <w:szCs w:val="20"/>
          <w:color w:val="auto"/>
        </w:rPr>
      </w:pPr>
    </w:p>
    <w:p>
      <w:pPr>
        <w:jc w:val="both"/>
        <w:ind w:firstLine="640"/>
        <w:spacing w:after="0" w:line="269" w:lineRule="auto"/>
        <w:rPr>
          <w:sz w:val="20"/>
          <w:szCs w:val="20"/>
          <w:color w:val="auto"/>
        </w:rPr>
      </w:pPr>
      <w:r>
        <w:rPr>
          <w:rFonts w:ascii="Arial" w:cs="Arial" w:eastAsia="Arial" w:hAnsi="Arial"/>
          <w:sz w:val="17"/>
          <w:szCs w:val="17"/>
          <w:color w:val="auto"/>
        </w:rPr>
        <w:t>5.12          </w:t>
      </w:r>
      <w:r>
        <w:rPr>
          <w:rFonts w:ascii="Arial" w:cs="Arial" w:eastAsia="Arial" w:hAnsi="Arial"/>
          <w:sz w:val="17"/>
          <w:szCs w:val="17"/>
          <w:u w:val="single" w:color="auto"/>
          <w:color w:val="auto"/>
        </w:rPr>
        <w:t>Severability</w:t>
      </w:r>
      <w:r>
        <w:rPr>
          <w:rFonts w:ascii="Arial" w:cs="Arial" w:eastAsia="Arial" w:hAnsi="Arial"/>
          <w:sz w:val="17"/>
          <w:szCs w:val="17"/>
          <w:color w:val="auto"/>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spacing w:after="0" w:line="180" w:lineRule="exact"/>
        <w:rPr>
          <w:sz w:val="20"/>
          <w:szCs w:val="20"/>
          <w:color w:val="auto"/>
        </w:rPr>
      </w:pPr>
    </w:p>
    <w:p>
      <w:pPr>
        <w:jc w:val="both"/>
        <w:ind w:firstLine="640"/>
        <w:spacing w:after="0" w:line="267" w:lineRule="auto"/>
        <w:rPr>
          <w:sz w:val="20"/>
          <w:szCs w:val="20"/>
          <w:color w:val="auto"/>
        </w:rPr>
      </w:pPr>
      <w:r>
        <w:rPr>
          <w:rFonts w:ascii="Arial" w:cs="Arial" w:eastAsia="Arial" w:hAnsi="Arial"/>
          <w:sz w:val="17"/>
          <w:szCs w:val="17"/>
          <w:color w:val="auto"/>
        </w:rPr>
        <w:t>5.13          </w:t>
      </w:r>
      <w:r>
        <w:rPr>
          <w:rFonts w:ascii="Arial" w:cs="Arial" w:eastAsia="Arial" w:hAnsi="Arial"/>
          <w:sz w:val="17"/>
          <w:szCs w:val="17"/>
          <w:u w:val="single" w:color="auto"/>
          <w:color w:val="auto"/>
        </w:rPr>
        <w:t>Rescission and Withdrawal Right</w:t>
      </w:r>
      <w:r>
        <w:rPr>
          <w:rFonts w:ascii="Arial" w:cs="Arial" w:eastAsia="Arial" w:hAnsi="Arial"/>
          <w:sz w:val="17"/>
          <w:szCs w:val="17"/>
          <w:color w:val="auto"/>
        </w:rPr>
        <w:t>. Notwithstanding anything to the contrary contained in (and without limiting any similar provisions of) any of the other Transaction Documents, whenever any Purchaser exercises a right, election, demand or option under a Transaction Document and the Company does not timely perform its related obligations within the periods therein provided, then such Purchaser may rescind or withdraw, in its sole discretion from time to time upon written notice to the Company, any relevant notice, demand or election in whole or in part without prejudice to its future actions and rights ; provided, however, that, in the case of a rescission of an exercise of a Warrant, the applicable Purchaser shall be required to return any Common Shares subject to any such rescinded exercise notice concurrently with the return to such Purchaser of the aggregate exercise price paid to the Company for such shares and the restoration of such Purchaser’s right to acquire such shares pursuant to such Purchaser’s Warrant (including, issuance of a replacement warrant certificate evidencing such restored right).</w:t>
      </w:r>
    </w:p>
    <w:p>
      <w:pPr>
        <w:spacing w:after="0" w:line="182" w:lineRule="exact"/>
        <w:rPr>
          <w:sz w:val="20"/>
          <w:szCs w:val="20"/>
          <w:color w:val="auto"/>
        </w:rPr>
      </w:pPr>
    </w:p>
    <w:p>
      <w:pPr>
        <w:jc w:val="both"/>
        <w:ind w:firstLine="640"/>
        <w:spacing w:after="0" w:line="253" w:lineRule="auto"/>
        <w:rPr>
          <w:sz w:val="20"/>
          <w:szCs w:val="20"/>
          <w:color w:val="auto"/>
        </w:rPr>
      </w:pPr>
      <w:r>
        <w:rPr>
          <w:rFonts w:ascii="Arial" w:cs="Arial" w:eastAsia="Arial" w:hAnsi="Arial"/>
          <w:sz w:val="18"/>
          <w:szCs w:val="18"/>
          <w:color w:val="auto"/>
        </w:rPr>
        <w:t>5.14          </w:t>
      </w:r>
      <w:r>
        <w:rPr>
          <w:rFonts w:ascii="Arial" w:cs="Arial" w:eastAsia="Arial" w:hAnsi="Arial"/>
          <w:sz w:val="18"/>
          <w:szCs w:val="18"/>
          <w:u w:val="single" w:color="auto"/>
          <w:color w:val="auto"/>
        </w:rPr>
        <w:t>Replacement of Securities</w:t>
      </w:r>
      <w:r>
        <w:rPr>
          <w:rFonts w:ascii="Arial" w:cs="Arial" w:eastAsia="Arial" w:hAnsi="Arial"/>
          <w:sz w:val="18"/>
          <w:szCs w:val="18"/>
          <w:color w:val="auto"/>
        </w:rPr>
        <w:t>. If any certificate or instrument evidencing any Securities is mutilated, lost, stolen or destroyed, the Company shall issue or cause to be issued in exchange and substitution for and upon cancellation thereof (in the case of mutilation), or in lieu of and substitution therefor, a new certificate or instrument, but only upon receipt of evidence reasonably satisfactory to the Company of such loss, theft or destruction. The applicant for a new certificate or instrument under such circumstances shall also pay any reasonable third-party costs (including customary indemnity) associated with the issuance of such replacement Securities.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56" w:name="page57"/>
    <w:bookmarkEnd w:id="56"/>
    <w:p>
      <w:pPr>
        <w:jc w:val="both"/>
        <w:ind w:firstLine="640"/>
        <w:spacing w:after="0" w:line="296" w:lineRule="auto"/>
        <w:rPr>
          <w:sz w:val="20"/>
          <w:szCs w:val="20"/>
          <w:color w:val="auto"/>
        </w:rPr>
      </w:pPr>
      <w:r>
        <w:rPr>
          <w:rFonts w:ascii="Arial" w:cs="Arial" w:eastAsia="Arial" w:hAnsi="Arial"/>
          <w:sz w:val="16"/>
          <w:szCs w:val="16"/>
          <w:color w:val="auto"/>
        </w:rPr>
        <w:t>5.15          </w:t>
      </w:r>
      <w:r>
        <w:rPr>
          <w:rFonts w:ascii="Arial" w:cs="Arial" w:eastAsia="Arial" w:hAnsi="Arial"/>
          <w:sz w:val="16"/>
          <w:szCs w:val="16"/>
          <w:u w:val="single" w:color="auto"/>
          <w:color w:val="auto"/>
        </w:rPr>
        <w:t>Remedies</w:t>
      </w:r>
      <w:r>
        <w:rPr>
          <w:rFonts w:ascii="Arial" w:cs="Arial" w:eastAsia="Arial" w:hAnsi="Arial"/>
          <w:sz w:val="16"/>
          <w:szCs w:val="16"/>
          <w:color w:val="auto"/>
        </w:rPr>
        <w:t>. In addition to being entitled to exercise all rights provided herein or granted by law, including recovery of damages, each of the Purchasers and the Company will be entitled to specific performance under the Transaction Documents. The parties agree that monetary damages may not be adequate compensation for any loss incurred by reason of any breach of obligations contained in the Transaction Documents and hereby agree to waive and not to assert in any Action for specific performance of any such obligation the defense that a remedy at law would be adequate.</w:t>
      </w:r>
    </w:p>
    <w:p>
      <w:pPr>
        <w:spacing w:after="0" w:line="160" w:lineRule="exact"/>
        <w:rPr>
          <w:sz w:val="20"/>
          <w:szCs w:val="20"/>
          <w:color w:val="auto"/>
        </w:rPr>
      </w:pPr>
    </w:p>
    <w:p>
      <w:pPr>
        <w:jc w:val="both"/>
        <w:ind w:firstLine="640"/>
        <w:spacing w:after="0" w:line="289" w:lineRule="auto"/>
        <w:rPr>
          <w:sz w:val="20"/>
          <w:szCs w:val="20"/>
          <w:color w:val="auto"/>
        </w:rPr>
      </w:pPr>
      <w:r>
        <w:rPr>
          <w:rFonts w:ascii="Arial" w:cs="Arial" w:eastAsia="Arial" w:hAnsi="Arial"/>
          <w:sz w:val="16"/>
          <w:szCs w:val="16"/>
          <w:color w:val="auto"/>
        </w:rPr>
        <w:t>5.16          </w:t>
      </w:r>
      <w:r>
        <w:rPr>
          <w:rFonts w:ascii="Arial" w:cs="Arial" w:eastAsia="Arial" w:hAnsi="Arial"/>
          <w:sz w:val="16"/>
          <w:szCs w:val="16"/>
          <w:u w:val="single" w:color="auto"/>
          <w:color w:val="auto"/>
        </w:rPr>
        <w:t>Payment Set Aside</w:t>
      </w:r>
      <w:r>
        <w:rPr>
          <w:rFonts w:ascii="Arial" w:cs="Arial" w:eastAsia="Arial" w:hAnsi="Arial"/>
          <w:sz w:val="16"/>
          <w:szCs w:val="16"/>
          <w:color w:val="auto"/>
        </w:rPr>
        <w:t>. To the extent that the Company makes a payment or payments to any Purchaser pursuant to any Transaction Document or a Purchaser enforces or exercises its rights thereunder, and such payment or payments or the proceeds of such enforcement or exercise or any part thereof are subsequently invalidated, declared to be fraudulent or preferential, set aside, recovered from, disgorged by or are required to be refunded, repaid or otherwise restored to the Company, a trustee, receiver or any other Person under any law (including, without limitation, any bankruptcy law, state or federal law, common law or equitable cause of action), then to the extent of any such restoration the obligation or part thereof originally intended to be satisfied shall be revived and continued in full force and effect as if such payment had not been made or such enforcement or setoff had not occurred.</w:t>
      </w:r>
    </w:p>
    <w:p>
      <w:pPr>
        <w:spacing w:after="0" w:line="165" w:lineRule="exact"/>
        <w:rPr>
          <w:sz w:val="20"/>
          <w:szCs w:val="20"/>
          <w:color w:val="auto"/>
        </w:rPr>
      </w:pPr>
    </w:p>
    <w:p>
      <w:pPr>
        <w:jc w:val="both"/>
        <w:ind w:firstLine="640"/>
        <w:spacing w:after="0" w:line="283" w:lineRule="auto"/>
        <w:rPr>
          <w:sz w:val="20"/>
          <w:szCs w:val="20"/>
          <w:color w:val="auto"/>
        </w:rPr>
      </w:pPr>
      <w:r>
        <w:rPr>
          <w:rFonts w:ascii="Arial" w:cs="Arial" w:eastAsia="Arial" w:hAnsi="Arial"/>
          <w:sz w:val="16"/>
          <w:szCs w:val="16"/>
          <w:color w:val="auto"/>
        </w:rPr>
        <w:t>5.17          </w:t>
      </w:r>
      <w:r>
        <w:rPr>
          <w:rFonts w:ascii="Arial" w:cs="Arial" w:eastAsia="Arial" w:hAnsi="Arial"/>
          <w:sz w:val="16"/>
          <w:szCs w:val="16"/>
          <w:u w:val="single" w:color="auto"/>
          <w:color w:val="auto"/>
        </w:rPr>
        <w:t>Independent Nature of Purchasers’ Obligations and Rights</w:t>
      </w:r>
      <w:r>
        <w:rPr>
          <w:rFonts w:ascii="Arial" w:cs="Arial" w:eastAsia="Arial" w:hAnsi="Arial"/>
          <w:sz w:val="16"/>
          <w:szCs w:val="16"/>
          <w:color w:val="auto"/>
        </w:rPr>
        <w:t>. The obligations of each Purchaser under any Transaction Document are several and not joint with the obligations of any other Purchaser, and no Purchaser shall be responsible in any way for the performance or non-performance of the obligations of any other Purchaser under any Transaction Document. Nothing contained herein or in any other Transaction Document, and no action taken by any Purchaser pursuant hereto or thereto, shall be deemed to constitute the Purchasers as a partnership, an association, a joint venture or any other kind of entity, or create a presumption that the Purchasers are in any way acting in concert or as a group with respect to such obligations or the transactions contemplated by the Transaction Documents. Each Purchaser shall be entitled to independently protect and enforce its rights including, without limitation, the rights arising out of this Agreement or out of the other Transaction Documents, and it shall not be necessary for any other Purchaser to be joined as an additional party in any Proceeding for such purpose. Each Purchaser has been represented by its own separate legal counsel in its review and negotiation of the Transaction Documents. The Company has elected to provide all Purchasers with the same terms and Transaction Documents for the convenience of the Company and not because it was required or requested to do so by any of the Purchasers. It is expressly understood and agreed that each provision contained in this Agreement and in each other Transaction Document is between the Company and a Purchaser, solely, and not between the Company and the Purchasers collectively and not between and among the Purchasers.</w:t>
      </w:r>
    </w:p>
    <w:p>
      <w:pPr>
        <w:spacing w:after="0" w:line="172" w:lineRule="exact"/>
        <w:rPr>
          <w:sz w:val="20"/>
          <w:szCs w:val="20"/>
          <w:color w:val="auto"/>
        </w:rPr>
      </w:pPr>
    </w:p>
    <w:p>
      <w:pPr>
        <w:jc w:val="both"/>
        <w:ind w:firstLine="640"/>
        <w:spacing w:after="0" w:line="300" w:lineRule="auto"/>
        <w:rPr>
          <w:sz w:val="20"/>
          <w:szCs w:val="20"/>
          <w:color w:val="auto"/>
        </w:rPr>
      </w:pPr>
      <w:r>
        <w:rPr>
          <w:rFonts w:ascii="Arial" w:cs="Arial" w:eastAsia="Arial" w:hAnsi="Arial"/>
          <w:sz w:val="17"/>
          <w:szCs w:val="17"/>
          <w:color w:val="auto"/>
        </w:rPr>
        <w:t>5.18          </w:t>
      </w:r>
      <w:r>
        <w:rPr>
          <w:rFonts w:ascii="Arial" w:cs="Arial" w:eastAsia="Arial" w:hAnsi="Arial"/>
          <w:sz w:val="17"/>
          <w:szCs w:val="17"/>
          <w:u w:val="single" w:color="auto"/>
          <w:color w:val="auto"/>
        </w:rPr>
        <w:t>Saturdays, Sundays, Holidays, etc</w:t>
      </w:r>
      <w:r>
        <w:rPr>
          <w:rFonts w:ascii="Arial" w:cs="Arial" w:eastAsia="Arial" w:hAnsi="Arial"/>
          <w:sz w:val="17"/>
          <w:szCs w:val="17"/>
          <w:color w:val="auto"/>
        </w:rPr>
        <w:t>.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57" w:name="page58"/>
    <w:bookmarkEnd w:id="57"/>
    <w:p>
      <w:pPr>
        <w:jc w:val="both"/>
        <w:ind w:firstLine="640"/>
        <w:spacing w:after="0" w:line="271" w:lineRule="auto"/>
        <w:rPr>
          <w:sz w:val="20"/>
          <w:szCs w:val="20"/>
          <w:color w:val="auto"/>
        </w:rPr>
      </w:pPr>
      <w:r>
        <w:rPr>
          <w:rFonts w:ascii="Arial" w:cs="Arial" w:eastAsia="Arial" w:hAnsi="Arial"/>
          <w:sz w:val="17"/>
          <w:szCs w:val="17"/>
          <w:color w:val="auto"/>
        </w:rPr>
        <w:t>5.19          </w:t>
      </w:r>
      <w:r>
        <w:rPr>
          <w:rFonts w:ascii="Arial" w:cs="Arial" w:eastAsia="Arial" w:hAnsi="Arial"/>
          <w:sz w:val="17"/>
          <w:szCs w:val="17"/>
          <w:u w:val="single" w:color="auto"/>
          <w:color w:val="auto"/>
        </w:rPr>
        <w:t>Construction</w:t>
      </w:r>
      <w:r>
        <w:rPr>
          <w:rFonts w:ascii="Arial" w:cs="Arial" w:eastAsia="Arial" w:hAnsi="Arial"/>
          <w:sz w:val="17"/>
          <w:szCs w:val="17"/>
          <w:color w:val="auto"/>
        </w:rPr>
        <w:t>. The parties agree that each of them and/or their respective counsel have reviewed and had an opportunity to revise the Transaction Documents and, therefore, the normal rule of construction to the effect that any ambiguities are to be resolved against the drafting party shall not be employed in the interpretation of the Transaction Documents or any amendments thereto. In addition, each and every reference to share prices and Common Shares in any Transaction Document shall be subject to adjustment for reverse and forward stock splits, stock dividends, stock combinations and other similar transactions of the Common Shares that occur after the date of this Agreement.</w:t>
      </w:r>
    </w:p>
    <w:p>
      <w:pPr>
        <w:spacing w:after="0" w:line="173" w:lineRule="exact"/>
        <w:rPr>
          <w:sz w:val="20"/>
          <w:szCs w:val="20"/>
          <w:color w:val="auto"/>
        </w:rPr>
      </w:pPr>
    </w:p>
    <w:p>
      <w:pPr>
        <w:jc w:val="both"/>
        <w:ind w:firstLine="640"/>
        <w:spacing w:after="0" w:line="256" w:lineRule="auto"/>
        <w:rPr>
          <w:sz w:val="20"/>
          <w:szCs w:val="20"/>
          <w:color w:val="auto"/>
        </w:rPr>
      </w:pPr>
      <w:r>
        <w:rPr>
          <w:rFonts w:ascii="Arial" w:cs="Arial" w:eastAsia="Arial" w:hAnsi="Arial"/>
          <w:sz w:val="18"/>
          <w:szCs w:val="18"/>
          <w:color w:val="auto"/>
        </w:rPr>
        <w:t>5.20          </w:t>
      </w:r>
      <w:r>
        <w:rPr>
          <w:rFonts w:ascii="Arial" w:cs="Arial" w:eastAsia="Arial" w:hAnsi="Arial"/>
          <w:sz w:val="18"/>
          <w:szCs w:val="18"/>
          <w:b w:val="1"/>
          <w:bCs w:val="1"/>
          <w:color w:val="auto"/>
        </w:rPr>
        <w:t>WAIVER OF JURY TRIAL. IN ANY ACTION, SUIT, OR PROCEEDING IN ANY JURISDICTION BROUGHT BY ANY</w:t>
      </w:r>
      <w:r>
        <w:rPr>
          <w:rFonts w:ascii="Arial" w:cs="Arial" w:eastAsia="Arial" w:hAnsi="Arial"/>
          <w:sz w:val="18"/>
          <w:szCs w:val="18"/>
          <w:color w:val="auto"/>
        </w:rPr>
        <w:t xml:space="preserve"> </w:t>
      </w:r>
      <w:r>
        <w:rPr>
          <w:rFonts w:ascii="Arial" w:cs="Arial" w:eastAsia="Arial" w:hAnsi="Arial"/>
          <w:sz w:val="18"/>
          <w:szCs w:val="18"/>
          <w:b w:val="1"/>
          <w:bCs w:val="1"/>
          <w:color w:val="auto"/>
        </w:rPr>
        <w:t>PARTY AGAINST ANY OTHER PARTY, THE PARTIES EACH KNOWINGLY AND INTENTIONALLY, TO THE GREATEST EXTENT PERMITTED BY APPLICABLE LAW, HEREBY ABSOLUTELY, UNCONDITIONALLY, IRREVOCABLY AND EXPRESSLY WAIVES FOREVER TRIAL BY JURY.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Pages Follow)</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58" w:name="page59"/>
    <w:bookmarkEnd w:id="58"/>
    <w:p>
      <w:pPr>
        <w:ind w:firstLine="640"/>
        <w:spacing w:after="0" w:line="270" w:lineRule="auto"/>
        <w:rPr>
          <w:sz w:val="20"/>
          <w:szCs w:val="20"/>
          <w:color w:val="auto"/>
        </w:rPr>
      </w:pPr>
      <w:r>
        <w:rPr>
          <w:rFonts w:ascii="Arial" w:cs="Arial" w:eastAsia="Arial" w:hAnsi="Arial"/>
          <w:sz w:val="18"/>
          <w:szCs w:val="18"/>
          <w:color w:val="auto"/>
        </w:rPr>
        <w:t>IN WITNESS WHEREOF, the parties hereto have caused this Securities Purchase Agreement to be duly executed by their respective authorized signatories as of the date first indicated above.</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20" w:type="dxa"/>
            <w:vAlign w:val="bottom"/>
            <w:gridSpan w:val="2"/>
          </w:tcPr>
          <w:p>
            <w:pPr>
              <w:spacing w:after="0"/>
              <w:rPr>
                <w:sz w:val="20"/>
                <w:szCs w:val="20"/>
                <w:color w:val="auto"/>
              </w:rPr>
            </w:pPr>
            <w:r>
              <w:rPr>
                <w:rFonts w:ascii="Arial" w:cs="Arial" w:eastAsia="Arial" w:hAnsi="Arial"/>
                <w:sz w:val="18"/>
                <w:szCs w:val="18"/>
                <w:b w:val="1"/>
                <w:bCs w:val="1"/>
                <w:color w:val="auto"/>
              </w:rPr>
              <w:t>TMC THE METALS COMPANY INC.</w:t>
            </w:r>
          </w:p>
        </w:tc>
        <w:tc>
          <w:tcPr>
            <w:tcW w:w="200" w:type="dxa"/>
            <w:vAlign w:val="bottom"/>
          </w:tcPr>
          <w:p>
            <w:pPr>
              <w:spacing w:after="0"/>
              <w:rPr>
                <w:sz w:val="17"/>
                <w:szCs w:val="17"/>
                <w:color w:val="auto"/>
              </w:rPr>
            </w:pPr>
          </w:p>
        </w:tc>
        <w:tc>
          <w:tcPr>
            <w:tcW w:w="2080" w:type="dxa"/>
            <w:vAlign w:val="bottom"/>
            <w:gridSpan w:val="2"/>
          </w:tcPr>
          <w:p>
            <w:pPr>
              <w:spacing w:after="0"/>
              <w:rPr>
                <w:sz w:val="20"/>
                <w:szCs w:val="20"/>
                <w:color w:val="auto"/>
              </w:rPr>
            </w:pPr>
            <w:r>
              <w:rPr>
                <w:rFonts w:ascii="Arial" w:cs="Arial" w:eastAsia="Arial" w:hAnsi="Arial"/>
                <w:sz w:val="18"/>
                <w:szCs w:val="18"/>
                <w:color w:val="auto"/>
              </w:rPr>
              <w:t>Address for Notice:</w:t>
            </w:r>
          </w:p>
        </w:tc>
        <w:tc>
          <w:tcPr>
            <w:tcW w:w="0" w:type="dxa"/>
            <w:vAlign w:val="bottom"/>
          </w:tcPr>
          <w:p>
            <w:pPr>
              <w:spacing w:after="0"/>
              <w:rPr>
                <w:sz w:val="1"/>
                <w:szCs w:val="1"/>
                <w:color w:val="auto"/>
              </w:rPr>
            </w:pPr>
          </w:p>
        </w:tc>
      </w:tr>
      <w:tr>
        <w:trPr>
          <w:trHeight w:val="20"/>
        </w:trPr>
        <w:tc>
          <w:tcPr>
            <w:tcW w:w="54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9"/>
        </w:trPr>
        <w:tc>
          <w:tcPr>
            <w:tcW w:w="5420" w:type="dxa"/>
            <w:vAlign w:val="bottom"/>
            <w:gridSpan w:val="2"/>
          </w:tcPr>
          <w:p>
            <w:pPr>
              <w:spacing w:after="0"/>
              <w:rPr>
                <w:sz w:val="20"/>
                <w:szCs w:val="20"/>
                <w:color w:val="auto"/>
              </w:rPr>
            </w:pPr>
            <w:r>
              <w:rPr>
                <w:rFonts w:ascii="Arial" w:cs="Arial" w:eastAsia="Arial" w:hAnsi="Arial"/>
                <w:sz w:val="18"/>
                <w:szCs w:val="18"/>
                <w:color w:val="auto"/>
              </w:rPr>
              <w:t>By:</w:t>
            </w:r>
          </w:p>
        </w:tc>
        <w:tc>
          <w:tcPr>
            <w:tcW w:w="200" w:type="dxa"/>
            <w:vAlign w:val="bottom"/>
          </w:tcPr>
          <w:p>
            <w:pPr>
              <w:spacing w:after="0"/>
              <w:rPr>
                <w:sz w:val="24"/>
                <w:szCs w:val="24"/>
                <w:color w:val="auto"/>
              </w:rPr>
            </w:pPr>
          </w:p>
        </w:tc>
        <w:tc>
          <w:tcPr>
            <w:tcW w:w="2080" w:type="dxa"/>
            <w:vAlign w:val="bottom"/>
            <w:gridSpan w:val="2"/>
          </w:tcPr>
          <w:p>
            <w:pPr>
              <w:spacing w:after="0"/>
              <w:rPr>
                <w:sz w:val="20"/>
                <w:szCs w:val="20"/>
                <w:color w:val="auto"/>
              </w:rPr>
            </w:pPr>
            <w:r>
              <w:rPr>
                <w:rFonts w:ascii="Arial" w:cs="Arial" w:eastAsia="Arial" w:hAnsi="Arial"/>
                <w:sz w:val="18"/>
                <w:szCs w:val="18"/>
                <w:color w:val="auto"/>
                <w:w w:val="98"/>
              </w:rPr>
              <w:t>595 Howe Street, 10 Floor</w:t>
            </w:r>
          </w:p>
        </w:tc>
        <w:tc>
          <w:tcPr>
            <w:tcW w:w="0" w:type="dxa"/>
            <w:vAlign w:val="bottom"/>
          </w:tcPr>
          <w:p>
            <w:pPr>
              <w:spacing w:after="0"/>
              <w:rPr>
                <w:sz w:val="1"/>
                <w:szCs w:val="1"/>
                <w:color w:val="auto"/>
              </w:rPr>
            </w:pPr>
          </w:p>
        </w:tc>
      </w:tr>
      <w:tr>
        <w:trPr>
          <w:trHeight w:val="194"/>
        </w:trPr>
        <w:tc>
          <w:tcPr>
            <w:tcW w:w="360" w:type="dxa"/>
            <w:vAlign w:val="bottom"/>
          </w:tcPr>
          <w:p>
            <w:pPr>
              <w:spacing w:after="0"/>
              <w:rPr>
                <w:sz w:val="16"/>
                <w:szCs w:val="16"/>
                <w:color w:val="auto"/>
              </w:rPr>
            </w:pPr>
          </w:p>
        </w:tc>
        <w:tc>
          <w:tcPr>
            <w:tcW w:w="5060" w:type="dxa"/>
            <w:vAlign w:val="bottom"/>
            <w:tcBorders>
              <w:top w:val="single" w:sz="8" w:color="auto"/>
            </w:tcBorders>
          </w:tcPr>
          <w:p>
            <w:pPr>
              <w:spacing w:after="0" w:line="194" w:lineRule="exact"/>
              <w:rPr>
                <w:sz w:val="20"/>
                <w:szCs w:val="20"/>
                <w:color w:val="auto"/>
              </w:rPr>
            </w:pPr>
            <w:r>
              <w:rPr>
                <w:rFonts w:ascii="Arial" w:cs="Arial" w:eastAsia="Arial" w:hAnsi="Arial"/>
                <w:sz w:val="18"/>
                <w:szCs w:val="18"/>
                <w:color w:val="auto"/>
              </w:rPr>
              <w:t>Name:</w:t>
            </w:r>
          </w:p>
        </w:tc>
        <w:tc>
          <w:tcPr>
            <w:tcW w:w="200" w:type="dxa"/>
            <w:vAlign w:val="bottom"/>
          </w:tcPr>
          <w:p>
            <w:pPr>
              <w:spacing w:after="0"/>
              <w:rPr>
                <w:sz w:val="16"/>
                <w:szCs w:val="16"/>
                <w:color w:val="auto"/>
              </w:rPr>
            </w:pPr>
          </w:p>
        </w:tc>
        <w:tc>
          <w:tcPr>
            <w:tcW w:w="2080" w:type="dxa"/>
            <w:vAlign w:val="bottom"/>
            <w:gridSpan w:val="2"/>
          </w:tcPr>
          <w:p>
            <w:pPr>
              <w:spacing w:after="0" w:line="194" w:lineRule="exact"/>
              <w:rPr>
                <w:sz w:val="20"/>
                <w:szCs w:val="20"/>
                <w:color w:val="auto"/>
              </w:rPr>
            </w:pPr>
            <w:r>
              <w:rPr>
                <w:rFonts w:ascii="Arial" w:cs="Arial" w:eastAsia="Arial" w:hAnsi="Arial"/>
                <w:sz w:val="18"/>
                <w:szCs w:val="18"/>
                <w:color w:val="auto"/>
                <w:w w:val="90"/>
              </w:rPr>
              <w:t>Vancouver, British Columbia</w:t>
            </w:r>
          </w:p>
        </w:tc>
        <w:tc>
          <w:tcPr>
            <w:tcW w:w="0" w:type="dxa"/>
            <w:vAlign w:val="bottom"/>
          </w:tcPr>
          <w:p>
            <w:pPr>
              <w:spacing w:after="0"/>
              <w:rPr>
                <w:sz w:val="1"/>
                <w:szCs w:val="1"/>
                <w:color w:val="auto"/>
              </w:rPr>
            </w:pPr>
          </w:p>
        </w:tc>
      </w:tr>
      <w:tr>
        <w:trPr>
          <w:trHeight w:val="213"/>
        </w:trPr>
        <w:tc>
          <w:tcPr>
            <w:tcW w:w="5420" w:type="dxa"/>
            <w:vAlign w:val="bottom"/>
            <w:gridSpan w:val="2"/>
          </w:tcPr>
          <w:p>
            <w:pPr>
              <w:ind w:left="360"/>
              <w:spacing w:after="0"/>
              <w:rPr>
                <w:sz w:val="20"/>
                <w:szCs w:val="20"/>
                <w:color w:val="auto"/>
              </w:rPr>
            </w:pPr>
            <w:r>
              <w:rPr>
                <w:rFonts w:ascii="Arial" w:cs="Arial" w:eastAsia="Arial" w:hAnsi="Arial"/>
                <w:sz w:val="18"/>
                <w:szCs w:val="18"/>
                <w:color w:val="auto"/>
              </w:rPr>
              <w:t>Title:</w:t>
            </w:r>
          </w:p>
        </w:tc>
        <w:tc>
          <w:tcPr>
            <w:tcW w:w="200" w:type="dxa"/>
            <w:vAlign w:val="bottom"/>
          </w:tcPr>
          <w:p>
            <w:pPr>
              <w:spacing w:after="0"/>
              <w:rPr>
                <w:sz w:val="18"/>
                <w:szCs w:val="18"/>
                <w:color w:val="auto"/>
              </w:rPr>
            </w:pPr>
          </w:p>
        </w:tc>
        <w:tc>
          <w:tcPr>
            <w:tcW w:w="2080" w:type="dxa"/>
            <w:vAlign w:val="bottom"/>
            <w:gridSpan w:val="2"/>
          </w:tcPr>
          <w:p>
            <w:pPr>
              <w:spacing w:after="0"/>
              <w:rPr>
                <w:sz w:val="20"/>
                <w:szCs w:val="20"/>
                <w:color w:val="auto"/>
              </w:rPr>
            </w:pPr>
            <w:r>
              <w:rPr>
                <w:rFonts w:ascii="Arial" w:cs="Arial" w:eastAsia="Arial" w:hAnsi="Arial"/>
                <w:sz w:val="18"/>
                <w:szCs w:val="18"/>
                <w:color w:val="auto"/>
              </w:rPr>
              <w:t>V6C 2T5</w:t>
            </w:r>
          </w:p>
        </w:tc>
        <w:tc>
          <w:tcPr>
            <w:tcW w:w="0" w:type="dxa"/>
            <w:vAlign w:val="bottom"/>
          </w:tcPr>
          <w:p>
            <w:pPr>
              <w:spacing w:after="0"/>
              <w:rPr>
                <w:sz w:val="1"/>
                <w:szCs w:val="1"/>
                <w:color w:val="auto"/>
              </w:rPr>
            </w:pPr>
          </w:p>
        </w:tc>
      </w:tr>
      <w:tr>
        <w:trPr>
          <w:trHeight w:val="226"/>
        </w:trPr>
        <w:tc>
          <w:tcPr>
            <w:tcW w:w="5420" w:type="dxa"/>
            <w:vAlign w:val="bottom"/>
            <w:gridSpan w:val="2"/>
            <w:vMerge w:val="restart"/>
          </w:tcPr>
          <w:p>
            <w:pPr>
              <w:spacing w:after="0"/>
              <w:rPr>
                <w:sz w:val="20"/>
                <w:szCs w:val="20"/>
                <w:color w:val="auto"/>
              </w:rPr>
            </w:pPr>
            <w:r>
              <w:rPr>
                <w:rFonts w:ascii="Arial" w:cs="Arial" w:eastAsia="Arial" w:hAnsi="Arial"/>
                <w:sz w:val="18"/>
                <w:szCs w:val="18"/>
                <w:color w:val="auto"/>
              </w:rPr>
              <w:t>With a copy to (which shall not constitute notice):</w:t>
            </w:r>
          </w:p>
        </w:tc>
        <w:tc>
          <w:tcPr>
            <w:tcW w:w="200" w:type="dxa"/>
            <w:vAlign w:val="bottom"/>
          </w:tcPr>
          <w:p>
            <w:pPr>
              <w:spacing w:after="0"/>
              <w:rPr>
                <w:sz w:val="19"/>
                <w:szCs w:val="19"/>
                <w:color w:val="auto"/>
              </w:rPr>
            </w:pPr>
          </w:p>
        </w:tc>
        <w:tc>
          <w:tcPr>
            <w:tcW w:w="2080" w:type="dxa"/>
            <w:vAlign w:val="bottom"/>
            <w:gridSpan w:val="2"/>
          </w:tcPr>
          <w:p>
            <w:pPr>
              <w:spacing w:after="0"/>
              <w:rPr>
                <w:sz w:val="20"/>
                <w:szCs w:val="20"/>
                <w:color w:val="auto"/>
              </w:rPr>
            </w:pPr>
            <w:r>
              <w:rPr>
                <w:rFonts w:ascii="Arial" w:cs="Arial" w:eastAsia="Arial" w:hAnsi="Arial"/>
                <w:sz w:val="18"/>
                <w:szCs w:val="18"/>
                <w:color w:val="auto"/>
              </w:rPr>
              <w:t>E-Mail: craig@metals.co</w:t>
            </w:r>
          </w:p>
        </w:tc>
        <w:tc>
          <w:tcPr>
            <w:tcW w:w="0" w:type="dxa"/>
            <w:vAlign w:val="bottom"/>
          </w:tcPr>
          <w:p>
            <w:pPr>
              <w:spacing w:after="0"/>
              <w:rPr>
                <w:sz w:val="1"/>
                <w:szCs w:val="1"/>
                <w:color w:val="auto"/>
              </w:rPr>
            </w:pPr>
          </w:p>
        </w:tc>
      </w:tr>
      <w:tr>
        <w:trPr>
          <w:trHeight w:val="200"/>
        </w:trPr>
        <w:tc>
          <w:tcPr>
            <w:tcW w:w="542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420" w:type="dxa"/>
            <w:vAlign w:val="bottom"/>
            <w:gridSpan w:val="2"/>
          </w:tcPr>
          <w:p>
            <w:pPr>
              <w:spacing w:after="0"/>
              <w:rPr>
                <w:sz w:val="20"/>
                <w:szCs w:val="20"/>
                <w:color w:val="auto"/>
              </w:rPr>
            </w:pPr>
            <w:r>
              <w:rPr>
                <w:rFonts w:ascii="Arial" w:cs="Arial" w:eastAsia="Arial" w:hAnsi="Arial"/>
                <w:sz w:val="18"/>
                <w:szCs w:val="18"/>
                <w:color w:val="auto"/>
              </w:rPr>
              <w:t>Mintz, Levin, Cohn, Ferris, Glovsky and Popeo, P.C.</w:t>
            </w: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420" w:type="dxa"/>
            <w:vAlign w:val="bottom"/>
            <w:gridSpan w:val="2"/>
          </w:tcPr>
          <w:p>
            <w:pPr>
              <w:spacing w:after="0"/>
              <w:rPr>
                <w:sz w:val="20"/>
                <w:szCs w:val="20"/>
                <w:color w:val="auto"/>
              </w:rPr>
            </w:pPr>
            <w:r>
              <w:rPr>
                <w:rFonts w:ascii="Arial" w:cs="Arial" w:eastAsia="Arial" w:hAnsi="Arial"/>
                <w:sz w:val="18"/>
                <w:szCs w:val="18"/>
                <w:color w:val="auto"/>
              </w:rPr>
              <w:t>Attn: Daniel T. Kajunski</w:t>
            </w: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420" w:type="dxa"/>
            <w:vAlign w:val="bottom"/>
            <w:gridSpan w:val="2"/>
          </w:tcPr>
          <w:p>
            <w:pPr>
              <w:spacing w:after="0"/>
              <w:rPr>
                <w:sz w:val="20"/>
                <w:szCs w:val="20"/>
                <w:color w:val="auto"/>
              </w:rPr>
            </w:pPr>
            <w:r>
              <w:rPr>
                <w:rFonts w:ascii="Arial" w:cs="Arial" w:eastAsia="Arial" w:hAnsi="Arial"/>
                <w:sz w:val="18"/>
                <w:szCs w:val="18"/>
                <w:color w:val="auto"/>
              </w:rPr>
              <w:t>One Financial Center</w:t>
            </w: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5420" w:type="dxa"/>
            <w:vAlign w:val="bottom"/>
            <w:gridSpan w:val="2"/>
          </w:tcPr>
          <w:p>
            <w:pPr>
              <w:spacing w:after="0"/>
              <w:rPr>
                <w:sz w:val="20"/>
                <w:szCs w:val="20"/>
                <w:color w:val="auto"/>
              </w:rPr>
            </w:pPr>
            <w:r>
              <w:rPr>
                <w:rFonts w:ascii="Arial" w:cs="Arial" w:eastAsia="Arial" w:hAnsi="Arial"/>
                <w:sz w:val="18"/>
                <w:szCs w:val="18"/>
                <w:color w:val="auto"/>
              </w:rPr>
              <w:t>Boston, MA 02111</w:t>
            </w: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[REMAINDER OF PAGE INTENTIONALLY LEFT BLANK</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FOR PURCHASER FOLLOWS]</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Securities Purchase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color w:val="auto"/>
        </w:rPr>
        <w:t>[PURCHASER SIGNATURE PAGES TO SECURITIES PURCHASE AGREEMENT]</w:t>
      </w:r>
    </w:p>
    <w:p>
      <w:pPr>
        <w:spacing w:after="0" w:line="220" w:lineRule="exact"/>
        <w:rPr>
          <w:sz w:val="20"/>
          <w:szCs w:val="20"/>
          <w:color w:val="auto"/>
        </w:rPr>
      </w:pPr>
    </w:p>
    <w:p>
      <w:pPr>
        <w:ind w:firstLine="640"/>
        <w:spacing w:after="0" w:line="270" w:lineRule="auto"/>
        <w:rPr>
          <w:sz w:val="20"/>
          <w:szCs w:val="20"/>
          <w:color w:val="auto"/>
        </w:rPr>
      </w:pPr>
      <w:r>
        <w:rPr>
          <w:rFonts w:ascii="Arial" w:cs="Arial" w:eastAsia="Arial" w:hAnsi="Arial"/>
          <w:sz w:val="18"/>
          <w:szCs w:val="18"/>
          <w:color w:val="auto"/>
        </w:rPr>
        <w:t>IN WITNESS WHEREOF, the undersigned have caused this Securities Purchase Agreement to be duly executed by their respective authorized signatories as of the date first indicated above.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Name of Purchaser: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1054735</wp:posOffset>
            </wp:positionH>
            <wp:positionV relativeFrom="paragraph">
              <wp:posOffset>13335</wp:posOffset>
            </wp:positionV>
            <wp:extent cx="536321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363210" cy="8255"/>
                    </a:xfrm>
                    <a:prstGeom prst="rect">
                      <a:avLst/>
                    </a:prstGeom>
                    <a:noFill/>
                  </pic:spPr>
                </pic:pic>
              </a:graphicData>
            </a:graphic>
          </wp:anchor>
        </w:drawing>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Signature of Authorized Signatory of Purchaser</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2444115</wp:posOffset>
            </wp:positionH>
            <wp:positionV relativeFrom="paragraph">
              <wp:posOffset>13335</wp:posOffset>
            </wp:positionV>
            <wp:extent cx="397383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973830" cy="8255"/>
                    </a:xfrm>
                    <a:prstGeom prst="rect">
                      <a:avLst/>
                    </a:prstGeom>
                    <a:noFill/>
                  </pic:spPr>
                </pic:pic>
              </a:graphicData>
            </a:graphic>
          </wp:anchor>
        </w:drawing>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Name of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1631315</wp:posOffset>
            </wp:positionH>
            <wp:positionV relativeFrom="paragraph">
              <wp:posOffset>13335</wp:posOffset>
            </wp:positionV>
            <wp:extent cx="478726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4787265" cy="8255"/>
                    </a:xfrm>
                    <a:prstGeom prst="rect">
                      <a:avLst/>
                    </a:prstGeom>
                    <a:noFill/>
                  </pic:spPr>
                </pic:pic>
              </a:graphicData>
            </a:graphic>
          </wp:anchor>
        </w:drawing>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Title of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1631315</wp:posOffset>
            </wp:positionH>
            <wp:positionV relativeFrom="paragraph">
              <wp:posOffset>13335</wp:posOffset>
            </wp:positionV>
            <wp:extent cx="478726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4787265" cy="8255"/>
                    </a:xfrm>
                    <a:prstGeom prst="rect">
                      <a:avLst/>
                    </a:prstGeom>
                    <a:noFill/>
                  </pic:spPr>
                </pic:pic>
              </a:graphicData>
            </a:graphic>
          </wp:anchor>
        </w:drawing>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Email Address of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2037715</wp:posOffset>
            </wp:positionH>
            <wp:positionV relativeFrom="paragraph">
              <wp:posOffset>13335</wp:posOffset>
            </wp:positionV>
            <wp:extent cx="438023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4380230" cy="8255"/>
                    </a:xfrm>
                    <a:prstGeom prst="rect">
                      <a:avLst/>
                    </a:prstGeom>
                    <a:noFill/>
                  </pic:spPr>
                </pic:pic>
              </a:graphicData>
            </a:graphic>
          </wp:anchor>
        </w:drawing>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Address for Notice to Purchaser:</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Address for Delivery of Securities to Purchaser (if not same as address for notice):</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Subscription Amount: $____________________</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[[_____] Subscription Amounts: $_________ (on the Closing Date) $_________ (by November 30, 2023) $_________ (by January 31, 2024)]</w:t>
      </w:r>
      <w:r>
        <w:rPr>
          <w:rFonts w:ascii="Arial" w:cs="Arial" w:eastAsia="Arial" w:hAnsi="Arial"/>
          <w:sz w:val="28"/>
          <w:szCs w:val="28"/>
          <w:color w:val="auto"/>
          <w:vertAlign w:val="superscript"/>
        </w:rPr>
        <w:t>1</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Shares: _________________________________</w:t>
      </w:r>
      <w:r>
        <w:rPr>
          <w:rFonts w:ascii="Arial" w:cs="Arial" w:eastAsia="Arial" w:hAnsi="Arial"/>
          <w:sz w:val="29"/>
          <w:szCs w:val="29"/>
          <w:color w:val="auto"/>
          <w:vertAlign w:val="superscript"/>
        </w:rPr>
        <w:t>2</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Warrant Shares:</w:t>
      </w:r>
    </w:p>
    <w:p>
      <w:pPr>
        <w:spacing w:after="0" w:line="19"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Beneficial Ownership Blocker: </w:t>
      </w:r>
      <w:r>
        <w:rPr>
          <w:rFonts w:ascii="MS PGothic" w:cs="MS PGothic" w:eastAsia="MS PGothic" w:hAnsi="MS PGothic"/>
          <w:sz w:val="18"/>
          <w:szCs w:val="18"/>
          <w:color w:val="auto"/>
        </w:rPr>
        <w:t>☐</w:t>
      </w:r>
      <w:r>
        <w:rPr>
          <w:rFonts w:ascii="Arial" w:cs="Arial" w:eastAsia="Arial" w:hAnsi="Arial"/>
          <w:sz w:val="18"/>
          <w:szCs w:val="18"/>
          <w:color w:val="auto"/>
        </w:rPr>
        <w:t xml:space="preserve"> 4.99% or </w:t>
      </w:r>
      <w:r>
        <w:rPr>
          <w:rFonts w:ascii="MS PGothic" w:cs="MS PGothic" w:eastAsia="MS PGothic" w:hAnsi="MS PGothic"/>
          <w:sz w:val="18"/>
          <w:szCs w:val="18"/>
          <w:color w:val="auto"/>
        </w:rPr>
        <w:t>☐</w:t>
      </w:r>
      <w:r>
        <w:rPr>
          <w:rFonts w:ascii="Arial" w:cs="Arial" w:eastAsia="Arial" w:hAnsi="Arial"/>
          <w:sz w:val="18"/>
          <w:szCs w:val="18"/>
          <w:color w:val="auto"/>
        </w:rPr>
        <w:t xml:space="preserve"> 9.99% or </w:t>
      </w:r>
      <w:r>
        <w:rPr>
          <w:rFonts w:ascii="MS PGothic" w:cs="MS PGothic" w:eastAsia="MS PGothic" w:hAnsi="MS PGothic"/>
          <w:sz w:val="18"/>
          <w:szCs w:val="18"/>
          <w:color w:val="auto"/>
        </w:rPr>
        <w:t>☐</w:t>
      </w:r>
      <w:r>
        <w:rPr>
          <w:rFonts w:ascii="Arial" w:cs="Arial" w:eastAsia="Arial" w:hAnsi="Arial"/>
          <w:sz w:val="18"/>
          <w:szCs w:val="18"/>
          <w:color w:val="auto"/>
        </w:rPr>
        <w:t xml:space="preserve"> 19.99%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978535</wp:posOffset>
            </wp:positionH>
            <wp:positionV relativeFrom="paragraph">
              <wp:posOffset>-130175</wp:posOffset>
            </wp:positionV>
            <wp:extent cx="543941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439410" cy="825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EIN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13335</wp:posOffset>
            </wp:positionV>
            <wp:extent cx="568515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85155" cy="8255"/>
                    </a:xfrm>
                    <a:prstGeom prst="rect">
                      <a:avLst/>
                    </a:prstGeom>
                    <a:noFill/>
                  </pic:spPr>
                </pic:pic>
              </a:graphicData>
            </a:graphic>
          </wp:anchor>
        </w:drawing>
      </w:r>
    </w:p>
    <w:p>
      <w:pPr>
        <w:spacing w:after="0" w:line="213" w:lineRule="exact"/>
        <w:rPr>
          <w:sz w:val="20"/>
          <w:szCs w:val="20"/>
          <w:color w:val="auto"/>
        </w:rPr>
      </w:pPr>
    </w:p>
    <w:p>
      <w:pPr>
        <w:jc w:val="both"/>
        <w:ind w:firstLine="7"/>
        <w:spacing w:after="0" w:line="286" w:lineRule="auto"/>
        <w:tabs>
          <w:tab w:leader="none" w:pos="358" w:val="left"/>
        </w:tabs>
        <w:numPr>
          <w:ilvl w:val="0"/>
          <w:numId w:val="31"/>
        </w:numPr>
        <w:rPr>
          <w:rFonts w:ascii="MS PGothic" w:cs="MS PGothic" w:eastAsia="MS PGothic" w:hAnsi="MS PGothic"/>
          <w:sz w:val="16"/>
          <w:szCs w:val="16"/>
          <w:color w:val="auto"/>
        </w:rPr>
      </w:pPr>
      <w:r>
        <w:rPr>
          <w:rFonts w:ascii="Arial" w:cs="Arial" w:eastAsia="Arial" w:hAnsi="Arial"/>
          <w:sz w:val="16"/>
          <w:szCs w:val="16"/>
          <w:color w:val="auto"/>
        </w:rPr>
        <w:t>Notwithstanding anything contained in this Agreement to the contrary, by checking this box (i) the obligations of the above-signed to purchase the securities set forth in this Agreement to be purchased from the Company by the above-signed, and the obligations of the Company to sell such securities to</w:t>
      </w:r>
    </w:p>
    <w:p>
      <w:pPr>
        <w:spacing w:after="0" w:line="1" w:lineRule="exact"/>
        <w:rPr>
          <w:sz w:val="20"/>
          <w:szCs w:val="20"/>
          <w:color w:val="auto"/>
        </w:rPr>
      </w:pPr>
    </w:p>
    <w:p>
      <w:pPr>
        <w:jc w:val="both"/>
        <w:spacing w:after="0"/>
        <w:rPr>
          <w:sz w:val="20"/>
          <w:szCs w:val="20"/>
          <w:color w:val="auto"/>
        </w:rPr>
      </w:pPr>
      <w:r>
        <w:rPr>
          <w:rFonts w:ascii="Arial" w:cs="Arial" w:eastAsia="Arial" w:hAnsi="Arial"/>
          <w:sz w:val="17"/>
          <w:szCs w:val="17"/>
          <w:color w:val="auto"/>
        </w:rPr>
        <w:t>the above-signed, shall be unconditional and all conditions to Closing shall be disregarded, (ii) the Closing shall occur on the second (2</w:t>
      </w:r>
      <w:r>
        <w:rPr>
          <w:rFonts w:ascii="Arial" w:cs="Arial" w:eastAsia="Arial" w:hAnsi="Arial"/>
          <w:sz w:val="28"/>
          <w:szCs w:val="28"/>
          <w:color w:val="auto"/>
          <w:vertAlign w:val="superscript"/>
        </w:rPr>
        <w:t>nd</w:t>
      </w:r>
      <w:r>
        <w:rPr>
          <w:rFonts w:ascii="Arial" w:cs="Arial" w:eastAsia="Arial" w:hAnsi="Arial"/>
          <w:sz w:val="17"/>
          <w:szCs w:val="17"/>
          <w:color w:val="auto"/>
        </w:rPr>
        <w:t>) Trading Day following the date of this Agreement and (iii) any condition to Closing contemplated by this Agreement (but prior to being disregarded by clause (i) above) that required delivery by the Company or the above-signed of any agreement, instrument, certificate or the like or purchase price (as applicable) shall no longer be a condition and shall instead be an unconditional obligation of the Company or the above-signed (as applicable) to deliver such agreement, instrument, certificate or the like or purchase price (as applicable) to such other party on the Closing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172720</wp:posOffset>
            </wp:positionV>
            <wp:extent cx="178752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787525" cy="8255"/>
                    </a:xfrm>
                    <a:prstGeom prst="rect">
                      <a:avLst/>
                    </a:prstGeom>
                    <a:noFill/>
                  </pic:spPr>
                </pic:pic>
              </a:graphicData>
            </a:graphic>
          </wp:anchor>
        </w:drawing>
      </w:r>
    </w:p>
    <w:p>
      <w:pPr>
        <w:spacing w:after="0" w:line="239" w:lineRule="exact"/>
        <w:rPr>
          <w:sz w:val="20"/>
          <w:szCs w:val="20"/>
          <w:color w:val="auto"/>
        </w:rPr>
      </w:pPr>
    </w:p>
    <w:p>
      <w:pPr>
        <w:ind w:left="120" w:hanging="113"/>
        <w:spacing w:after="0"/>
        <w:tabs>
          <w:tab w:leader="none" w:pos="120" w:val="left"/>
        </w:tabs>
        <w:numPr>
          <w:ilvl w:val="0"/>
          <w:numId w:val="32"/>
        </w:numPr>
        <w:rPr>
          <w:rFonts w:ascii="Arial" w:cs="Arial" w:eastAsia="Arial" w:hAnsi="Arial"/>
          <w:sz w:val="30"/>
          <w:szCs w:val="30"/>
          <w:color w:val="auto"/>
          <w:vertAlign w:val="superscript"/>
        </w:rPr>
      </w:pPr>
      <w:r>
        <w:rPr>
          <w:rFonts w:ascii="Arial" w:cs="Arial" w:eastAsia="Arial" w:hAnsi="Arial"/>
          <w:sz w:val="18"/>
          <w:szCs w:val="18"/>
          <w:color w:val="auto"/>
        </w:rPr>
        <w:t>If applicable.</w:t>
      </w:r>
    </w:p>
    <w:p>
      <w:pPr>
        <w:ind w:left="120" w:hanging="113"/>
        <w:spacing w:after="0" w:line="182" w:lineRule="auto"/>
        <w:tabs>
          <w:tab w:leader="none" w:pos="120" w:val="left"/>
        </w:tabs>
        <w:numPr>
          <w:ilvl w:val="0"/>
          <w:numId w:val="33"/>
        </w:numPr>
        <w:rPr>
          <w:rFonts w:ascii="Arial" w:cs="Arial" w:eastAsia="Arial" w:hAnsi="Arial"/>
          <w:sz w:val="29"/>
          <w:szCs w:val="29"/>
          <w:color w:val="auto"/>
          <w:vertAlign w:val="superscript"/>
        </w:rPr>
      </w:pPr>
      <w:r>
        <w:rPr>
          <w:rFonts w:ascii="Arial" w:cs="Arial" w:eastAsia="Arial" w:hAnsi="Arial"/>
          <w:sz w:val="17"/>
          <w:szCs w:val="17"/>
          <w:color w:val="auto"/>
        </w:rPr>
        <w:t>Please indicate amounts for [_____] Closing, if applicable, separately.</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PAGES CONTINUE]</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Securities Purchase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3422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60" w:name="page61"/>
    <w:bookmarkEnd w:id="60"/>
    <w:p>
      <w:pPr>
        <w:jc w:val="center"/>
        <w:ind w:right="19"/>
        <w:spacing w:after="0"/>
        <w:rPr>
          <w:sz w:val="20"/>
          <w:szCs w:val="20"/>
          <w:color w:val="auto"/>
        </w:rPr>
      </w:pPr>
      <w:r>
        <w:rPr>
          <w:rFonts w:ascii="Arial" w:cs="Arial" w:eastAsia="Arial" w:hAnsi="Arial"/>
          <w:sz w:val="18"/>
          <w:szCs w:val="18"/>
          <w:u w:val="single" w:color="auto"/>
          <w:color w:val="auto"/>
        </w:rPr>
        <w:t>EXHIBIT A</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Form of Class A Purchase Warrant</w:t>
      </w: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13335</wp:posOffset>
            </wp:positionV>
            <wp:extent cx="713422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9019"/>
          </w:cols>
          <w:pgMar w:left="1440" w:top="899" w:right="1440" w:bottom="1440" w:gutter="0" w:footer="0" w:header="0"/>
        </w:sectPr>
      </w:pPr>
    </w:p>
    <w:bookmarkStart w:id="61" w:name="page62"/>
    <w:bookmarkEnd w:id="61"/>
    <w:p>
      <w:pPr>
        <w:ind w:left="10140"/>
        <w:spacing w:after="0"/>
        <w:rPr>
          <w:sz w:val="20"/>
          <w:szCs w:val="20"/>
          <w:color w:val="auto"/>
        </w:rPr>
      </w:pPr>
      <w:r>
        <w:rPr>
          <w:rFonts w:ascii="Arial" w:cs="Arial" w:eastAsia="Arial" w:hAnsi="Arial"/>
          <w:sz w:val="19"/>
          <w:szCs w:val="19"/>
          <w:b w:val="1"/>
          <w:bCs w:val="1"/>
          <w:color w:val="auto"/>
        </w:rPr>
        <w:t>Exhibit 99.1</w:t>
      </w:r>
    </w:p>
    <w:p>
      <w:pPr>
        <w:spacing w:after="0" w:line="24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registrant is filing this Exhibit 99.1 for the purpose of incorporating the information set forth herein by reference into the registration statement on Form S-3 (Reg. No. 333-267479) that was filed by the registrant with the Securities and Exchange Commission (the “SEC”) on September 16, 2022, as amended, and declared effective by the SEC on October 14, 2022.</w:t>
      </w:r>
    </w:p>
    <w:p>
      <w:pPr>
        <w:spacing w:after="0" w:line="186"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The following table sets forth the estimated costs and expenses, other than fees payable to our financial advisors, payable by the registrant in connection with the sale of the securities being registered: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70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2020" w:type="dxa"/>
            <w:vAlign w:val="bottom"/>
            <w:gridSpan w:val="2"/>
            <w:shd w:val="clear" w:color="auto" w:fill="CCEEFF"/>
          </w:tcPr>
          <w:p>
            <w:pPr>
              <w:jc w:val="right"/>
              <w:ind w:right="428"/>
              <w:spacing w:after="0"/>
              <w:rPr>
                <w:sz w:val="20"/>
                <w:szCs w:val="20"/>
                <w:color w:val="auto"/>
              </w:rPr>
            </w:pPr>
            <w:r>
              <w:rPr>
                <w:rFonts w:ascii="Arial" w:cs="Arial" w:eastAsia="Arial" w:hAnsi="Arial"/>
                <w:sz w:val="18"/>
                <w:szCs w:val="18"/>
                <w:color w:val="auto"/>
              </w:rPr>
              <w:t>$</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tcPr>
          <w:p>
            <w:pPr>
              <w:spacing w:after="0"/>
              <w:rPr>
                <w:sz w:val="18"/>
                <w:szCs w:val="18"/>
                <w:color w:val="auto"/>
              </w:rPr>
            </w:pPr>
          </w:p>
        </w:tc>
      </w:tr>
      <w:tr>
        <w:trPr>
          <w:trHeight w:val="213"/>
        </w:trPr>
        <w:tc>
          <w:tcPr>
            <w:tcW w:w="170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FINRA filing fee</w:t>
            </w:r>
          </w:p>
        </w:tc>
        <w:tc>
          <w:tcPr>
            <w:tcW w:w="1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680" w:type="dxa"/>
            <w:vAlign w:val="bottom"/>
          </w:tcPr>
          <w:p>
            <w:pPr>
              <w:spacing w:after="0"/>
              <w:rPr>
                <w:sz w:val="18"/>
                <w:szCs w:val="18"/>
                <w:color w:val="auto"/>
              </w:rPr>
            </w:pPr>
          </w:p>
        </w:tc>
      </w:tr>
      <w:tr>
        <w:trPr>
          <w:trHeight w:val="213"/>
        </w:trPr>
        <w:tc>
          <w:tcPr>
            <w:tcW w:w="170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Printing and engraving expenses</w:t>
            </w:r>
          </w:p>
        </w:tc>
        <w:tc>
          <w:tcPr>
            <w:tcW w:w="14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1680" w:type="dxa"/>
            <w:vAlign w:val="bottom"/>
          </w:tcPr>
          <w:p>
            <w:pPr>
              <w:spacing w:after="0"/>
              <w:rPr>
                <w:sz w:val="18"/>
                <w:szCs w:val="18"/>
                <w:color w:val="auto"/>
              </w:rPr>
            </w:pPr>
          </w:p>
        </w:tc>
      </w:tr>
      <w:tr>
        <w:trPr>
          <w:trHeight w:val="213"/>
        </w:trPr>
        <w:tc>
          <w:tcPr>
            <w:tcW w:w="170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1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425,000</w:t>
            </w:r>
          </w:p>
        </w:tc>
        <w:tc>
          <w:tcPr>
            <w:tcW w:w="1680" w:type="dxa"/>
            <w:vAlign w:val="bottom"/>
          </w:tcPr>
          <w:p>
            <w:pPr>
              <w:spacing w:after="0"/>
              <w:rPr>
                <w:sz w:val="18"/>
                <w:szCs w:val="18"/>
                <w:color w:val="auto"/>
              </w:rPr>
            </w:pPr>
          </w:p>
        </w:tc>
      </w:tr>
      <w:tr>
        <w:trPr>
          <w:trHeight w:val="213"/>
        </w:trPr>
        <w:tc>
          <w:tcPr>
            <w:tcW w:w="170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Accountants’ fees and expenses</w:t>
            </w:r>
          </w:p>
        </w:tc>
        <w:tc>
          <w:tcPr>
            <w:tcW w:w="14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55,000</w:t>
            </w:r>
          </w:p>
        </w:tc>
        <w:tc>
          <w:tcPr>
            <w:tcW w:w="1680" w:type="dxa"/>
            <w:vAlign w:val="bottom"/>
          </w:tcPr>
          <w:p>
            <w:pPr>
              <w:spacing w:after="0"/>
              <w:rPr>
                <w:sz w:val="18"/>
                <w:szCs w:val="18"/>
                <w:color w:val="auto"/>
              </w:rPr>
            </w:pPr>
          </w:p>
        </w:tc>
      </w:tr>
      <w:tr>
        <w:trPr>
          <w:trHeight w:val="213"/>
        </w:trPr>
        <w:tc>
          <w:tcPr>
            <w:tcW w:w="170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Transfer agent and registrar fees and expenses</w:t>
            </w:r>
          </w:p>
        </w:tc>
        <w:tc>
          <w:tcPr>
            <w:tcW w:w="1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15,000</w:t>
            </w:r>
          </w:p>
        </w:tc>
        <w:tc>
          <w:tcPr>
            <w:tcW w:w="1680" w:type="dxa"/>
            <w:vAlign w:val="bottom"/>
          </w:tcPr>
          <w:p>
            <w:pPr>
              <w:spacing w:after="0"/>
              <w:rPr>
                <w:sz w:val="18"/>
                <w:szCs w:val="18"/>
                <w:color w:val="auto"/>
              </w:rPr>
            </w:pPr>
          </w:p>
        </w:tc>
      </w:tr>
      <w:tr>
        <w:trPr>
          <w:trHeight w:val="227"/>
        </w:trPr>
        <w:tc>
          <w:tcPr>
            <w:tcW w:w="1700" w:type="dxa"/>
            <w:vAlign w:val="bottom"/>
          </w:tcPr>
          <w:p>
            <w:pPr>
              <w:spacing w:after="0"/>
              <w:rPr>
                <w:sz w:val="19"/>
                <w:szCs w:val="19"/>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Miscellaneous expenses</w:t>
            </w:r>
          </w:p>
        </w:tc>
        <w:tc>
          <w:tcPr>
            <w:tcW w:w="144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680" w:type="dxa"/>
            <w:vAlign w:val="bottom"/>
          </w:tcPr>
          <w:p>
            <w:pPr>
              <w:spacing w:after="0"/>
              <w:rPr>
                <w:sz w:val="19"/>
                <w:szCs w:val="19"/>
                <w:color w:val="auto"/>
              </w:rPr>
            </w:pPr>
          </w:p>
        </w:tc>
      </w:tr>
      <w:tr>
        <w:trPr>
          <w:trHeight w:val="220"/>
        </w:trPr>
        <w:tc>
          <w:tcPr>
            <w:tcW w:w="170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Total</w:t>
            </w:r>
          </w:p>
        </w:tc>
        <w:tc>
          <w:tcPr>
            <w:tcW w:w="1440" w:type="dxa"/>
            <w:vAlign w:val="bottom"/>
          </w:tcPr>
          <w:p>
            <w:pPr>
              <w:spacing w:after="0"/>
              <w:rPr>
                <w:sz w:val="19"/>
                <w:szCs w:val="19"/>
                <w:color w:val="auto"/>
              </w:rPr>
            </w:pPr>
          </w:p>
        </w:tc>
        <w:tc>
          <w:tcPr>
            <w:tcW w:w="580" w:type="dxa"/>
            <w:vAlign w:val="bottom"/>
          </w:tcPr>
          <w:p>
            <w:pPr>
              <w:jc w:val="right"/>
              <w:ind w:right="428"/>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520,000</w:t>
            </w:r>
          </w:p>
        </w:tc>
        <w:tc>
          <w:tcPr>
            <w:tcW w:w="1680" w:type="dxa"/>
            <w:vAlign w:val="bottom"/>
          </w:tcPr>
          <w:p>
            <w:pPr>
              <w:spacing w:after="0"/>
              <w:rPr>
                <w:sz w:val="19"/>
                <w:szCs w:val="19"/>
                <w:color w:val="auto"/>
              </w:rPr>
            </w:pPr>
          </w:p>
        </w:tc>
      </w:tr>
      <w:tr>
        <w:trPr>
          <w:trHeight w:val="654"/>
        </w:trPr>
        <w:tc>
          <w:tcPr>
            <w:tcW w:w="1700" w:type="dxa"/>
            <w:vAlign w:val="bottom"/>
            <w:tcBorders>
              <w:bottom w:val="single" w:sz="8" w:color="auto"/>
            </w:tcBorders>
          </w:tcPr>
          <w:p>
            <w:pPr>
              <w:spacing w:after="0"/>
              <w:rPr>
                <w:sz w:val="24"/>
                <w:szCs w:val="24"/>
                <w:color w:val="auto"/>
              </w:rPr>
            </w:pPr>
          </w:p>
        </w:tc>
        <w:tc>
          <w:tcPr>
            <w:tcW w:w="47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2" w:right="339" w:bottom="1440" w:gutter="0" w:footer="0" w:header="0"/>
        </w:sectPr>
      </w:pPr>
    </w:p>
    <w:bookmarkStart w:id="62" w:name="page63"/>
    <w:bookmarkEnd w:id="62"/>
    <w:p>
      <w:pPr>
        <w:ind w:left="10140"/>
        <w:spacing w:after="0"/>
        <w:rPr>
          <w:sz w:val="20"/>
          <w:szCs w:val="20"/>
          <w:color w:val="auto"/>
        </w:rPr>
      </w:pPr>
      <w:r>
        <w:rPr>
          <w:rFonts w:ascii="Arial" w:cs="Arial" w:eastAsia="Arial" w:hAnsi="Arial"/>
          <w:sz w:val="19"/>
          <w:szCs w:val="19"/>
          <w:b w:val="1"/>
          <w:bCs w:val="1"/>
          <w:color w:val="auto"/>
        </w:rPr>
        <w:t>Exhibit 99.2</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The Metals Company Announces ~US$27 Million Registered Direct Offering at $2.00 Per Share Plus Class A Warrants</w:t>
      </w:r>
    </w:p>
    <w:p>
      <w:pPr>
        <w:spacing w:after="0" w:line="26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NEW YORK — Aug. 14, 2023 — TMC the metals company Inc. (Nasdaq: TMC) (“TMC” or the “Company”), an explorer of lower-impact battery metals from seafloor polymetallic nodules, today announced that it has entered into a securities purchase agreement with certain investors for the purchase of 13,461,540 common shares of the Company (the “Shares”), without par value (“Common Shares”), and accompanying Class A warrants (the “Class A Warrants” and collectively with the Shares and Class A Warrants, the “Securities”) to purchase up to 6,730,770 Common Shares in a registered direct offering. Each Common Share and the accompanying Class A Warrant to purchase 0.5 Common Shares are being sold at a price of US$2.00. The Class A Warrants have an initial exercise price of US$3.00 per share, subject to certain adjustments therein, are exercisable immediately upon issuance and will expire on December 31, 2027.</w:t>
      </w:r>
    </w:p>
    <w:p>
      <w:pPr>
        <w:spacing w:after="0" w:line="19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Gross proceeds to the Company from the offering are expected to be approximately US$27 million, before deducting the financial advisors’ fees and other offering expenses payable by the Company. The Company intends to use the net proceeds from the offering on working capital and general corporate purposes.</w:t>
      </w:r>
    </w:p>
    <w:p>
      <w:pPr>
        <w:spacing w:after="0" w:line="186"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In addition, certain investors may purchase up to an aggregate of 5,500,000 additional Shares and accompanying Class A Warrants to purchase up to an aggregate of 2,750,000 additional Common Shares upon notice to the Company on or before September 15, 2023 if the closing price of the Common Shares on the trading day before such investor’s notice is $3.00 or less for an aggregate of up to an additional US$11 million.</w:t>
      </w:r>
    </w:p>
    <w:p>
      <w:pPr>
        <w:spacing w:after="0" w:line="167"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ERAS Capital LLC, the family fund of the Company’s director, Andrei Karkar, and existing shareholder, agreed to purchase 5,000,000 Common Shares and accompanying Class A Warrants to purchase 2,500,000 Common Shares for a total purchase price of US$10 million. In addition, Allseas Group S.A., a strategic partner of the Company and existing shareholder, agreed to purchase 3,500,000 Common Shares and accompanying Class A Warrants to purchase 1,750,000 Common Shares for a total purchase price of US$7 million. The Company’s Chief Executive Officer and Chairman, Gerard Barron, the Company’s Chief Financial Officer, Craig Shesky, and other members of the Company’s board of directors also agreed to purchase Securities in the offering.</w:t>
      </w:r>
    </w:p>
    <w:p>
      <w:pPr>
        <w:spacing w:after="0" w:line="16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initial closing of the offering is expected on or about August 16, 2023, subject to the satisfaction of customary closing conditions. Two additional closings for US$2.5 million and US$6.5 million are expected to occur on or before November 30, 2023 and January 31, 2024, respectively, with respect to one of the investors in the offering pursuant to the terms of the securities purchase agreement.</w:t>
      </w:r>
    </w:p>
    <w:p>
      <w:pPr>
        <w:spacing w:after="0" w:line="186"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Cantor Fitzgerald &amp; Co., Wedbush Securities LLC, EAS Advisors LLC, Fearnley Securities Inc. and ThinkEquity LLC are engaged by the Company as financial advisors.</w:t>
      </w:r>
    </w:p>
    <w:p>
      <w:pPr>
        <w:spacing w:after="0" w:line="17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Securities are being offered by the Company pursuant to an effective shelf registration statement that was previously filed with the U.S. Securities and Exchange Commission (“SEC”) on September 16, 2022, as amended, and declared effective by the SEC on October 14, 2022 (Reg. No. 333-267479). The offering is being made only by means of a written prospectus and prospectus supplement that form a part of the registration statement. A prospectus supplement dated August 14, 2023 relating to and describing the terms of the offering will be filed with the SEC and will be available on the SEC’s website at www.sec.gov.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417830</wp:posOffset>
            </wp:positionV>
            <wp:extent cx="713422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3" w:name="page64"/>
    <w:bookmarkEnd w:id="63"/>
    <w:p>
      <w:pPr>
        <w:jc w:val="both"/>
        <w:spacing w:after="0" w:line="258" w:lineRule="auto"/>
        <w:rPr>
          <w:sz w:val="20"/>
          <w:szCs w:val="20"/>
          <w:color w:val="auto"/>
        </w:rPr>
      </w:pPr>
      <w:r>
        <w:rPr>
          <w:rFonts w:ascii="Arial" w:cs="Arial" w:eastAsia="Arial" w:hAnsi="Arial"/>
          <w:sz w:val="18"/>
          <w:szCs w:val="18"/>
          <w:color w:val="auto"/>
        </w:rPr>
        <w:t>This press release shall not constitute an offer to sell or a solicitation of an offer to buy these securities, nor shall there be any sale of these securities in any state or jurisdiction in which such offer, solicitation or sale would be unlawful prior to the registration or qualification under the securities laws of any such state or jurisdiction.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The Metals Company</w:t>
      </w:r>
    </w:p>
    <w:p>
      <w:pPr>
        <w:spacing w:after="0" w:line="22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Metals Company is an explorer of lower-impact battery metals from seafloor polymetallic nodules on a dual mission: (1) supply metals for the clean energy transition with the least possible negative environmental and social impact and (2) accelerate the transition to a circular metal economy. The Company, through its subsidiaries, holds exploration and commercial rights to three polymetallic nodule contract areas in the Clarion Clipperton Zone of the Pacific Ocean regulated by the International Seabed Authority and sponsored by the governments of Nauru, Kiribati and the Kingdom of Tonga.</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4"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This press release contains “forward-looking” statements and information within the meaning of the Private Securities Litigation Reform Act of 1995. These statements may be identified by words such as “aims,” “anticipates,” “believes,” “could,” “estimates,” “expects,” “forecasts,” “goal,” “intends,” “may,” “plans,” “possible,” “potential,” “seeks,” “will” and variations of these words or similar expressions, although not all forward-looking statements contain these words. Forward-looking statements in this press release include, but are not limited to, statements concerning: the timing, terms and size of the registered direct offering, the possibility that the registered direct offering will be completed and the anticipated uses of the proceeds from the registered direct offering. The Company may not actually achieve the plans, intentions or expectations disclosed in these forward-looking statements, and you should not place undue reliance on these forward-looking statements. Actual results or events could differ materially from the plans, intentions and expectations disclosed in these forward-looking statements as a result of various factors, including, among other things: the Company’s ability to satisfy the closing conditions in the securities purchase agreement; the risk that the investors will not exercise the warrants issued or issuable as part of the registered direct offering; the Company’s strategies and future financial performance; the International Seabed Authority’s (“ISA”) ability to timely adopt the Mining Code and/or willingness to review and/or approve a plan of work for exploitation under the United Nations Convention on the Laws of the Sea (UNCLOS); the Company’s ability to obtain exploitation contracts or approved plans of work for exploitation for its areas in the Clarion Clipperton Zone; regulatory uncertainties and the impact of government regulation and political instability on the Company’s resource activities; changes to any of the laws, rules, regulations or policies to which the Company is subject, including the terms of the final Mining Code, if any, adopted by ISA and the potential timing thereof; the impact of extensive and costly environmental requirements on the Company’s operations; environmental liabilities; the impact of polymetallic nodule collection on biodiversity in the Clarion Clipperton Zone and recovery rates of impacted ecosystems; the Company’s ability to develop minerals in sufficient grade or quantities to justify commercial operations; the lack of development of seafloor polymetallic nodule deposit; the Company’s ability to successfully enter into binding agreements with Allseas Group S.A. and other parties in which it is in discussions, if any,; uncertainty in the estimates for mineral resource calculations from certain contract areas and for the grade and quality of polymetallic nodule deposits; risks associated with natural hazards; uncertainty with respect to the specialized treatment and processing of polymetallic nodules that the Company may recover; risks associated with collective, development and processing operations, including with respect to the development of onshore processing capabilities and capacity and Allseas Group S.A.’s expected development efforts with respect to the Project Zero offshore system; the Company’s dependence on Allseas Group S.A.; fluctuations in transportation costs; fluctuations in metals prices; testing and manufacturing of equipment; risks associated with the Company’s limited operating history, limited cash resources and need for additional financing; risks associated with the Company’s intellectual property; Low Carbon Royalties’ limited operating history and other risks and uncertainties, any of which could cause the Company’s actual results to differ from those contained in the forward-looking statements, that are described in greater detail in the section entitled “Risk Factors” in the Company’s Annual Report on Form 10-K filed with the SEC on March 27, 2023, as well as in other filings the Company may make with the SEC in the future. Any forward-looking statements contained in this press release speak only as of the date hereof, and the Company expressly disclaims any obligation to update any forward-looking statements contained herein, whether because of any new information, future events, changed circumstances or otherwise, except as otherwise required by law.</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More Info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Media | </w:t>
      </w:r>
      <w:r>
        <w:rPr>
          <w:rFonts w:ascii="Arial" w:cs="Arial" w:eastAsia="Arial" w:hAnsi="Arial"/>
          <w:sz w:val="18"/>
          <w:szCs w:val="18"/>
          <w:u w:val="single" w:color="auto"/>
          <w:color w:val="auto"/>
        </w:rPr>
        <w:t>media@metals.co</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Investors | </w:t>
      </w:r>
      <w:r>
        <w:rPr>
          <w:rFonts w:ascii="Arial" w:cs="Arial" w:eastAsia="Arial" w:hAnsi="Arial"/>
          <w:sz w:val="18"/>
          <w:szCs w:val="18"/>
          <w:u w:val="single" w:color="auto"/>
          <w:color w:val="auto"/>
        </w:rPr>
        <w:t>investors@metals.co</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sectPr>
      <w:pgSz w:w="11900" w:h="16838" w:orient="portrait"/>
      <w:cols w:equalWidth="0" w:num="1">
        <w:col w:w="11240"/>
      </w:cols>
      <w:pgMar w:left="320" w:top="89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1)"/>
      <w:numFmt w:val="lowerLetter"/>
      <w:start w:val="4"/>
    </w:lvl>
  </w:abstractNum>
  <w:abstractNum w:abstractNumId="2">
    <w:nsid w:val="431BD7B7"/>
    <w:multiLevelType w:val="hybridMultilevel"/>
    <w:lvl w:ilvl="0">
      <w:lvlJc w:val="left"/>
      <w:lvlText w:val="%1)"/>
      <w:numFmt w:val="lowerLetter"/>
      <w:start w:val="1"/>
    </w:lvl>
  </w:abstractNum>
  <w:abstractNum w:abstractNumId="3">
    <w:nsid w:val="3F2DBA31"/>
    <w:multiLevelType w:val="hybridMultilevel"/>
    <w:lvl w:ilvl="0">
      <w:lvlJc w:val="left"/>
      <w:lvlText w:val="(%1)"/>
      <w:numFmt w:val="upperLetter"/>
      <w:start w:val="1"/>
    </w:lvl>
    <w:lvl w:ilvl="1">
      <w:lvlJc w:val="left"/>
      <w:lvlText w:val="(%2)"/>
      <w:numFmt w:val="lowerLetter"/>
      <w:start w:val="25"/>
    </w:lvl>
  </w:abstractNum>
  <w:abstractNum w:abstractNumId="4">
    <w:nsid w:val="7C83E458"/>
    <w:multiLevelType w:val="hybridMultilevel"/>
    <w:lvl w:ilvl="0">
      <w:lvlJc w:val="left"/>
      <w:lvlText w:val="(%1)"/>
      <w:numFmt w:val="upperLetter"/>
      <w:start w:val="24"/>
    </w:lvl>
  </w:abstractNum>
  <w:abstractNum w:abstractNumId="5">
    <w:nsid w:val="257130A3"/>
    <w:multiLevelType w:val="hybridMultilevel"/>
    <w:lvl w:ilvl="0">
      <w:lvlJc w:val="left"/>
      <w:lvlText w:val="%1)"/>
      <w:numFmt w:val="lowerLetter"/>
      <w:start w:val="4"/>
    </w:lvl>
    <w:lvl w:ilvl="1">
      <w:lvlJc w:val="left"/>
      <w:lvlText w:val="%2."/>
      <w:numFmt w:val="lowerRoman"/>
      <w:start w:val="1"/>
    </w:lvl>
  </w:abstractNum>
  <w:abstractNum w:abstractNumId="6">
    <w:nsid w:val="62BBD95A"/>
    <w:multiLevelType w:val="hybridMultilevel"/>
    <w:lvl w:ilvl="0">
      <w:lvlJc w:val="left"/>
      <w:lvlText w:val="%1."/>
      <w:numFmt w:val="lowerRoman"/>
      <w:start w:val="4"/>
    </w:lvl>
  </w:abstractNum>
  <w:abstractNum w:abstractNumId="7">
    <w:nsid w:val="436C6125"/>
    <w:multiLevelType w:val="hybridMultilevel"/>
    <w:lvl w:ilvl="0">
      <w:lvlJc w:val="left"/>
      <w:lvlText w:val="%1)"/>
      <w:numFmt w:val="lowerLetter"/>
      <w:start w:val="5"/>
    </w:lvl>
  </w:abstractNum>
  <w:abstractNum w:abstractNumId="8">
    <w:nsid w:val="628C895D"/>
    <w:multiLevelType w:val="hybridMultilevel"/>
    <w:lvl w:ilvl="0">
      <w:lvlJc w:val="left"/>
      <w:lvlText w:val="%1"/>
      <w:numFmt w:val="lowerRoman"/>
      <w:start w:val="1"/>
    </w:lvl>
    <w:lvl w:ilvl="1">
      <w:lvlJc w:val="left"/>
      <w:lvlText w:val="%2)"/>
      <w:numFmt w:val="lowerLetter"/>
      <w:start w:val="6"/>
    </w:lvl>
  </w:abstractNum>
  <w:abstractNum w:abstractNumId="9">
    <w:nsid w:val="333AB105"/>
    <w:multiLevelType w:val="hybridMultilevel"/>
    <w:lvl w:ilvl="0">
      <w:lvlJc w:val="left"/>
      <w:lvlText w:val="(%1)"/>
      <w:numFmt w:val="lowerRoman"/>
      <w:start w:val="10"/>
    </w:lvl>
    <w:lvl w:ilvl="1">
      <w:lvlJc w:val="left"/>
      <w:lvlText w:val="%2)"/>
      <w:numFmt w:val="lowerLetter"/>
      <w:start w:val="7"/>
    </w:lvl>
  </w:abstractNum>
  <w:abstractNum w:abstractNumId="10">
    <w:nsid w:val="721DA317"/>
    <w:multiLevelType w:val="hybridMultilevel"/>
    <w:lvl w:ilvl="0">
      <w:lvlJc w:val="left"/>
      <w:lvlText w:val="%1)"/>
      <w:numFmt w:val="lowerLetter"/>
      <w:start w:val="1"/>
    </w:lvl>
  </w:abstractNum>
  <w:abstractNum w:abstractNumId="11">
    <w:nsid w:val="2443A858"/>
    <w:multiLevelType w:val="hybridMultilevel"/>
    <w:lvl w:ilvl="0">
      <w:lvlJc w:val="left"/>
      <w:lvlText w:val="%1)"/>
      <w:numFmt w:val="lowerLetter"/>
      <w:start w:val="2"/>
    </w:lvl>
  </w:abstractNum>
  <w:abstractNum w:abstractNumId="12">
    <w:nsid w:val="2D1D5AE9"/>
    <w:multiLevelType w:val="hybridMultilevel"/>
    <w:lvl w:ilvl="0">
      <w:lvlJc w:val="left"/>
      <w:lvlText w:val="%1)"/>
      <w:numFmt w:val="lowerLetter"/>
      <w:start w:val="4"/>
    </w:lvl>
    <w:lvl w:ilvl="1">
      <w:lvlJc w:val="left"/>
      <w:lvlText w:val="%2."/>
      <w:numFmt w:val="lowerRoman"/>
      <w:start w:val="1"/>
    </w:lvl>
  </w:abstractNum>
  <w:abstractNum w:abstractNumId="13">
    <w:nsid w:val="6763845E"/>
    <w:multiLevelType w:val="hybridMultilevel"/>
    <w:lvl w:ilvl="0">
      <w:lvlJc w:val="left"/>
      <w:lvlText w:val="%1."/>
      <w:numFmt w:val="lowerRoman"/>
      <w:start w:val="2"/>
    </w:lvl>
  </w:abstractNum>
  <w:abstractNum w:abstractNumId="14">
    <w:nsid w:val="75A2A8D4"/>
    <w:multiLevelType w:val="hybridMultilevel"/>
    <w:lvl w:ilvl="0">
      <w:lvlJc w:val="left"/>
      <w:lvlText w:val="%1)"/>
      <w:numFmt w:val="lowerLetter"/>
      <w:start w:val="1"/>
    </w:lvl>
  </w:abstractNum>
  <w:abstractNum w:abstractNumId="15">
    <w:nsid w:val="8EDBDAB"/>
    <w:multiLevelType w:val="hybridMultilevel"/>
    <w:lvl w:ilvl="0">
      <w:lvlJc w:val="left"/>
      <w:lvlText w:val="%1)"/>
      <w:numFmt w:val="lowerLetter"/>
      <w:start w:val="2"/>
    </w:lvl>
  </w:abstractNum>
  <w:abstractNum w:abstractNumId="16">
    <w:nsid w:val="79838CB2"/>
    <w:multiLevelType w:val="hybridMultilevel"/>
    <w:lvl w:ilvl="0">
      <w:lvlJc w:val="left"/>
      <w:lvlText w:val="%1)"/>
      <w:numFmt w:val="lowerLetter"/>
      <w:start w:val="1"/>
    </w:lvl>
  </w:abstractNum>
  <w:abstractNum w:abstractNumId="17">
    <w:nsid w:val="4353D0CD"/>
    <w:multiLevelType w:val="hybridMultilevel"/>
    <w:lvl w:ilvl="0">
      <w:lvlJc w:val="left"/>
      <w:lvlText w:val="%1)"/>
      <w:numFmt w:val="lowerLetter"/>
      <w:start w:val="5"/>
    </w:lvl>
  </w:abstractNum>
  <w:abstractNum w:abstractNumId="18">
    <w:nsid w:val="B03E0C6"/>
    <w:multiLevelType w:val="hybridMultilevel"/>
    <w:lvl w:ilvl="0">
      <w:lvlJc w:val="left"/>
      <w:lvlText w:val="(%1)"/>
      <w:numFmt w:val="upperLetter"/>
      <w:start w:val="1"/>
    </w:lvl>
    <w:lvl w:ilvl="1">
      <w:lvlJc w:val="left"/>
      <w:lvlText w:val="%2)"/>
      <w:numFmt w:val="lowerLetter"/>
      <w:start w:val="9"/>
    </w:lvl>
  </w:abstractNum>
  <w:abstractNum w:abstractNumId="19">
    <w:nsid w:val="189A769B"/>
    <w:multiLevelType w:val="hybridMultilevel"/>
    <w:lvl w:ilvl="0">
      <w:lvlJc w:val="left"/>
      <w:lvlText w:val="(%1)"/>
      <w:numFmt w:val="decimal"/>
      <w:start w:val="1"/>
    </w:lvl>
  </w:abstractNum>
  <w:abstractNum w:abstractNumId="20">
    <w:nsid w:val="54E49EB4"/>
    <w:multiLevelType w:val="hybridMultilevel"/>
    <w:lvl w:ilvl="0">
      <w:lvlJc w:val="left"/>
      <w:lvlText w:val="(%1)"/>
      <w:numFmt w:val="decimal"/>
      <w:start w:val="3"/>
    </w:lvl>
  </w:abstractNum>
  <w:abstractNum w:abstractNumId="21">
    <w:nsid w:val="71F32454"/>
    <w:multiLevelType w:val="hybridMultilevel"/>
    <w:lvl w:ilvl="0">
      <w:lvlJc w:val="left"/>
      <w:lvlText w:val="(%1)"/>
      <w:numFmt w:val="decimal"/>
      <w:start w:val="5"/>
    </w:lvl>
  </w:abstractNum>
  <w:abstractNum w:abstractNumId="22">
    <w:nsid w:val="2CA88611"/>
    <w:multiLevelType w:val="hybridMultilevel"/>
    <w:lvl w:ilvl="0">
      <w:lvlJc w:val="left"/>
      <w:lvlText w:val="(%1)"/>
      <w:numFmt w:val="lowerLetter"/>
      <w:start w:val="1"/>
    </w:lvl>
  </w:abstractNum>
  <w:abstractNum w:abstractNumId="23">
    <w:nsid w:val="836C40E"/>
    <w:multiLevelType w:val="hybridMultilevel"/>
    <w:lvl w:ilvl="0">
      <w:lvlJc w:val="left"/>
      <w:lvlText w:val="(%1)"/>
      <w:numFmt w:val="lowerRoman"/>
      <w:start w:val="2"/>
    </w:lvl>
  </w:abstractNum>
  <w:abstractNum w:abstractNumId="24">
    <w:nsid w:val="2901D82"/>
    <w:multiLevelType w:val="hybridMultilevel"/>
    <w:lvl w:ilvl="0">
      <w:lvlJc w:val="left"/>
      <w:lvlText w:val="(%1)"/>
      <w:numFmt w:val="lowerRoman"/>
      <w:start w:val="2"/>
    </w:lvl>
  </w:abstractNum>
  <w:abstractNum w:abstractNumId="25">
    <w:nsid w:val="3A95F874"/>
    <w:multiLevelType w:val="hybridMultilevel"/>
    <w:lvl w:ilvl="0">
      <w:lvlJc w:val="left"/>
      <w:lvlText w:val="(%1)"/>
      <w:numFmt w:val="decimal"/>
      <w:start w:val="2"/>
    </w:lvl>
  </w:abstractNum>
  <w:abstractNum w:abstractNumId="26">
    <w:nsid w:val="8138641"/>
    <w:multiLevelType w:val="hybridMultilevel"/>
    <w:lvl w:ilvl="0">
      <w:lvlJc w:val="left"/>
      <w:lvlText w:val="(%1)"/>
      <w:numFmt w:val="lowerRoman"/>
      <w:start w:val="4"/>
    </w:lvl>
  </w:abstractNum>
  <w:abstractNum w:abstractNumId="27">
    <w:nsid w:val="1E7FF521"/>
    <w:multiLevelType w:val="hybridMultilevel"/>
    <w:lvl w:ilvl="0">
      <w:lvlJc w:val="left"/>
      <w:lvlText w:val="(%1)"/>
      <w:numFmt w:val="lowerRoman"/>
      <w:start w:val="4"/>
    </w:lvl>
  </w:abstractNum>
  <w:abstractNum w:abstractNumId="28">
    <w:nsid w:val="7C3DBD3D"/>
    <w:multiLevelType w:val="hybridMultilevel"/>
    <w:lvl w:ilvl="0">
      <w:lvlJc w:val="left"/>
      <w:lvlText w:val="(%1)"/>
      <w:numFmt w:val="decimal"/>
      <w:start w:val="2"/>
    </w:lvl>
  </w:abstractNum>
  <w:abstractNum w:abstractNumId="29">
    <w:nsid w:val="737B8DDC"/>
    <w:multiLevelType w:val="hybridMultilevel"/>
    <w:lvl w:ilvl="0">
      <w:lvlJc w:val="left"/>
      <w:lvlText w:val="(%1)"/>
      <w:numFmt w:val="lowerRoman"/>
      <w:start w:val="2"/>
    </w:lvl>
  </w:abstractNum>
  <w:abstractNum w:abstractNumId="30">
    <w:nsid w:val="6CEAF087"/>
    <w:multiLevelType w:val="hybridMultilevel"/>
    <w:lvl w:ilvl="0">
      <w:lvlJc w:val="left"/>
      <w:lvlText w:val="☐"/>
      <w:numFmt w:val="bullet"/>
      <w:start w:val="1"/>
    </w:lvl>
  </w:abstractNum>
  <w:abstractNum w:abstractNumId="31">
    <w:nsid w:val="22221A70"/>
    <w:multiLevelType w:val="hybridMultilevel"/>
    <w:lvl w:ilvl="0">
      <w:lvlJc w:val="left"/>
      <w:lvlText w:val="1"/>
      <w:numFmt w:val="bullet"/>
      <w:start w:val="1"/>
    </w:lvl>
  </w:abstractNum>
  <w:abstractNum w:abstractNumId="32">
    <w:nsid w:val="4516DDE9"/>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2023-08-14T08:13:04Z</dcterms:created>
  <dcterms:modified xsi:type="dcterms:W3CDTF">2023-08-14T08:13:04Z</dcterms:modified>
</cp:coreProperties>
</file>