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tm2323658d1_424b5.htm"/>
      <w:bookmarkStart w:id="1" w:name="kstm2323658d1_424b5"/>
      <w:bookmarkEnd w:id="0"/>
      <w:bookmarkEnd w:id="1"/>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333-267479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October 14,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1440180" cy="5213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0180" cy="52133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18,961,540 Common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Warrants to Purchase 9,480,770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18,961,540 of our common shares and accompanying Class A warrants to purchase 9,480,770 of our common shares in this offering (and the common shares issuable from time to time upon exercise of these Class A warrants). These amounts include up to an aggregate of 5,500,000 of our common shares and accompanying Class A warrants to purchase up to an aggregate of 2,750,000 of our common shares issuable upon notice to us from certain investors on or before September 15, 2023 if the closing price of our common shares on the trading day before such investor’s notice is $3.00 or less. Each common share we sell in the offering will be accompanied by a Class A warrant to purchase 0.5 common shares at an exercise price of $3.00 per share. Each common share and accompanying Class A warrant will be sold at a negotiated price of $2.00. The common shares and Class A warrants will be issued separately but can only be purchased together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warrant will be exercisable from and after the date of issuance. The Class A warrants will expire on December 31,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and publicly listed warrants to purchase common shares, or the Public Warrants, are listed on the Nasdaq Global Select Market, or Nasdaq, under the symbol “TMC” And “TMCWW”, respectively. On August 11, 2023, the closing price of our common shares on the Nasdaq was $1.10 per share and the closing price for our Public Warrants was $0.1296 per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“smaller reporting company” under the federal securities laws and, as such, are subject to reduced public company reporting requirements. See “Prospectus Supplement Summary—Implications of Being an Emerging Growth Company and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“Risk Factors” beginning on page S-8 of this prospectus supplement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and under similar headings in the documents incorporated by reference into this prospectus supplement and the accompanying prospectus for a discussion of certain risks you should consider before investing in our securities.</w:t>
      </w:r>
    </w:p>
    <w:p>
      <w:pPr>
        <w:pStyle w:val="TextBody"/>
        <w:bidi w:val="0"/>
        <w:spacing w:before="0" w:after="0"/>
        <w:ind w:left="0" w:right="0" w:hanging="0"/>
        <w:jc w:val="left"/>
        <w:rPr>
          <w:caps w:val="false"/>
          <w:smallCaps w:val="false"/>
        </w:rPr>
      </w:pPr>
      <w:r>
        <w:rPr>
          <w:caps w:val="false"/>
          <w:smallCaps w:val="false"/>
        </w:rPr>
        <w:t> </w:t>
      </w:r>
    </w:p>
    <w:tbl>
      <w:tblPr>
        <w:tblW w:w="5299" w:type="dxa"/>
        <w:jc w:val="left"/>
        <w:tblInd w:w="0" w:type="dxa"/>
        <w:tblLayout w:type="fixed"/>
        <w:tblCellMar>
          <w:top w:w="0" w:type="dxa"/>
          <w:left w:w="0" w:type="dxa"/>
          <w:bottom w:w="0" w:type="dxa"/>
          <w:right w:w="0" w:type="dxa"/>
        </w:tblCellMar>
      </w:tblPr>
      <w:tblGrid>
        <w:gridCol w:w="2525"/>
        <w:gridCol w:w="60"/>
        <w:gridCol w:w="357"/>
        <w:gridCol w:w="1087"/>
        <w:gridCol w:w="60"/>
        <w:gridCol w:w="60"/>
        <w:gridCol w:w="125"/>
        <w:gridCol w:w="950"/>
        <w:gridCol w:w="7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 and</w:t>
              <w:br/>
              <w:t>Accompanying</w:t>
              <w:br/>
              <w:t>Class A Warrant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r>
              <w:rPr>
                <w:rFonts w:ascii="Times New Roman;Times;Serif" w:hAnsi="Times New Roman;Times;Serif"/>
                <w:b/>
                <w:i w:val="false"/>
                <w:caps w:val="false"/>
                <w:smallCaps w:val="false"/>
                <w:position w:val="7"/>
                <w:sz w:val="16"/>
                <w:sz w:val="20"/>
              </w:rPr>
              <w:t>(1)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37,923,080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to us before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37,923,080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283"/>
              <w:jc w:val="both"/>
              <w:rPr/>
            </w:pPr>
            <w:r>
              <w:rPr/>
              <w:t>The total amounts include up to an aggregate of 5,500,000 of our common shares and accompanying Class A warrants to purchase up to an aggregate of 2,750,000 of our common shares issuable upon notice to us on or before September 15, 2023 if the closing price of our common shares on the trading day before such notice is $3.00 or less.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offered by this prospectus supplement have not been qualified for distribution in Canada and may not be offered or sold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securities offered hereby is expected to occur on or about August 16, 2023.</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osition w:val="8"/>
                <w:sz w:val="19"/>
              </w:rPr>
            </w:pPr>
            <w:r>
              <w:rPr>
                <w:position w:val="8"/>
                <w:sz w:val="19"/>
              </w:rPr>
              <w:t>(1)</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“Plan of Distribution” beginning on page S-20 for additional information about the expected delivery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August 14, 2023.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5765"/>
        <w:gridCol w:w="60"/>
        <w:gridCol w:w="455"/>
      </w:tblGrid>
      <w:tr>
        <w:trPr/>
        <w:tc>
          <w:tcPr>
            <w:tcW w:w="57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76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 SUPPLEMENT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b w:val="false"/>
                  <w:i w:val="false"/>
                  <w:caps w:val="false"/>
                  <w:smallCaps w:val="false"/>
                  <w:sz w:val="20"/>
                </w:rPr>
                <w:t>S-1</w:t>
              </w:r>
            </w:hyperlink>
          </w:p>
        </w:tc>
      </w:tr>
      <w:tr>
        <w:trPr/>
        <w:tc>
          <w:tcPr>
            <w:tcW w:w="576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PROSPECTUS SUPPLEMENT SUMMARY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pPr>
            <w:hyperlink w:anchor="a_002">
              <w:r>
                <w:rPr>
                  <w:rStyle w:val="InternetLink"/>
                  <w:rFonts w:ascii="Times New Roman;Times;Serif" w:hAnsi="Times New Roman;Times;Serif"/>
                  <w:b w:val="false"/>
                  <w:i w:val="false"/>
                  <w:caps w:val="false"/>
                  <w:smallCaps w:val="false"/>
                  <w:sz w:val="20"/>
                </w:rPr>
                <w:t>S-2</w:t>
              </w:r>
            </w:hyperlink>
          </w:p>
        </w:tc>
      </w:tr>
      <w:tr>
        <w:trPr/>
        <w:tc>
          <w:tcPr>
            <w:tcW w:w="57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THE OFFERING</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a_003">
              <w:r>
                <w:rPr>
                  <w:rStyle w:val="InternetLink"/>
                  <w:rFonts w:ascii="Times New Roman;Times;Serif" w:hAnsi="Times New Roman;Times;Serif"/>
                  <w:b w:val="false"/>
                  <w:i w:val="false"/>
                  <w:caps w:val="false"/>
                  <w:smallCaps w:val="false"/>
                  <w:sz w:val="20"/>
                </w:rPr>
                <w:t>S-6</w:t>
              </w:r>
            </w:hyperlink>
          </w:p>
        </w:tc>
      </w:tr>
      <w:tr>
        <w:trPr/>
        <w:tc>
          <w:tcPr>
            <w:tcW w:w="576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pPr>
            <w:hyperlink w:anchor="a_004">
              <w:r>
                <w:rPr>
                  <w:rStyle w:val="InternetLink"/>
                  <w:rFonts w:ascii="Times New Roman;Times;Serif" w:hAnsi="Times New Roman;Times;Serif"/>
                  <w:b w:val="false"/>
                  <w:i w:val="false"/>
                  <w:caps w:val="false"/>
                  <w:smallCaps w:val="false"/>
                  <w:sz w:val="20"/>
                </w:rPr>
                <w:t>S-8</w:t>
              </w:r>
            </w:hyperlink>
          </w:p>
        </w:tc>
      </w:tr>
      <w:tr>
        <w:trPr/>
        <w:tc>
          <w:tcPr>
            <w:tcW w:w="57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SPECIAL NOTE REGARDING FORWARD-LOOKING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a_005">
              <w:r>
                <w:rPr>
                  <w:rStyle w:val="InternetLink"/>
                  <w:rFonts w:ascii="Times New Roman;Times;Serif" w:hAnsi="Times New Roman;Times;Serif"/>
                  <w:b w:val="false"/>
                  <w:i w:val="false"/>
                  <w:caps w:val="false"/>
                  <w:smallCaps w:val="false"/>
                  <w:sz w:val="20"/>
                </w:rPr>
                <w:t>S-14</w:t>
              </w:r>
            </w:hyperlink>
          </w:p>
        </w:tc>
      </w:tr>
      <w:tr>
        <w:trPr/>
        <w:tc>
          <w:tcPr>
            <w:tcW w:w="576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USE OF PROCEEDS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pPr>
            <w:hyperlink w:anchor="a_006">
              <w:r>
                <w:rPr>
                  <w:rStyle w:val="InternetLink"/>
                  <w:rFonts w:ascii="Times New Roman;Times;Serif" w:hAnsi="Times New Roman;Times;Serif"/>
                  <w:b w:val="false"/>
                  <w:i w:val="false"/>
                  <w:caps w:val="false"/>
                  <w:smallCaps w:val="false"/>
                  <w:sz w:val="20"/>
                </w:rPr>
                <w:t>S-16</w:t>
              </w:r>
            </w:hyperlink>
          </w:p>
        </w:tc>
      </w:tr>
      <w:tr>
        <w:trPr/>
        <w:tc>
          <w:tcPr>
            <w:tcW w:w="57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DILUTION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a_007">
              <w:r>
                <w:rPr>
                  <w:rStyle w:val="InternetLink"/>
                  <w:rFonts w:ascii="Times New Roman;Times;Serif" w:hAnsi="Times New Roman;Times;Serif"/>
                  <w:b w:val="false"/>
                  <w:i w:val="false"/>
                  <w:caps w:val="false"/>
                  <w:smallCaps w:val="false"/>
                  <w:sz w:val="20"/>
                </w:rPr>
                <w:t>S-17</w:t>
              </w:r>
            </w:hyperlink>
          </w:p>
        </w:tc>
      </w:tr>
      <w:tr>
        <w:trPr/>
        <w:tc>
          <w:tcPr>
            <w:tcW w:w="576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DESCRIPTION OF SECURITIES WE ARE OFFERING</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pPr>
            <w:hyperlink w:anchor="a_008">
              <w:r>
                <w:rPr>
                  <w:rStyle w:val="InternetLink"/>
                  <w:rFonts w:ascii="Times New Roman;Times;Serif" w:hAnsi="Times New Roman;Times;Serif"/>
                  <w:b w:val="false"/>
                  <w:i w:val="false"/>
                  <w:caps w:val="false"/>
                  <w:smallCaps w:val="false"/>
                  <w:sz w:val="20"/>
                </w:rPr>
                <w:t>S-18</w:t>
              </w:r>
            </w:hyperlink>
          </w:p>
        </w:tc>
      </w:tr>
      <w:tr>
        <w:trPr/>
        <w:tc>
          <w:tcPr>
            <w:tcW w:w="57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a_009">
              <w:r>
                <w:rPr>
                  <w:rStyle w:val="InternetLink"/>
                  <w:rFonts w:ascii="Times New Roman;Times;Serif" w:hAnsi="Times New Roman;Times;Serif"/>
                  <w:b w:val="false"/>
                  <w:i w:val="false"/>
                  <w:caps w:val="false"/>
                  <w:smallCaps w:val="false"/>
                  <w:sz w:val="20"/>
                </w:rPr>
                <w:t>S-20</w:t>
              </w:r>
            </w:hyperlink>
          </w:p>
        </w:tc>
      </w:tr>
      <w:tr>
        <w:trPr/>
        <w:tc>
          <w:tcPr>
            <w:tcW w:w="576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LEGAL MATTERS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pPr>
            <w:hyperlink w:anchor="a_010">
              <w:r>
                <w:rPr>
                  <w:rStyle w:val="InternetLink"/>
                  <w:rFonts w:ascii="Times New Roman;Times;Serif" w:hAnsi="Times New Roman;Times;Serif"/>
                  <w:b w:val="false"/>
                  <w:i w:val="false"/>
                  <w:caps w:val="false"/>
                  <w:smallCaps w:val="false"/>
                  <w:sz w:val="20"/>
                </w:rPr>
                <w:t>S-21</w:t>
              </w:r>
            </w:hyperlink>
          </w:p>
        </w:tc>
      </w:tr>
      <w:tr>
        <w:trPr/>
        <w:tc>
          <w:tcPr>
            <w:tcW w:w="576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EXPERTS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a_011">
              <w:r>
                <w:rPr>
                  <w:rStyle w:val="InternetLink"/>
                  <w:rFonts w:ascii="Times New Roman;Times;Serif" w:hAnsi="Times New Roman;Times;Serif"/>
                  <w:b w:val="false"/>
                  <w:i w:val="false"/>
                  <w:caps w:val="false"/>
                  <w:smallCaps w:val="false"/>
                  <w:sz w:val="20"/>
                </w:rPr>
                <w:t>S-21</w:t>
              </w:r>
            </w:hyperlink>
          </w:p>
        </w:tc>
      </w:tr>
      <w:tr>
        <w:trPr/>
        <w:tc>
          <w:tcPr>
            <w:tcW w:w="576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pPr>
            <w:hyperlink w:anchor="a_012">
              <w:r>
                <w:rPr>
                  <w:rStyle w:val="InternetLink"/>
                  <w:rFonts w:ascii="Times New Roman;Times;Serif" w:hAnsi="Times New Roman;Times;Serif"/>
                  <w:b w:val="false"/>
                  <w:i w:val="false"/>
                  <w:caps w:val="false"/>
                  <w:smallCaps w:val="false"/>
                  <w:sz w:val="20"/>
                </w:rPr>
                <w:t>S-21</w:t>
              </w:r>
            </w:hyperlink>
          </w:p>
        </w:tc>
      </w:tr>
      <w:tr>
        <w:trPr/>
        <w:tc>
          <w:tcPr>
            <w:tcW w:w="576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INCORPORATION OF DOCUMENTS BY REFERENCE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a_013">
              <w:r>
                <w:rPr>
                  <w:rStyle w:val="InternetLink"/>
                  <w:rFonts w:ascii="Times New Roman;Times;Serif" w:hAnsi="Times New Roman;Times;Serif"/>
                  <w:b w:val="false"/>
                  <w:i w:val="false"/>
                  <w:caps w:val="false"/>
                  <w:smallCaps w:val="false"/>
                  <w:sz w:val="20"/>
                </w:rPr>
                <w:t>S-22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8930"/>
        <w:gridCol w:w="60"/>
        <w:gridCol w:w="455"/>
      </w:tblGrid>
      <w:tr>
        <w:trPr/>
        <w:tc>
          <w:tcPr>
            <w:tcW w:w="89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930" w:type="dxa"/>
            <w:tcBorders/>
            <w:shd w:fill="CCEEFF" w:val="clear"/>
            <w:vAlign w:val="center"/>
          </w:tcPr>
          <w:p>
            <w:pPr>
              <w:pStyle w:val="TableContents"/>
              <w:bidi w:val="0"/>
              <w:spacing w:before="0" w:after="283"/>
              <w:jc w:val="left"/>
              <w:rPr/>
            </w:pPr>
            <w:hyperlink w:anchor="aa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aa_001">
              <w:r>
                <w:rPr>
                  <w:rStyle w:val="InternetLink"/>
                  <w:rFonts w:ascii="Times New Roman;Times;Serif" w:hAnsi="Times New Roman;Times;Serif"/>
                  <w:b w:val="false"/>
                  <w:i w:val="false"/>
                  <w:caps w:val="false"/>
                  <w:smallCaps w:val="false"/>
                  <w:sz w:val="20"/>
                </w:rPr>
                <w:t>1</w:t>
              </w:r>
            </w:hyperlink>
          </w:p>
        </w:tc>
      </w:tr>
      <w:tr>
        <w:trPr/>
        <w:tc>
          <w:tcPr>
            <w:tcW w:w="8930" w:type="dxa"/>
            <w:tcBorders/>
            <w:shd w:fill="FFFFFF" w:val="clear"/>
            <w:vAlign w:val="center"/>
          </w:tcPr>
          <w:p>
            <w:pPr>
              <w:pStyle w:val="TableContents"/>
              <w:bidi w:val="0"/>
              <w:spacing w:before="0" w:after="283"/>
              <w:jc w:val="left"/>
              <w:rPr/>
            </w:pPr>
            <w:hyperlink w:anchor="aa_002">
              <w:r>
                <w:rPr>
                  <w:rStyle w:val="InternetLink"/>
                  <w:rFonts w:ascii="Times New Roman;Times;Serif" w:hAnsi="Times New Roman;Times;Serif"/>
                  <w:b w:val="false"/>
                  <w:i w:val="false"/>
                  <w:caps w:val="false"/>
                  <w:smallCaps w:val="false"/>
                  <w:sz w:val="20"/>
                </w:rPr>
                <w:t>PROSPECTUS SUMMARY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pPr>
            <w:hyperlink w:anchor="aa_002">
              <w:r>
                <w:rPr>
                  <w:rStyle w:val="InternetLink"/>
                  <w:rFonts w:ascii="Times New Roman;Times;Serif" w:hAnsi="Times New Roman;Times;Serif"/>
                  <w:b w:val="false"/>
                  <w:i w:val="false"/>
                  <w:caps w:val="false"/>
                  <w:smallCaps w:val="false"/>
                  <w:sz w:val="20"/>
                </w:rPr>
                <w:t>2</w:t>
              </w:r>
            </w:hyperlink>
          </w:p>
        </w:tc>
      </w:tr>
      <w:tr>
        <w:trPr/>
        <w:tc>
          <w:tcPr>
            <w:tcW w:w="8930" w:type="dxa"/>
            <w:tcBorders/>
            <w:shd w:fill="CCEEFF" w:val="clear"/>
            <w:vAlign w:val="center"/>
          </w:tcPr>
          <w:p>
            <w:pPr>
              <w:pStyle w:val="TableContents"/>
              <w:bidi w:val="0"/>
              <w:spacing w:before="0" w:after="283"/>
              <w:jc w:val="left"/>
              <w:rPr/>
            </w:pPr>
            <w:hyperlink w:anchor="na_001">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na_001">
              <w:r>
                <w:rPr>
                  <w:rStyle w:val="InternetLink"/>
                  <w:rFonts w:ascii="Times New Roman;Times;Serif" w:hAnsi="Times New Roman;Times;Serif"/>
                  <w:b w:val="false"/>
                  <w:i w:val="false"/>
                  <w:caps w:val="false"/>
                  <w:smallCaps w:val="false"/>
                  <w:sz w:val="20"/>
                </w:rPr>
                <w:t>5</w:t>
              </w:r>
            </w:hyperlink>
          </w:p>
        </w:tc>
      </w:tr>
      <w:tr>
        <w:trPr/>
        <w:tc>
          <w:tcPr>
            <w:tcW w:w="8930" w:type="dxa"/>
            <w:tcBorders/>
            <w:shd w:fill="FFFFFF" w:val="clear"/>
            <w:vAlign w:val="center"/>
          </w:tcPr>
          <w:p>
            <w:pPr>
              <w:pStyle w:val="TableContents"/>
              <w:bidi w:val="0"/>
              <w:spacing w:before="0" w:after="283"/>
              <w:jc w:val="left"/>
              <w:rPr/>
            </w:pPr>
            <w:hyperlink w:anchor="na_002">
              <w:r>
                <w:rPr>
                  <w:rStyle w:val="InternetLink"/>
                  <w:rFonts w:ascii="Times New Roman;Times;Serif" w:hAnsi="Times New Roman;Times;Serif"/>
                  <w:b w:val="false"/>
                  <w:i w:val="false"/>
                  <w:caps w:val="false"/>
                  <w:smallCaps w:val="false"/>
                  <w:sz w:val="20"/>
                </w:rPr>
                <w:t>SPECIAL NOTE REGARDING FORWARD-LOOKING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pPr>
            <w:hyperlink w:anchor="na_002">
              <w:r>
                <w:rPr>
                  <w:rStyle w:val="InternetLink"/>
                  <w:rFonts w:ascii="Times New Roman;Times;Serif" w:hAnsi="Times New Roman;Times;Serif"/>
                  <w:b w:val="false"/>
                  <w:i w:val="false"/>
                  <w:caps w:val="false"/>
                  <w:smallCaps w:val="false"/>
                  <w:sz w:val="20"/>
                </w:rPr>
                <w:t>6</w:t>
              </w:r>
            </w:hyperlink>
          </w:p>
        </w:tc>
      </w:tr>
      <w:tr>
        <w:trPr/>
        <w:tc>
          <w:tcPr>
            <w:tcW w:w="8930" w:type="dxa"/>
            <w:tcBorders/>
            <w:shd w:fill="CCEEFF" w:val="clear"/>
            <w:vAlign w:val="center"/>
          </w:tcPr>
          <w:p>
            <w:pPr>
              <w:pStyle w:val="TableContents"/>
              <w:bidi w:val="0"/>
              <w:spacing w:before="0" w:after="283"/>
              <w:jc w:val="left"/>
              <w:rPr/>
            </w:pPr>
            <w:hyperlink w:anchor="na_003">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na_003">
              <w:r>
                <w:rPr>
                  <w:rStyle w:val="InternetLink"/>
                  <w:rFonts w:ascii="Times New Roman;Times;Serif" w:hAnsi="Times New Roman;Times;Serif"/>
                  <w:b w:val="false"/>
                  <w:i w:val="false"/>
                  <w:caps w:val="false"/>
                  <w:smallCaps w:val="false"/>
                  <w:sz w:val="20"/>
                </w:rPr>
                <w:t>8</w:t>
              </w:r>
            </w:hyperlink>
          </w:p>
        </w:tc>
      </w:tr>
      <w:tr>
        <w:trPr/>
        <w:tc>
          <w:tcPr>
            <w:tcW w:w="8930" w:type="dxa"/>
            <w:tcBorders/>
            <w:shd w:fill="FFFFFF" w:val="clear"/>
            <w:vAlign w:val="center"/>
          </w:tcPr>
          <w:p>
            <w:pPr>
              <w:pStyle w:val="TableContents"/>
              <w:bidi w:val="0"/>
              <w:spacing w:before="0" w:after="283"/>
              <w:jc w:val="left"/>
              <w:rPr/>
            </w:pPr>
            <w:hyperlink w:anchor="na_004">
              <w:r>
                <w:rPr>
                  <w:rStyle w:val="InternetLink"/>
                  <w:rFonts w:ascii="Times New Roman;Times;Serif" w:hAnsi="Times New Roman;Times;Serif"/>
                  <w:b w:val="false"/>
                  <w:i w:val="false"/>
                  <w:caps w:val="false"/>
                  <w:smallCaps w:val="false"/>
                  <w:sz w:val="20"/>
                </w:rPr>
                <w:t>SELLING SHAREHOLDERS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pPr>
            <w:hyperlink w:anchor="na_004">
              <w:r>
                <w:rPr>
                  <w:rStyle w:val="InternetLink"/>
                  <w:rFonts w:ascii="Times New Roman;Times;Serif" w:hAnsi="Times New Roman;Times;Serif"/>
                  <w:b w:val="false"/>
                  <w:i w:val="false"/>
                  <w:caps w:val="false"/>
                  <w:smallCaps w:val="false"/>
                  <w:sz w:val="20"/>
                </w:rPr>
                <w:t>9</w:t>
              </w:r>
            </w:hyperlink>
          </w:p>
        </w:tc>
      </w:tr>
      <w:tr>
        <w:trPr/>
        <w:tc>
          <w:tcPr>
            <w:tcW w:w="8930" w:type="dxa"/>
            <w:tcBorders/>
            <w:shd w:fill="CCEEFF" w:val="clear"/>
            <w:vAlign w:val="center"/>
          </w:tcPr>
          <w:p>
            <w:pPr>
              <w:pStyle w:val="TableContents"/>
              <w:bidi w:val="0"/>
              <w:spacing w:before="0" w:after="283"/>
              <w:jc w:val="left"/>
              <w:rPr/>
            </w:pPr>
            <w:hyperlink w:anchor="na_005">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na_005">
              <w:r>
                <w:rPr>
                  <w:rStyle w:val="InternetLink"/>
                  <w:rFonts w:ascii="Times New Roman;Times;Serif" w:hAnsi="Times New Roman;Times;Serif"/>
                  <w:b w:val="false"/>
                  <w:i w:val="false"/>
                  <w:caps w:val="false"/>
                  <w:smallCaps w:val="false"/>
                  <w:sz w:val="20"/>
                </w:rPr>
                <w:t>12</w:t>
              </w:r>
            </w:hyperlink>
          </w:p>
        </w:tc>
      </w:tr>
      <w:tr>
        <w:trPr/>
        <w:tc>
          <w:tcPr>
            <w:tcW w:w="8930" w:type="dxa"/>
            <w:tcBorders/>
            <w:shd w:fill="FFFFFF" w:val="clear"/>
            <w:vAlign w:val="center"/>
          </w:tcPr>
          <w:p>
            <w:pPr>
              <w:pStyle w:val="TableContents"/>
              <w:bidi w:val="0"/>
              <w:spacing w:before="0" w:after="283"/>
              <w:jc w:val="left"/>
              <w:rPr/>
            </w:pPr>
            <w:hyperlink w:anchor="na_006">
              <w:r>
                <w:rPr>
                  <w:rStyle w:val="InternetLink"/>
                  <w:rFonts w:ascii="Times New Roman;Times;Serif" w:hAnsi="Times New Roman;Times;Serif"/>
                  <w:b w:val="false"/>
                  <w:i w:val="false"/>
                  <w:caps w:val="false"/>
                  <w:smallCaps w:val="false"/>
                  <w:sz w:val="20"/>
                </w:rPr>
                <w:t>DESCRIPTION OF COMMON SHARES AND SPECIAL SHARES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pPr>
            <w:hyperlink w:anchor="na_006">
              <w:r>
                <w:rPr>
                  <w:rStyle w:val="InternetLink"/>
                  <w:rFonts w:ascii="Times New Roman;Times;Serif" w:hAnsi="Times New Roman;Times;Serif"/>
                  <w:b w:val="false"/>
                  <w:i w:val="false"/>
                  <w:caps w:val="false"/>
                  <w:smallCaps w:val="false"/>
                  <w:sz w:val="20"/>
                </w:rPr>
                <w:t>16</w:t>
              </w:r>
            </w:hyperlink>
          </w:p>
        </w:tc>
      </w:tr>
      <w:tr>
        <w:trPr/>
        <w:tc>
          <w:tcPr>
            <w:tcW w:w="8930" w:type="dxa"/>
            <w:tcBorders/>
            <w:shd w:fill="CCEEFF" w:val="clear"/>
            <w:vAlign w:val="center"/>
          </w:tcPr>
          <w:p>
            <w:pPr>
              <w:pStyle w:val="TableContents"/>
              <w:bidi w:val="0"/>
              <w:spacing w:before="0" w:after="283"/>
              <w:jc w:val="left"/>
              <w:rPr/>
            </w:pPr>
            <w:hyperlink w:anchor="na_007">
              <w:r>
                <w:rPr>
                  <w:rStyle w:val="InternetLink"/>
                  <w:rFonts w:ascii="Times New Roman;Times;Serif" w:hAnsi="Times New Roman;Times;Serif"/>
                  <w:b w:val="false"/>
                  <w:i w:val="false"/>
                  <w:caps w:val="false"/>
                  <w:smallCaps w:val="false"/>
                  <w:sz w:val="20"/>
                </w:rPr>
                <w:t>DESCRIPTION OF PREFERRED SHARES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na_007">
              <w:r>
                <w:rPr>
                  <w:rStyle w:val="InternetLink"/>
                  <w:rFonts w:ascii="Times New Roman;Times;Serif" w:hAnsi="Times New Roman;Times;Serif"/>
                  <w:b w:val="false"/>
                  <w:i w:val="false"/>
                  <w:caps w:val="false"/>
                  <w:smallCaps w:val="false"/>
                  <w:sz w:val="20"/>
                </w:rPr>
                <w:t>19</w:t>
              </w:r>
            </w:hyperlink>
          </w:p>
        </w:tc>
      </w:tr>
      <w:tr>
        <w:trPr/>
        <w:tc>
          <w:tcPr>
            <w:tcW w:w="8930" w:type="dxa"/>
            <w:tcBorders/>
            <w:shd w:fill="FFFFFF" w:val="clear"/>
            <w:vAlign w:val="center"/>
          </w:tcPr>
          <w:p>
            <w:pPr>
              <w:pStyle w:val="TableContents"/>
              <w:bidi w:val="0"/>
              <w:spacing w:before="0" w:after="283"/>
              <w:jc w:val="left"/>
              <w:rPr/>
            </w:pPr>
            <w:hyperlink w:anchor="na_008">
              <w:r>
                <w:rPr>
                  <w:rStyle w:val="InternetLink"/>
                  <w:rFonts w:ascii="Times New Roman;Times;Serif" w:hAnsi="Times New Roman;Times;Serif"/>
                  <w:b w:val="false"/>
                  <w:i w:val="false"/>
                  <w:caps w:val="false"/>
                  <w:smallCaps w:val="false"/>
                  <w:sz w:val="20"/>
                </w:rPr>
                <w:t>DESCRIPTION OF DEBT SECURITIES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pPr>
            <w:hyperlink w:anchor="na_008">
              <w:r>
                <w:rPr>
                  <w:rStyle w:val="InternetLink"/>
                  <w:rFonts w:ascii="Times New Roman;Times;Serif" w:hAnsi="Times New Roman;Times;Serif"/>
                  <w:b w:val="false"/>
                  <w:i w:val="false"/>
                  <w:caps w:val="false"/>
                  <w:smallCaps w:val="false"/>
                  <w:sz w:val="20"/>
                </w:rPr>
                <w:t>20</w:t>
              </w:r>
            </w:hyperlink>
          </w:p>
        </w:tc>
      </w:tr>
      <w:tr>
        <w:trPr/>
        <w:tc>
          <w:tcPr>
            <w:tcW w:w="8930" w:type="dxa"/>
            <w:tcBorders/>
            <w:shd w:fill="CCEEFF" w:val="clear"/>
            <w:vAlign w:val="center"/>
          </w:tcPr>
          <w:p>
            <w:pPr>
              <w:pStyle w:val="TableContents"/>
              <w:bidi w:val="0"/>
              <w:spacing w:before="0" w:after="283"/>
              <w:jc w:val="left"/>
              <w:rPr/>
            </w:pPr>
            <w:hyperlink w:anchor="na_009">
              <w:r>
                <w:rPr>
                  <w:rStyle w:val="InternetLink"/>
                  <w:rFonts w:ascii="Times New Roman;Times;Serif" w:hAnsi="Times New Roman;Times;Serif"/>
                  <w:b w:val="false"/>
                  <w:i w:val="false"/>
                  <w:caps w:val="false"/>
                  <w:smallCaps w:val="false"/>
                  <w:sz w:val="20"/>
                </w:rPr>
                <w:t>DESCRIPTION OF WARRANTS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na_009">
              <w:r>
                <w:rPr>
                  <w:rStyle w:val="InternetLink"/>
                  <w:rFonts w:ascii="Times New Roman;Times;Serif" w:hAnsi="Times New Roman;Times;Serif"/>
                  <w:b w:val="false"/>
                  <w:i w:val="false"/>
                  <w:caps w:val="false"/>
                  <w:smallCaps w:val="false"/>
                  <w:sz w:val="20"/>
                </w:rPr>
                <w:t>26</w:t>
              </w:r>
            </w:hyperlink>
          </w:p>
        </w:tc>
      </w:tr>
      <w:tr>
        <w:trPr/>
        <w:tc>
          <w:tcPr>
            <w:tcW w:w="8930" w:type="dxa"/>
            <w:tcBorders/>
            <w:shd w:fill="FFFFFF" w:val="clear"/>
            <w:vAlign w:val="center"/>
          </w:tcPr>
          <w:p>
            <w:pPr>
              <w:pStyle w:val="TableContents"/>
              <w:bidi w:val="0"/>
              <w:spacing w:before="0" w:after="283"/>
              <w:jc w:val="left"/>
              <w:rPr/>
            </w:pPr>
            <w:hyperlink w:anchor="na_010">
              <w:r>
                <w:rPr>
                  <w:rStyle w:val="InternetLink"/>
                  <w:rFonts w:ascii="Times New Roman;Times;Serif" w:hAnsi="Times New Roman;Times;Serif"/>
                  <w:b w:val="false"/>
                  <w:i w:val="false"/>
                  <w:caps w:val="false"/>
                  <w:smallCaps w:val="false"/>
                  <w:sz w:val="20"/>
                </w:rPr>
                <w:t>DESCRIPTION OF UNITS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pPr>
            <w:hyperlink w:anchor="na_010">
              <w:r>
                <w:rPr>
                  <w:rStyle w:val="InternetLink"/>
                  <w:rFonts w:ascii="Times New Roman;Times;Serif" w:hAnsi="Times New Roman;Times;Serif"/>
                  <w:b w:val="false"/>
                  <w:i w:val="false"/>
                  <w:caps w:val="false"/>
                  <w:smallCaps w:val="false"/>
                  <w:sz w:val="20"/>
                </w:rPr>
                <w:t>31</w:t>
              </w:r>
            </w:hyperlink>
          </w:p>
        </w:tc>
      </w:tr>
      <w:tr>
        <w:trPr/>
        <w:tc>
          <w:tcPr>
            <w:tcW w:w="8930" w:type="dxa"/>
            <w:tcBorders/>
            <w:shd w:fill="CCEEFF" w:val="clear"/>
            <w:vAlign w:val="center"/>
          </w:tcPr>
          <w:p>
            <w:pPr>
              <w:pStyle w:val="TableContents"/>
              <w:bidi w:val="0"/>
              <w:spacing w:before="0" w:after="283"/>
              <w:jc w:val="left"/>
              <w:rPr/>
            </w:pPr>
            <w:hyperlink w:anchor="na_011">
              <w:r>
                <w:rPr>
                  <w:rStyle w:val="InternetLink"/>
                  <w:rFonts w:ascii="Times New Roman;Times;Serif" w:hAnsi="Times New Roman;Times;Serif"/>
                  <w:b w:val="false"/>
                  <w:i w:val="false"/>
                  <w:caps w:val="false"/>
                  <w:smallCaps w:val="false"/>
                  <w:sz w:val="20"/>
                </w:rPr>
                <w:t>CERTAIN IMPORTANT PROVISIONS OF THE NOTICE OF ARTICLES AND ARTICLES AND THE BCBCA</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na_011">
              <w:r>
                <w:rPr>
                  <w:rStyle w:val="InternetLink"/>
                  <w:rFonts w:ascii="Times New Roman;Times;Serif" w:hAnsi="Times New Roman;Times;Serif"/>
                  <w:b w:val="false"/>
                  <w:i w:val="false"/>
                  <w:caps w:val="false"/>
                  <w:smallCaps w:val="false"/>
                  <w:sz w:val="20"/>
                </w:rPr>
                <w:t>32</w:t>
              </w:r>
            </w:hyperlink>
          </w:p>
        </w:tc>
      </w:tr>
      <w:tr>
        <w:trPr/>
        <w:tc>
          <w:tcPr>
            <w:tcW w:w="8930" w:type="dxa"/>
            <w:tcBorders/>
            <w:shd w:fill="FFFFFF" w:val="clear"/>
            <w:vAlign w:val="center"/>
          </w:tcPr>
          <w:p>
            <w:pPr>
              <w:pStyle w:val="TableContents"/>
              <w:bidi w:val="0"/>
              <w:spacing w:before="0" w:after="283"/>
              <w:jc w:val="left"/>
              <w:rPr/>
            </w:pPr>
            <w:hyperlink w:anchor="na_012">
              <w:r>
                <w:rPr>
                  <w:rStyle w:val="InternetLink"/>
                  <w:rFonts w:ascii="Times New Roman;Times;Serif" w:hAnsi="Times New Roman;Times;Serif"/>
                  <w:b w:val="false"/>
                  <w:i w:val="false"/>
                  <w:caps w:val="false"/>
                  <w:smallCaps w:val="false"/>
                  <w:sz w:val="20"/>
                </w:rPr>
                <w:t>OWNERSHIP AND EXCHANGE CONTROLS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pPr>
            <w:hyperlink w:anchor="na_012">
              <w:r>
                <w:rPr>
                  <w:rStyle w:val="InternetLink"/>
                  <w:rFonts w:ascii="Times New Roman;Times;Serif" w:hAnsi="Times New Roman;Times;Serif"/>
                  <w:b w:val="false"/>
                  <w:i w:val="false"/>
                  <w:caps w:val="false"/>
                  <w:smallCaps w:val="false"/>
                  <w:sz w:val="20"/>
                </w:rPr>
                <w:t>35</w:t>
              </w:r>
            </w:hyperlink>
          </w:p>
        </w:tc>
      </w:tr>
      <w:tr>
        <w:trPr/>
        <w:tc>
          <w:tcPr>
            <w:tcW w:w="8930" w:type="dxa"/>
            <w:tcBorders/>
            <w:shd w:fill="CCEEFF" w:val="clear"/>
            <w:vAlign w:val="center"/>
          </w:tcPr>
          <w:p>
            <w:pPr>
              <w:pStyle w:val="TableContents"/>
              <w:bidi w:val="0"/>
              <w:spacing w:before="0" w:after="283"/>
              <w:jc w:val="left"/>
              <w:rPr/>
            </w:pPr>
            <w:hyperlink w:anchor="na_013">
              <w:r>
                <w:rPr>
                  <w:rStyle w:val="InternetLink"/>
                  <w:rFonts w:ascii="Times New Roman;Times;Serif" w:hAnsi="Times New Roman;Times;Serif"/>
                  <w:b w:val="false"/>
                  <w:i w:val="false"/>
                  <w:caps w:val="false"/>
                  <w:smallCaps w:val="false"/>
                  <w:sz w:val="20"/>
                </w:rPr>
                <w:t>MATERIAL U.S. FEDERAL INCOME TAX CONSIDERATIONS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na_013">
              <w:r>
                <w:rPr>
                  <w:rStyle w:val="InternetLink"/>
                  <w:rFonts w:ascii="Times New Roman;Times;Serif" w:hAnsi="Times New Roman;Times;Serif"/>
                  <w:b w:val="false"/>
                  <w:i w:val="false"/>
                  <w:caps w:val="false"/>
                  <w:smallCaps w:val="false"/>
                  <w:sz w:val="20"/>
                </w:rPr>
                <w:t>37</w:t>
              </w:r>
            </w:hyperlink>
          </w:p>
        </w:tc>
      </w:tr>
      <w:tr>
        <w:trPr/>
        <w:tc>
          <w:tcPr>
            <w:tcW w:w="8930" w:type="dxa"/>
            <w:tcBorders/>
            <w:shd w:fill="FFFFFF" w:val="clear"/>
            <w:vAlign w:val="center"/>
          </w:tcPr>
          <w:p>
            <w:pPr>
              <w:pStyle w:val="TableContents"/>
              <w:bidi w:val="0"/>
              <w:spacing w:before="0" w:after="283"/>
              <w:jc w:val="left"/>
              <w:rPr/>
            </w:pPr>
            <w:hyperlink w:anchor="na_014">
              <w:r>
                <w:rPr>
                  <w:rStyle w:val="InternetLink"/>
                  <w:rFonts w:ascii="Times New Roman;Times;Serif" w:hAnsi="Times New Roman;Times;Serif"/>
                  <w:b w:val="false"/>
                  <w:i w:val="false"/>
                  <w:caps w:val="false"/>
                  <w:smallCaps w:val="false"/>
                  <w:sz w:val="20"/>
                </w:rPr>
                <w:t>MATERIAL CANADIAN FEDERAL INCOME TAX CONSIDERATIONS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pPr>
            <w:hyperlink w:anchor="na_014">
              <w:r>
                <w:rPr>
                  <w:rStyle w:val="InternetLink"/>
                  <w:rFonts w:ascii="Times New Roman;Times;Serif" w:hAnsi="Times New Roman;Times;Serif"/>
                  <w:b w:val="false"/>
                  <w:i w:val="false"/>
                  <w:caps w:val="false"/>
                  <w:smallCaps w:val="false"/>
                  <w:sz w:val="20"/>
                </w:rPr>
                <w:t>43</w:t>
              </w:r>
            </w:hyperlink>
          </w:p>
        </w:tc>
      </w:tr>
      <w:tr>
        <w:trPr/>
        <w:tc>
          <w:tcPr>
            <w:tcW w:w="8930" w:type="dxa"/>
            <w:tcBorders/>
            <w:shd w:fill="CCEEFF" w:val="clear"/>
            <w:vAlign w:val="center"/>
          </w:tcPr>
          <w:p>
            <w:pPr>
              <w:pStyle w:val="TableContents"/>
              <w:bidi w:val="0"/>
              <w:spacing w:before="0" w:after="283"/>
              <w:jc w:val="left"/>
              <w:rPr/>
            </w:pPr>
            <w:hyperlink w:anchor="na_015">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na_015">
              <w:r>
                <w:rPr>
                  <w:rStyle w:val="InternetLink"/>
                  <w:rFonts w:ascii="Times New Roman;Times;Serif" w:hAnsi="Times New Roman;Times;Serif"/>
                  <w:b w:val="false"/>
                  <w:i w:val="false"/>
                  <w:caps w:val="false"/>
                  <w:smallCaps w:val="false"/>
                  <w:sz w:val="20"/>
                </w:rPr>
                <w:t>45</w:t>
              </w:r>
            </w:hyperlink>
          </w:p>
        </w:tc>
      </w:tr>
      <w:tr>
        <w:trPr/>
        <w:tc>
          <w:tcPr>
            <w:tcW w:w="8930" w:type="dxa"/>
            <w:tcBorders/>
            <w:shd w:fill="FFFFFF" w:val="clear"/>
            <w:vAlign w:val="center"/>
          </w:tcPr>
          <w:p>
            <w:pPr>
              <w:pStyle w:val="TableContents"/>
              <w:bidi w:val="0"/>
              <w:spacing w:before="0" w:after="283"/>
              <w:jc w:val="left"/>
              <w:rPr/>
            </w:pPr>
            <w:hyperlink w:anchor="na_016">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pPr>
            <w:hyperlink w:anchor="na_016">
              <w:r>
                <w:rPr>
                  <w:rStyle w:val="InternetLink"/>
                  <w:rFonts w:ascii="Times New Roman;Times;Serif" w:hAnsi="Times New Roman;Times;Serif"/>
                  <w:b w:val="false"/>
                  <w:i w:val="false"/>
                  <w:caps w:val="false"/>
                  <w:smallCaps w:val="false"/>
                  <w:sz w:val="20"/>
                </w:rPr>
                <w:t>45</w:t>
              </w:r>
            </w:hyperlink>
          </w:p>
        </w:tc>
      </w:tr>
      <w:tr>
        <w:trPr/>
        <w:tc>
          <w:tcPr>
            <w:tcW w:w="8930" w:type="dxa"/>
            <w:tcBorders/>
            <w:shd w:fill="CCEEFF" w:val="clear"/>
            <w:vAlign w:val="center"/>
          </w:tcPr>
          <w:p>
            <w:pPr>
              <w:pStyle w:val="TableContents"/>
              <w:bidi w:val="0"/>
              <w:spacing w:before="0" w:after="283"/>
              <w:jc w:val="left"/>
              <w:rPr/>
            </w:pPr>
            <w:hyperlink w:anchor="na_017">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na_017">
              <w:r>
                <w:rPr>
                  <w:rStyle w:val="InternetLink"/>
                  <w:rFonts w:ascii="Times New Roman;Times;Serif" w:hAnsi="Times New Roman;Times;Serif"/>
                  <w:b w:val="false"/>
                  <w:i w:val="false"/>
                  <w:caps w:val="false"/>
                  <w:smallCaps w:val="false"/>
                  <w:sz w:val="20"/>
                </w:rPr>
                <w:t>45</w:t>
              </w:r>
            </w:hyperlink>
          </w:p>
        </w:tc>
      </w:tr>
      <w:tr>
        <w:trPr/>
        <w:tc>
          <w:tcPr>
            <w:tcW w:w="8930" w:type="dxa"/>
            <w:tcBorders/>
            <w:shd w:fill="FFFFFF" w:val="clear"/>
            <w:vAlign w:val="center"/>
          </w:tcPr>
          <w:p>
            <w:pPr>
              <w:pStyle w:val="TableContents"/>
              <w:bidi w:val="0"/>
              <w:spacing w:before="0" w:after="283"/>
              <w:jc w:val="left"/>
              <w:rPr/>
            </w:pPr>
            <w:hyperlink w:anchor="na_018">
              <w:r>
                <w:rPr>
                  <w:rStyle w:val="InternetLink"/>
                  <w:rFonts w:ascii="Times New Roman;Times;Serif" w:hAnsi="Times New Roman;Times;Serif"/>
                  <w:b w:val="false"/>
                  <w:i w:val="false"/>
                  <w:caps w:val="false"/>
                  <w:smallCaps w:val="false"/>
                  <w:sz w:val="20"/>
                </w:rPr>
                <w:t>INCORPORATION OF DOCUMENTS BY REFERENCE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pPr>
            <w:hyperlink w:anchor="na_018">
              <w:r>
                <w:rPr>
                  <w:rStyle w:val="InternetLink"/>
                  <w:rFonts w:ascii="Times New Roman;Times;Serif" w:hAnsi="Times New Roman;Times;Serif"/>
                  <w:b w:val="false"/>
                  <w:i w:val="false"/>
                  <w:caps w:val="false"/>
                  <w:smallCaps w:val="false"/>
                  <w:sz w:val="20"/>
                </w:rPr>
                <w:t>45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base prospectus are part of a “shelf” registration statement on Form S-3 that we filed with the U.S. Securities and Exchange Commission, or the SEC, using a “shelf” registration process. This prospectus supplement describes the specific terms of this offering. The accompanying base prospectus, including the documents incorporated by reference therein, provides general information about us, some of which, such as the section therein entitled “Plan of Distribution,” may not apply to this offering. Generally, when we refer to this prospectus, we are referring to both this prospectus supplement and the accompanying base prospectus, combined.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carefully read this prospectus supplement, the accompanying base prospectus, the documents incorporated by reference herein and therein and the additional information under the headings “Information Incorporated by Reference” and “Where You Can Find More Information” before buying any of the securities being offered under this prospectus supplement. These documents contain information you should consider when making your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supplement and the accompanying base prospectus. We have not authorized anyone to provide you with different information. If anyone provides you with different or inconsistent information, you should not rely on it. This prospectus supplement may add, update or change information contained in the accompanying base prospectus. To the extent any information in this prospectus supplement is inconsistent with the accompanying base prospectus, you should rely on the information in this prospectus supplement. The information in this prospectus supplement will be deemed to modify or supersede the information in the accompanying base prospectus and the documents incorporated by reference therein, except for those documents incorporated by reference therein which we file with the SEC after the date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assume that the information contained or incorporated by reference in this prospectus supplement and the accompanying base prospectus is accurate on any date subsequent to the date set forth on the front cover of this prospectus supplement and the accompanying base prospectus or on any date subsequent to the date of the document incorporated by reference, as applicable. Our business, financial condition, results of operations and prospects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to sell, and seeking offers to buy, the securities described in this prospectus supplement only in jurisdictions where offers and sales are permitted. The distribution of this prospectus supplement and the offering of the securities in certain jurisdictions may be restricted by law. Persons outside the United States who come into possession of this prospectus supplement must inform themselves about, and observe any restrictions relating to, the offering of the securities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into this prospectus supplement or the accompanying base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supplement, unless otherwise indicated or required by the context, the terms “TMC,” “we,” “our,” “us” and the “Company” refer to TMC the metals company Inc.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3" w:name="a_002"/>
      <w:bookmarkEnd w:id="3"/>
      <w:r>
        <w:rPr>
          <w:rFonts w:ascii="Times New Roman;Times;Serif" w:hAnsi="Times New Roman;Times;Serif"/>
          <w:b/>
          <w:i w:val="false"/>
          <w:caps w:val="false"/>
          <w:smallCaps w:val="false"/>
          <w:sz w:val="20"/>
          <w:bdr w:val="single" w:sz="8" w:space="1" w:color="000000"/>
        </w:rPr>
        <w:t>PROSPECTUS SUPPLEMENT SUMMARY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This summary contains basic information about us and this offering. This summary highlights selected information contained elsewhere in, or incorporated by reference into, this prospectus supplement. This summary is not complete and may not contain all of the information that may be important to you and that you should consider before deciding whether or not to invest in our securities. For a more complete understanding of TMC and this offering, you should carefully read this prospectus supplement, including the information incorporated by reference into this prospectus supplement, in its entirety. Investing in our securities involves risks that are described in this prospectus supplement under the heading “Risk Factors,” under the heading “Item 1A. Risk Factors” in our Annual Report on Form 10-K for the year ended December 31, 2022 and in our other filings with the SEC.</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About TMC the metals company Inc.</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deep-sea minerals exploration company focused on the collection, processing and refining of polymetallic nodules found on the seafloor in international waters of the Clarion Clipperton Zone, or the CCZ, about 1,300 nautical miles (1,500 miles or 2,400 kilometers) south-west of San Diego, California. The CCZ is a geological submarine fracture zone of abyssal plains and other formations in the Eastern Pacific Ocean, with a length of around 7,240 km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These four metals contained in the polymetallic nodules are critical for the transition to low carbon energy. Our resource definition work to date shows that nodules in our contract areas represent the world’s largest estimated undeveloped resource of critical battery metals. If we are able to collect polymetallic nodules from the seafloor on a commercial scale, we plan to use such nodules to produce three types of metal products: (i) feedstock for battery cathode precursors (nickel and cobalt sulfates, or intermediary nickel-copper-cobalt matte or nickel-copper-cobalt alloy) for electric vehicles, or EV, and renewable energy storage markets, (ii) copper cathode for EV wiring, clean energy transmission and other applications, and (iii) manganese silicate for manganese alloy production required for steel production. Our mission is to build a carefully managed, shared stock of metal, or metal commons, that can be used, recovered and reused for generations to come. Significant quantities of newly mined metal are required because existing metal stocks are insufficient to meet rapidly rising demand.</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Exploration and exploitation of seabed minerals in international waters is regulated by the International Seabed Authority, or the ISA, an intergovernmental organization established pursuant to the 1994 Agreement Relating to the Implementation of the United Nations Convention on the Law of the Sea, or UNCLOS. The ISA grants contracts to sovereign states or to private contractors who are sponsored by a sovereign state. The ISA requires that a contractor obtain and maintain sponsorship by a host nation that is a member of the ISA and signatory to UNCLOS, and that such nation maintains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or NORI, and Tonga Offshore Mining Limited, or TOML, sponsored by the Republic of Nauru, or Nauru, and the Kingdom of Tonga, or Tonga, respectively, and exclusive commercial rights through our subsidiary, DeepGreen Engineering Pte. Ltd.’s, or DGE, arrangement with Marawa Research and Exploration Limited, or Marawa, a company owned and sponsored by the Republic of Kiribati, or Kiribati.</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still in the exploration phase and have not yet obtained any exploitation contracts from the ISA to commence commercial scale polymetallic nodule collection in the CCZ nor do we have the applicable environmental and other permits required to build and operate commercial-scale polymetallic nodule processing and refining plants on land.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key strategic alliances with (i) Allseas Group S.A., or Allseas, a leading global offshore contractor, which has developed and successfully tested the pilot nodule collection system in the NORI Area D, completed in the fourth quarter of 2022, with experience from this testing program informing the design of upgrades and modifications of the pilot system for conversion into the initial smaller scale commercial production system which is expected to serve as the basis for the design of a full-scale commercial production system, and (ii) Glencore International AG, or Glencore, which holds offtake rights to 50% of nickel and copper production from the NORI area processed through a TMC owned and operated production facility. In addition, we have worked with engineering firm Hatch Ltd. and consultants Kingston Process Metallurgy Inc. to develop a near-zero solid waste flowsheet. The primary processing stages of the flowsheet from nodule to NiCuCo matte intermediate were tested as part of our pilot plant program at FLSmidth &amp; Co A/S’s and Xpert Process Solutions’, or XPS, a Glencore company, facilities. The matte refining stages are being tested at SGS Lakefield. The near-zero solid waste flowsheet is expected to serve as the basis for our onshore processing facilities. In November 2022, we entered into a non-binding memorandum of understanding, or MoU, with Pacific Metals Co Ltd (PAMCO) of Japan, to evaluate the toll treatment of an initial quantity of 1.3 million tonnes of wet polymetallic nodules per year at PAMCO’s Hachinohe smelting facility starting in 2025. Subject to entering into a binding arrangement with PAMCO, the toll treatment is intended to take place on a dedicated rotary kiln-electric arc furnace, or RKEF, processing line and produce two products: nickel-copper-cobalt alloy — an intermediate product used as feedstock to produce Li-ion battery cathodes — and a manganese silicate product used to make silico-manganese alloy, a critical input into steel manufacturing. PAMCO’s Hachinohe facility is located on the coast in northern Japan and is equipped with suitable port and processing infrastructure required to receive and process polymetallic nodules and to ship products to customers.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currently focused on preparing to submit an application to the ISA for our first exploitation contract, which will include a plan of work for exploitation, the NORI Area D contract area following the conclusion of the July 2024 meeting of the ISA’s 29th session. Assuming a one-year review process, we expect to be in production in the fourth quarter of 2025 if the application is approved. To reach our objective and initiate commercial production, we are: (i) defining our resource and project economics, (ii) developing a commercial offshore nodule collection system, (iii) assessing the Environmental Social and Governance, or ESG, impacts of offshore nodule collection, and (iv) developing onshore technology to process collected polymetallic nodules into a manganese silicate product, and an intermediate nickel-copper-cobalt matte or nickel-copper-cobalt alloy product and/or end-products like nickel and cobalt sulfates, and copper cathode.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Cautionary Statements Regarding the NORI Initial Assessment and TOML Mineral Resource Statement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estimated the size and quality of our resource in the NORI and TOML Areas, as described below, in our SEC Regulation S-K (subpart 1300), referred to herein as the SEC Mining Rules, compliant Technical Report Summary - Initial Assessment, of the NORI Property, Clarion-Clipperton Zone, Pacific Ocean dated March 17, 2021, or NORI Initial Assessment, and Technical Report Summary - TOML Mineral Resource, Clarion-Clipperton Zone, Pacific Ocean dated March 26, 2021, or TOML Mineral Resource Statement, respectively, prepared by AMC Consultants Ltd., or AMC. We plan to continue to estimate our resources in the NORI and TOML Areas and develop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NORI Initial Assessment and TOML Mineral Resource Statement do not include the conversion of mineral resources to mineral reserves.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used in this prospectus supplement or in the applicable report summary, the terms “mineral resource,” “measured mineral resource,” “indicated mineral resource” and “inferred mineral resource”, as applicable, are defined and used in accordance with the SEC Mining Rules.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supplement includes information that has been prepared in accordance with the requirements of the SEC Mining Rules forth in subpart 1300 of Regulation S-K.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Likewise, you are cautioned not to assume that all or any part of measured or indicated mineral resources will ever be upgraded to mineral reserves.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Our Corporate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was originally known as Sustainable Opportunities Acquisition Corp., or SOAC. On September 9, 2021, or the Closing Date, we consummated a business combination, or the Business Combination, pursuant to the terms of the business combination agreement, or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or DeepGreen. In connection with the closing of the Business Combination, or the Closing, SOAC changed its name to “TMC the metals company Inc.” Our principal executive offices are located at 595 Howe Street, 10th Floor, Vancouver, British Columbia V6C 2T5, and our telephone number is (574) 252-9333. We do not have a physical office in Vancouver, British Columbia, our directors and executive officers work remotely in various countries around the world, and the Vancouver, British Columbia address disclosed as our principal executive office has been provided because it is our records office required under the Business Corporations Act (British Columbia) Our website address is www.metals.co. The information contained on, or that can be accessed through, our website is not and shall not be deemed to be part of this prospectus supplement. We have included our website address in this prospectus supplement solely as an inactive textual reference. Investors should not rely on any such information in deciding whether to purchase our common shares or other securities.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All service marks, trademarks and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supplement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Implications of Being an Emerging Growth Company and a Smaller Reporting Company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qualify as an “emerging growth company” as defined in the Jumpstart Our Business Startups Act of 2012, or the JOBS Act. For so long as we remain an emerging growth company, we may take advantage of relief from certain reporting requirements and other burdens that are otherwise applicable generally to public companies. These provisions include: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reduced obligations with respect to financial data, including only being required to present two years of audited financial statements, in addition to any required unaudited interim financial statements with correspondingly reduced “Management’s Discussion and Analysis of Financial Condition and Results of Operations” disclosure;</w:t>
            </w:r>
          </w:p>
        </w:tc>
      </w:tr>
    </w:tbl>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an exception from compliance with the auditor attestation requirements of Section 404 of the Sarbanes-Oxley Act of 2002, as amended;</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reduced disclosure about our executive compensation arrangements in our periodic reports, proxy statements and registration statements;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exemptions from the requirements of holding non-binding advisory votes on executive compensation or golden parachute arrangements; and</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an exemption from compliance with the requirements of the Public Company Accounting Oversight Board regarding the communication of critical audit matters in the auditor’s report on financial statements.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may take advantage of these provisions until we no longer qualify as an emerging growth company. We will cease to qualify as an emerging growth company on the date that is the earliest of: (i) December 31, 2026, (ii) the last day of the fiscal year in which we have more than $1.07 billion in total annual gross revenues, (iii) the date on which we are deemed to be a “large accelerated filer” under the rules of the SEC which means the market value of our common shares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prospectus supplement. Accordingly, the information contained herein may be different than you might obtain from other public companies in which you hold equity interests.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addition, under the JOBS Act, emerging growth companies can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supplement may be different than the information you may receive from other public companies in which you hold equity interests. In addition, it is possible that some investors will find our common shares less attractive as a result of these elections, which may result in a less active trading market for our common shares and higher volatility in our share price.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4" w:name="a_003"/>
      <w:bookmarkEnd w:id="4"/>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695"/>
        <w:gridCol w:w="8510"/>
      </w:tblGrid>
      <w:tr>
        <w:trPr/>
        <w:tc>
          <w:tcPr>
            <w:tcW w:w="1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Common shares offered by us</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18,961,540 shares</w:t>
            </w:r>
          </w:p>
        </w:tc>
      </w:tr>
      <w:tr>
        <w:trPr/>
        <w:tc>
          <w:tcPr>
            <w:tcW w:w="1695"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283"/>
              <w:jc w:val="both"/>
              <w:rPr/>
            </w:pPr>
            <w:r>
              <w:rPr/>
              <w:t> </w:t>
            </w:r>
          </w:p>
        </w:tc>
      </w:tr>
      <w:tr>
        <w:trPr/>
        <w:tc>
          <w:tcPr>
            <w:tcW w:w="1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Class A Warrants offered by us</w:t>
            </w:r>
          </w:p>
        </w:tc>
        <w:tc>
          <w:tcPr>
            <w:tcW w:w="8510" w:type="dxa"/>
            <w:tcBorders/>
            <w:vAlign w:val="center"/>
          </w:tcPr>
          <w:p>
            <w:pPr>
              <w:pStyle w:val="TableContents"/>
              <w:bidi w:val="0"/>
              <w:spacing w:before="0" w:after="283"/>
              <w:jc w:val="both"/>
              <w:rPr>
                <w:sz w:val="20"/>
              </w:rPr>
            </w:pPr>
            <w:r>
              <w:rPr>
                <w:rFonts w:ascii="Times New Roman;Times;Serif" w:hAnsi="Times New Roman;Times;Serif"/>
                <w:sz w:val="20"/>
              </w:rPr>
              <w:t>Class A warrants to purchase up to 9,480,770 common shares. Each Class A warrant will have an exercise price equal to $3.00 per share, will be exercisable commencing on the date of issuance and will expire on December 31, 2027. For additional information regarding the Class A warrants, see “Description of Securities We are Offering” beginning on page S-18 of this prospectus supplement. The common shares and Class A warrants are immediately separable and will be issued separately in this offering, but must initially be purchased together in this offering.</w:t>
            </w:r>
            <w:r>
              <w:rPr>
                <w:sz w:val="20"/>
              </w:rPr>
              <w:t xml:space="preserve"> Each common share we sell in the offering will be accompanied by a Class A warrant to purchase 0.5 common shares.</w:t>
            </w:r>
          </w:p>
        </w:tc>
      </w:tr>
      <w:tr>
        <w:trPr/>
        <w:tc>
          <w:tcPr>
            <w:tcW w:w="1695"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283"/>
              <w:jc w:val="both"/>
              <w:rPr/>
            </w:pPr>
            <w:r>
              <w:rPr/>
              <w:t> </w:t>
            </w:r>
          </w:p>
        </w:tc>
      </w:tr>
      <w:tr>
        <w:trPr/>
        <w:tc>
          <w:tcPr>
            <w:tcW w:w="1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Common shares outstanding before this offering</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280,618,285 shares.</w:t>
            </w:r>
          </w:p>
        </w:tc>
      </w:tr>
      <w:tr>
        <w:trPr/>
        <w:tc>
          <w:tcPr>
            <w:tcW w:w="1695"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283"/>
              <w:jc w:val="both"/>
              <w:rPr/>
            </w:pPr>
            <w:r>
              <w:rPr/>
              <w:t> </w:t>
            </w:r>
          </w:p>
        </w:tc>
      </w:tr>
      <w:tr>
        <w:trPr/>
        <w:tc>
          <w:tcPr>
            <w:tcW w:w="1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Common shares to be outstanding immediately after this offering</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299,579,825 shares assuming no exercise of any Class A warrants issued in this offering.</w:t>
            </w:r>
          </w:p>
        </w:tc>
      </w:tr>
      <w:tr>
        <w:trPr/>
        <w:tc>
          <w:tcPr>
            <w:tcW w:w="1695"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283"/>
              <w:jc w:val="both"/>
              <w:rPr/>
            </w:pPr>
            <w:r>
              <w:rPr/>
              <w:t> </w:t>
            </w:r>
          </w:p>
        </w:tc>
      </w:tr>
      <w:tr>
        <w:trPr/>
        <w:tc>
          <w:tcPr>
            <w:tcW w:w="1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Offering price</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Each common share and accompanying Class A warrant will be sold at a negotiated price of $2.00. </w:t>
            </w:r>
          </w:p>
        </w:tc>
      </w:tr>
      <w:tr>
        <w:trPr/>
        <w:tc>
          <w:tcPr>
            <w:tcW w:w="1695"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283"/>
              <w:jc w:val="both"/>
              <w:rPr/>
            </w:pPr>
            <w:r>
              <w:rPr/>
              <w:t> </w:t>
            </w:r>
          </w:p>
        </w:tc>
      </w:tr>
      <w:tr>
        <w:trPr/>
        <w:tc>
          <w:tcPr>
            <w:tcW w:w="1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estimate the net proceeds from this offering will be approximately $36.8 million, after deducting estimated offering expenses payable by us, including fees payable to our financial advisors, and assuming no exercise of the Class A warrants issued in this offering. This estimate assumes the sale of $11 million of the securities offered hereby that may be purchased upon notice to us on or before September 15, 2023. We intend to use the net proceeds from this offering for working capital and general corporate purposes. See “Use of Proceeds” beginning on page S-16 of this prospectus supplement for additional detail.</w:t>
            </w:r>
          </w:p>
        </w:tc>
      </w:tr>
      <w:tr>
        <w:trPr/>
        <w:tc>
          <w:tcPr>
            <w:tcW w:w="1695"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283"/>
              <w:jc w:val="both"/>
              <w:rPr/>
            </w:pPr>
            <w:r>
              <w:rPr/>
              <w:t> </w:t>
            </w:r>
          </w:p>
        </w:tc>
      </w:tr>
      <w:tr>
        <w:trPr/>
        <w:tc>
          <w:tcPr>
            <w:tcW w:w="1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Trading symbol</w:t>
            </w:r>
          </w:p>
        </w:tc>
        <w:tc>
          <w:tcPr>
            <w:tcW w:w="8510" w:type="dxa"/>
            <w:tcBorders/>
            <w:vAlign w:val="center"/>
          </w:tcPr>
          <w:p>
            <w:pPr>
              <w:pStyle w:val="TableContents"/>
              <w:bidi w:val="0"/>
              <w:spacing w:before="0" w:after="283"/>
              <w:jc w:val="both"/>
              <w:rPr>
                <w:sz w:val="20"/>
              </w:rPr>
            </w:pPr>
            <w:r>
              <w:rPr>
                <w:rFonts w:ascii="Times New Roman;Times;Serif" w:hAnsi="Times New Roman;Times;Serif"/>
                <w:sz w:val="20"/>
              </w:rPr>
              <w:t xml:space="preserve">Our common shares are listed on </w:t>
            </w:r>
            <w:r>
              <w:rPr>
                <w:sz w:val="20"/>
              </w:rPr>
              <w:t>Nasdaq under the symbol “TMC”. We do not intend to list the Class A warrants, nor do we expect the Class A warrants to be quoted, on Nasdaq or any other national securities exchange or any other nationally recognized trading system.</w:t>
            </w:r>
          </w:p>
        </w:tc>
      </w:tr>
      <w:tr>
        <w:trPr/>
        <w:tc>
          <w:tcPr>
            <w:tcW w:w="1695"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283"/>
              <w:jc w:val="both"/>
              <w:rPr/>
            </w:pPr>
            <w:r>
              <w:rPr/>
              <w:t> </w:t>
            </w:r>
          </w:p>
        </w:tc>
      </w:tr>
      <w:tr>
        <w:trPr/>
        <w:tc>
          <w:tcPr>
            <w:tcW w:w="1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factors</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Investing in our securities involves a high degree of risk. See “Risk Factors” beginning on page S-8 and other information included or incorporated in this prospectus supplement for a discussion of factors you should carefully consider before investing in our securities.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number of our common shares that will be outstanding immediately after this offering is based on 280,618,285 common shares outstanding as of March 31, 2023, and excludes: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25,140,262 common shares and 14,896,783 special shares, which are automatically convertible into common shares on a one-for-one basis if certain price thresholds are met, issuable upon exercise of share options outstanding as of March 31, 2023 under our stock incentive plans, at a weighted average per option exercise price of $1.11;</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13,123,935 common shares issuable upon the vesting of restricted share units outstanding as of March 31, 2023;</w:t>
            </w:r>
          </w:p>
        </w:tc>
      </w:tr>
    </w:tbl>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38,299,195 common shares available as of March 31, 2023 for future grant under the 2021 Incentive Equity Plan;</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7,804,516 common shares available as of March 31, 2023 for future issuance under the 2021 Employee Stock Purchase Plan;</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136,239,964 common shares reserved for issuance upon conversion of our outstanding special shares, which are automatically convertible into common shares on a one-for-one basis if certain price thresholds are met; and</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36,078,620 common shares issuable upon exercise of outstanding warrants as of March 31, 2023 to purchase common shares, at a weighted average per warrant exercise price of $7.81, of which 11,578,620 common shares were issued upon exercise of the warrant held by Allseas Group S.A subsequent to March 31, 2023.</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Except as otherwise indicated, all information in this prospectus supplement assumes no exercise of the Class A warrants issued in this offering, assumes the sale of $11 million of the securities offered hereby that may be purchased upon notice to us on or before September 15, 2023 and does not reflect the potential issuance of our common shares that remain available for sale as of the date of this prospectus supplement under our “at-the-market” offering program, pursuant to which we may sell common shares for remaining gross proceeds of up to $30 million from time to time under the At-The-Market Equity Distribution Agreement we entered into in December 2022.</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Annual Report on Form 10-K for the fiscal year ended December 31, 2022, which is incorporated by reference into this prospectus supplement, as well as our other filings with the SEC, include material risk factors relating to our business.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or the risks and uncertainties described below actually occurs, our business, financial condition or results of operations could be harmed substantially. In such a case, you may lose all or part of your investment. You should carefully consider the risks and uncertainties described below and those risks and uncertainties incorporated by reference into this prospectus supplement, as well as the other information included in this prospectus supplement, before making an investment decision with respect to our securities. Since the filing of our Form 10-K, there have been no material changes in our risk factors relating to our business from those disclosed therein, other than as provided below under “Risks Related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Purchasers of securities in this offering will experience immediate and substantial dilution in the book value of their investment. You may experience further dilution upon exercise of our outstanding options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common share and accompanying Class A warrant in this offering is substantially higher than the net tangible book value per share before giving effect to this offering. Accordingly, if you purchase securities in this offering, you will incur immediate substantial dilution of approximately $1.70 per share, representing the difference between the offering price per share and our as adjusted net tangible book value as of March 31, 2023. In addition, if our outstanding options or warrants are exercised, you could experience further dilution. For a further description of the dilution that you will experience immediately after this offering, see the section in this prospectus supplement entitled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common shares, or the perception that such future sales may occur, may cause our share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our common shares in the public market, or the perception that these sales could occur, following this offering could cause the market price of our common shares to decline. A substantial majority of the outstanding common shares are, and the common shares sold in this offering upon issuance will be, freely tradable without restriction or further registration under the Securities Act of 1933, as amended, or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to determine how to use the funds raised in this offering, and may use them in ways that may not enhance our operating results or the price of our common shares. We may not receive all of the expected proceeds from the securities offered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over the use of proceeds from this offering, and we could spend the proceeds from this offering in ways our shareholders may not agree with or that do not yield a favorable return, if at all. We intend to use the net proceeds from this offering for working capital and general corporate purposes. See “Use of Proceeds” beginning on page S-16 of this prospectus supplement for additional detail. However, our use of these proceeds may differ substantially from our current plans. If we do not invest or apply the proceeds from this offering in ways that improve our operating results, we may fail to achieve expected financial results, which could cause our share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$11 million of the securities offered hereby may be purchased upon notice to us on or before September 15, 2023 if the closing price of our common shares on the trading day before such notice is $3.00 or less. There can be no assurances that we will receive these additional proceeds, or any proceeds from the exercise of the Class A warrants, which could result in changes to the expected uses of the proceeds from this offering and increase our need for additional sources of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expect to pay dividends in the foreseeable future. As a result, you must rely on capital appreciation for any return on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cash dividends on our common shares in the foreseeable future. Any payment of cash dividends will also depend on our financial condition, results of operations, capital requirements and other factors and will be at the discretion of our board of directors. Accordingly, you will have to rely on capital appreciation, if any, to earn a return on your investment in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public market for the Class A warrants to purchase common shares being offered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Class A warrants being offered in this offering, and we do not expect a market to develop. In addition, we do not intend to apply to list the Class A warrants on any national securities exchange or other nationally recognized trading system, including Nasdaq. Without an active market, the liquidity of the Class A warrants will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our Class A warrants will have no rights as a common shareholder until they acquire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you acquire our common shares upon exercise of the Class A warrants, you will have no rights with respect to our common shares issuable upon exercise of the Class A warrants. Upon exercise of your Class A warrants, you will be entitled to exercise the rights of a common shareholder only as to matters for which the record date occurs after the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Class A warrants are speculative in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warrants offered hereby do not confer any rights of common share ownership on their holders, such as voting rights or the right to receive dividends, but rather merely represent the right to acquire common shares at a fixed price. Specifically, commencing on the date of issuance, holders of the Class A warrants may acquire the common shares issuable upon exercise of such Class A warrants at an exercise price of $3.00 per share. Moreover, following this offering, the market value of the Class A warrants is uncertain and there can be no assurance that the market value of the Class A warrants will equal or exceed their offering price. There can be no assurance that the market price of the common shares will ever equal or exceed the exercise price of the Class A warrants and consequently, whether it will ever be profitable for holders of the Class A warrants to exercise the Class A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Business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numerous regulatory uncertainties which, if not resolved in our favor, would have a material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2023 the United Nations finalized the UN High Seas Treaty. The treaty does not replace or amend UNCLOS, or the authority of the ISA, and must be interpreted consistently with the rights granted by the Convention.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no commercial collection (also referred to as “mining,” “exploitation” or “harvesting”) of nodules has occurred on the seabed beyond the limits of national jurisdiction (the “Area”), which includes the CCZ. Moreover, despite the release by the ISA of the Draft Regulations on Exploitation of Mineral Resources (the “Draft Regulations”), finalization of such regulations remains subject to approval and adoption by the ISA. Once adopted, these regulations will add to the legal and technical framework for exploitation of the polymetallic nodules in the NORI, TOML and Marawa contract areas.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paragraph 15 of the 1994 Agreement relating to the Implementation of Part XI of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2021, Nauru submitted such a notice, with an effective date of July 9, 2021, to the ISA requesting that it complete the adoption of rules, regulations and procedures (“RRPs” or the “Mining Code”) necessary to facilitate the approval of plans of work for exploitation in the Area. As a result of that notice the ISA was required to adopt the relevant RRPs for exploitation by July 9, 2023. The ISA, however, did not adopt the RRPs for exploitation by the July 9, 2023 deadline. At its July 2023 session, the ISA released a road map for the finalization of the Mining Code, with a view to its adoption during the 30th session of the ISA in 2025, with the potential for earlier adoption during the 29th session of the ISA in 2024 if the Mining Code is ready for adoption by that time. The road map includes three scheduled ISA Council meetings through July 2024 to elaborate the Mining Code. Although we believe the ISA will adopt the Mining Code, there can be no assurances that the Mining Code will be adopted within these timelines, or at all, as a result of actions of ISA member States or otherwise. For example, 21 ISA member States out of the 169 ISA members have expressed reservations about the commercialization of seafloor mineral resources and have called for a ban, moratorium or precautionary pause on the commercialization of these resources. In addition, although the Draft Regulations and several supporting standards and guidelines are at an advanced stage, there remains uncertainty regarding the final form that these will take, as well as the impact that such regulations, standards and guidelines will have on our ability to meet our objectives.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ISA Council did not complete the adoption and elaboration of the Mining Code by the prescribed deadline of July 9, 2023, pursuant to Section 1, Paragraph 15(c) of the Annex to the 1994 Agreement relating to the implementation of Part XI of UNCLOS, if an application for a plan of work for exploitation is now submitted to the ISA, the ISA is nonetheless required to consider and provisionally approve such a plan of work based on: (i) the provisions of the UNCLOS; (ii) any rules, regulations and procedures that the ISA may have adopted provisionally, (iii) the basis of the norms contained in the UNCLOS and (iv) the terms and principles contained in the 1994 Agreement relating to the Implementation of Part XI, including the principle of non-discrimination among contractors.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NORI intends to submit an application to the ISA for an exploitation contract, which will include a plan of work for exploitation for NORI Area D following the conclusion of the July 2024 meeting of the ISA’s 29th session. If the ISA has not adopted the final Mining Code by the time NORI submits this application, we believe that the ISA will review and provisionally approve the plan of work for exploitation included therein pursuant to </w:t>
      </w:r>
      <w:r>
        <w:rPr>
          <w:rFonts w:ascii="Times New Roman;Times;Serif" w:hAnsi="Times New Roman;Times;Serif"/>
          <w:b w:val="false"/>
          <w:i w:val="false"/>
          <w:caps w:val="false"/>
          <w:smallCaps w:val="false"/>
          <w:sz w:val="20"/>
        </w:rPr>
        <w:t>Section 1, Paragraph 15(c) of the Annex to the 1994 Agreement relating to the implementation of Part XI of UNCLOS discussed above. The ISA released its road map to finalize the Mining Code at its July 2023 session, however, it also stated that the commercial exploitation of mineral resources in the ISA’s jurisdictional area should not be carried out in the absence of RRPs relating to exploitation. In addition, there can be no assurances that the ISA will come to a consensus as to the interpretation of Section 1, Paragraph 15(c) of the Annex to the 1994 Agreement relating to the implementation of Part XI of UNCLOS. Although we believe the ISA will accept and consider an application for a plan of work for exploitation in the absence of the final Mining Code, there is no consensus within the ISA as to the process to be followed for its consideration of such an application, including the involvement of the ISA’s Legal and Technical Commission and whether and how long the ISA could delay its consideration of an application past the proscribed 60-day period. As a result, and in light of some ISA members States calling for a ban, moratorium or precautionary pause on the commercialization of seafloor mineral resources, there can be no assurance that the ISA will provisionally approve our plan of work for exploitation, within one year from submission thereof, or at all, or that such provisional approval would lead to the issuance of an exploitation contract with the ISA.</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collection of polymetallic nodules within the CCZ, where our exploration areas are located, will require an approved plan of work in the form of an exploitation contract with the ISA (which will authorize commercial collection activities). As part of the application for a plan of work for exploitaton, contractors are required to complete baseline studies and an E</w:t>
      </w:r>
      <w:r>
        <w:rPr>
          <w:rFonts w:ascii="Times New Roman;Times;Serif" w:hAnsi="Times New Roman;Times;Serif"/>
          <w:b w:val="false"/>
          <w:i w:val="false"/>
          <w:caps w:val="false"/>
          <w:smallCaps w:val="false"/>
          <w:sz w:val="20"/>
          <w:shd w:fill="FFFFFF" w:val="clear"/>
        </w:rPr>
        <w:t>nvironmental and Social Impact Assessment (“</w:t>
      </w:r>
      <w:r>
        <w:rPr>
          <w:rFonts w:ascii="Times New Roman;Times;Serif" w:hAnsi="Times New Roman;Times;Serif"/>
          <w:b w:val="false"/>
          <w:i w:val="false"/>
          <w:caps w:val="false"/>
          <w:smallCaps w:val="false"/>
          <w:sz w:val="20"/>
        </w:rPr>
        <w:t>ESIA”), culminating in an Environmental Impact Statement (“EIS”), prior to collecting nodules at a commercial scale. The EIS would be accompanied by an Environmental Management and Monitoring Plan (“EMMP”). The EMMP is expected to specify the objectives and purpose of all monitoring requirements, the components to be monitored, frequency of monitoring, methods of monitoring, analysis required in each monitoring component, monitoring data management and reporting.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move our exploration projects into commercial production, our wholly-owned subsidiaries, NORI and TOML will each need to conclude an exploitation contract with the ISA, as will our partner, Marawa, in addition to obtaining related permits that may be required by our commercial partners. There can be no assurance that the ISA will approve our application for a plan of work for exploitation and issue an exploitation contract to our subsidiaries in a timely manner or at all. Even if the ISA timely evaluates such applications(s), our subsidiaries may be required to submit a supplementary EIS or perform additional studies or campaigns before obtaining approval. As such, there is a risk that an exploitation contract may not be granted by the ISA, may not be granted on a timely basis, thereby delaying our potential timeline for commercial exploitation, or may be granted on uneconomic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States, Nauru and Tonga, respectively. Each subsidiary has been registered and incorporated within such host nation and each host nation has maintained effective control, supervision, regulation, and sponsorship over the conduct of such subsidiary. While we have beneficial ownership over such subsidiaries, each subsidiary operates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rates of payments are yet to be set by the ISA, the 1994 Agreement relating to the Implementation of Part XI of the UNCLOS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a Mining Code in a timely manner or at all. Such regulations may also impose burdensome obligations or restrictions on us, and/or may contain terms that do not enable us to develop our projects.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seafloor polymetallic nodule deposit has ever been commercially collected, and our offshore collection technology and development plans and processes may not be sufficient to accomplish our objectives.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Seafloor polymetallic nodules have never been commercially mined, and there is a risk that our offshore collection and recovery methods and the equipment that we intend to utilize during this process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and development techniques for the prevailing material and seafloor conditions would have a material adverse effect on the business of our subsidiaries, and the results of their operations and financial condition. As a result, even if the ISA timely reviews and approves our expected application for an exploitation contract, which will include a plan of work for exploitation, for NORI Area D, there are no assurances that we will have successfully completed all development and pre-production work necessary to start commercial production in the fourth quarter of 2025. We have partnered with Allseas, a leading global offshore contractor, to undertake a pre-production integrated pilot collection system test in which a collector vehicle, a riser and lift system and surface production vessel have been tested. Although the pilot collection system test was successful, there can be no assurance that their technology will eventually be adequate for full scale commercial production.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2022, NORI and Allseas entered into a non-binding term sheet for the development and operation of the Project Zero Offshore System. NORI and Allseas intend to equally finance all costs related to developing and getting Project Zero Offshore System into production. The parties intend to detail and revise these cost estimates in three definitive agreements for the engineering, build and operations phases, which the parties expect to enter into before the end of 2023. There can be no assurances, however, that we will enter into the definitive agreements with Allseas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 and hence, we may be delayed in obtaining offshore collection equipment in the event we do not reach agreement with Allseas and have to develop such equipment on our own or through new third-party contractual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substantially dependent on our strategic relationship with Allseas. If we and Allseas are unable to successfully maintain and expand this relationship, our business may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partnered with Allseas, a leading global offshore contractor and significant shareholder in our company, to undertake the development of many of the offshore systems we expect to utilize in our potential commercialization efforts.  We are also in discussions with Allseas to enter into binding agreements with them for the future development and operation of the Project Zero Offshore System and other services.  Allseas also provides us with exclusive access to the earlier of the development of the Project Zero Offshore system and December 31, 2026 to the Hidden Gem, the converted drillship expected to be converted into a production vessel by Allseas for our commercial use.  In addition, Allseas has invested $5 million in our August 2022 private placement of common shares and entered into an unsecured credit facility with us under which an affiliate of Allseas agreed to lend us up to $25 million through November 30, 2024.  We cannot provide any assurance with respect to the success of our continued relationship with Allseas, that we will be able to enter into additional binding agreements with Allseas on commercially reasonable terms, or at all, that Allseas will continue to devote its resources to its relationship with us or otherwise perform its obligations under its current and future arrangements with us as expected, as a result of its limited experience in the collection and transportation of seafloor polymetallic nodules or otherwise, the result of any of which would have a material adverse effect on our business, financial condition, liquidity, and results of operations. As a result, we may need to engage and depend on other third parties for the services and funding Allseas currently and is expected to provide us. If these new relationships are not timely entered into or not entered into on commercially reasonable terms, or at all, or if any such relationship is not successful, this would likely have a material adverse effect on our business, financial condition, liquidity,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and there can be no assurance that we will be able to commercially develop our resource areas or achieve profitability in the future.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and we expect that our losses will continue until we achieve profitable commercial production. NORI currently intends to explore and collect mineral resources in the NORI areas identified in the exploration contract executed by NORI with the ISA, and we hope to expand such operations if viable in certain other parts of the CCZ, including by TOML in the TOML areas identified in the exploration contract executed between TOML and the ISA and DGE in the Marawa areas identified in the exploration contract executed by Marawa with the ISA. Although NORI anticipates that its first production of nodules from NORI Area D could be in the fourth quarter of 2025 (assuming submission of an application for an exploitation contract, that includes a plan of work for exploitation, for NORI Area D following the July 2024 ISA meeting and the ISA’s timely one-year review and approval thereof), there can be no assurance that it will be able to commercially develop these properties or that it will be able to generate profits in the future.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part of DGE’s Marawa Option Agreement and Services Agreement with Marawa with respect to the Marawa Contract Area, Marawa committed to spend Australian dollar (“AUD”) $3 million and AUD $2 million in fiscal 2023 and 2024, respectively.  Limited offshore marine resource definition activities in the Marawa Contract Area, however, have occurred to date and we expect to collaborate with Marawa to assess the viability of any potential project in the Marawa Contract Area, although the timing of such assessment is unclear. Marawa has also delayed certain of its efforts in the Marawa Contract Area while it determines how it will move forward with additional assessment work.  There are no assurances that we will be able to come to an agreement with Marawa on the future development of the Marawa Contract Area or that we will be able to keep our rights in the Marawa Contract Area as a result of our efforts there, either of which could have a material and adverse effect on our future business prospects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and capital expenditures will increase in the future as consultants and new employees are engaged, equipment associated with advancing exploration is leased or purchased, and properties are developed. There can be no assurance that we will generate any revenues or achieve profitability, or that the assumed levels of expense associated with our exploration, development, and commercialization processes will prove to be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capital intensive, and we will be required to raise additional funds in the future to accomplish our objectives. This additional financing may not be available on acceptable terms or at all. Failure to obtain this necessary capital when needed may force us to reduce or terminate our operations.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 plan of work for exploitation for NORI Area D, and by negotiating the settlement of program expenditures with our equity whenever possible in order to preserve our cash. The continuing exploration and development of the NORI, TOML and Marawa contract areas, however, will depend upon our ability to obtain dilutive and/or non-dilutive financing through stake sales in our assets, offtakes with prepayments, debt financing, equity financing, joint ventures, project-based or asset-based financing or other means. We currently estimate that we will require approximately $34 to $44 million of cash in addition to $20 million cash on hand as of June 30, 2023 and the $25.8 million of expected net proceeds from this offering assuming no exercise of the Class A warrants issued in this offering and excluding up to $11 million of the securities offered hereby that may be purchased upon notice to us on or before September 15, 2023 (but not including potential drawdown on the existing Allseas credit facility) to submit an application for an exploitation contract that includes a plan of work for exploitation for NORI Area D following the July 2024 ISA meeting. The actual amount of capital needed or that we raise for our projects, however, may vary materially from our current estimates. We currently expect that we will raise additional funds, including in addition to the expected proceeds from this offering (we may need to raise more additional funds if we do not receive all of the expected proceeds from this offering), to finance our operations. There is no assurance that we will be successful in obtaining the required financing for these or other purposes, including for general working capital, or that any funds raised will be sufficient for the purposes contemplated, which could negatively impact our operating plans, financial results and ability to continue as a going concern. We will not initially have any producing properties and will have no source of significant operating cash flow until the end of 2025 at the earliest. There is no precedent for projects like ours, and therefore, financing may not be available on acceptable terms or at all. Failure to obtain additional financing on a timely basis could cause us to reduce or terminate our operations. Organizations such as the United Nations Environment Programme Finance Initiative, warn against investing in activities focused on exploitation of deep-sea nodules as a result of the potential environmental impact of the activities. The influence of these groups could negatively impact our operations and ability to raise capital on acceptable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Additionally, United States and global economic uncertainty, higher interest rates and diminished credit availability may limit our ability to incur additional indebtedness on favorable terms. Any additional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impact of geopolitical tension, such as a deterioration in the bilateral relationship between the United States and China or an escalation in conflict between Russia and Ukraine, including any resulting sanctions, export controls or other restrictive actions, could also lead to disruption, instability and volatility in the global markets, which may have an impact on our ability to obtain additional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documents incorporated by reference therein include forward-looking statements within the meaning of Section 27A of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supplement, the accompanying prospectus and the documents incorporated by reference therein,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supplement, the accompanying prospectus and the other documents or reports incorporated by reference therein, discuss some of the factors that could contribute to these differences. These forward-looking statements include, among other things, statements about:</w:t>
      </w:r>
    </w:p>
    <w:p>
      <w:pPr>
        <w:pStyle w:val="TextBody"/>
        <w:bidi w:val="0"/>
        <w:spacing w:before="0" w:after="0"/>
        <w:ind w:left="0" w:right="0" w:hanging="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95"/>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340" w:type="dxa"/>
            <w:tcBorders/>
            <w:vAlign w:val="center"/>
          </w:tcPr>
          <w:p>
            <w:pPr>
              <w:pStyle w:val="TableContents"/>
              <w:bidi w:val="0"/>
              <w:spacing w:before="0" w:after="283"/>
              <w:jc w:val="both"/>
              <w:rPr/>
            </w:pPr>
            <w:r>
              <w:rPr/>
              <w:t>our use of the net proceeds from this offering;</w:t>
            </w:r>
          </w:p>
        </w:tc>
      </w:tr>
    </w:tbl>
    <w:tbl>
      <w:tblPr>
        <w:tblW w:w="9408" w:type="dxa"/>
        <w:jc w:val="left"/>
        <w:tblInd w:w="0" w:type="dxa"/>
        <w:tblLayout w:type="fixed"/>
        <w:tblCellMar>
          <w:top w:w="0" w:type="dxa"/>
          <w:left w:w="0" w:type="dxa"/>
          <w:bottom w:w="0" w:type="dxa"/>
          <w:right w:w="0" w:type="dxa"/>
        </w:tblCellMar>
      </w:tblPr>
      <w:tblGrid>
        <w:gridCol w:w="38"/>
        <w:gridCol w:w="125"/>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245" w:type="dxa"/>
            <w:tcBorders/>
            <w:vAlign w:val="center"/>
          </w:tcPr>
          <w:p>
            <w:pPr>
              <w:pStyle w:val="TableContents"/>
              <w:bidi w:val="0"/>
              <w:spacing w:before="0" w:after="283"/>
              <w:jc w:val="both"/>
              <w:rPr/>
            </w:pPr>
            <w:r>
              <w:rPr/>
              <w:t>the commercial and technical feasibility of seafloor polymetallic nodule collection and processing;</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supply and demand for battery metals and battery cathode feedstocks, copper cathode and manganese ores;</w:t>
            </w:r>
          </w:p>
        </w:tc>
      </w:tr>
    </w:tbl>
    <w:tbl>
      <w:tblPr>
        <w:tblW w:w="9873" w:type="dxa"/>
        <w:jc w:val="left"/>
        <w:tblInd w:w="0" w:type="dxa"/>
        <w:tblLayout w:type="fixed"/>
        <w:tblCellMar>
          <w:top w:w="0" w:type="dxa"/>
          <w:left w:w="0" w:type="dxa"/>
          <w:bottom w:w="0" w:type="dxa"/>
          <w:right w:w="0" w:type="dxa"/>
        </w:tblCellMar>
      </w:tblPr>
      <w:tblGrid>
        <w:gridCol w:w="38"/>
        <w:gridCol w:w="125"/>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710" w:type="dxa"/>
            <w:tcBorders/>
            <w:vAlign w:val="center"/>
          </w:tcPr>
          <w:p>
            <w:pPr>
              <w:pStyle w:val="TableContents"/>
              <w:bidi w:val="0"/>
              <w:spacing w:before="0" w:after="283"/>
              <w:jc w:val="both"/>
              <w:rPr/>
            </w:pPr>
            <w:r>
              <w:rPr/>
              <w:t>the future prices of battery metals and battery cathode feedstocks, copper cathode and manganese ores;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timing and content of the ISA’s final exploitation regulations that will create the legal and technical framework for exploitation of polymetallic nodules in the CCZ;</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expectations regarding the timing and content of an application for an exploitation contract and/or plan of work for exploitation to the ISA for NORI Area D and the ISA’s review and approval thereof;</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expectations regarding the potential timing of commercial production if the ISA approves an application for an exploitation contract or plan of work for exploitation;</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government regulation of mineral extraction from the deep seafloor and changes in mining laws and regulations;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technical, operational, environmental, social and governance risks of developing and deploying equipment to collect and ship polymetallic nodules at sea, and to process such nodules on land;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sources and timing of potential revenue as well as the timing and amount of estimated future production, costs of production, other expenses, capital expenditures and requirements for additional capital;</w:t>
            </w:r>
          </w:p>
        </w:tc>
      </w:tr>
    </w:tbl>
    <w:tbl>
      <w:tblPr>
        <w:tblW w:w="4203" w:type="dxa"/>
        <w:jc w:val="left"/>
        <w:tblInd w:w="0" w:type="dxa"/>
        <w:tblLayout w:type="fixed"/>
        <w:tblCellMar>
          <w:top w:w="0" w:type="dxa"/>
          <w:left w:w="0" w:type="dxa"/>
          <w:bottom w:w="0" w:type="dxa"/>
          <w:right w:w="0" w:type="dxa"/>
        </w:tblCellMar>
      </w:tblPr>
      <w:tblGrid>
        <w:gridCol w:w="38"/>
        <w:gridCol w:w="125"/>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040" w:type="dxa"/>
            <w:tcBorders/>
            <w:vAlign w:val="center"/>
          </w:tcPr>
          <w:p>
            <w:pPr>
              <w:pStyle w:val="TableContents"/>
              <w:bidi w:val="0"/>
              <w:spacing w:before="0" w:after="283"/>
              <w:jc w:val="both"/>
              <w:rPr/>
            </w:pPr>
            <w:r>
              <w:rPr/>
              <w:t>cash flow provided by operating activities;</w:t>
            </w:r>
          </w:p>
        </w:tc>
      </w:tr>
    </w:tbl>
    <w:tbl>
      <w:tblPr>
        <w:tblW w:w="7233" w:type="dxa"/>
        <w:jc w:val="left"/>
        <w:tblInd w:w="0" w:type="dxa"/>
        <w:tblLayout w:type="fixed"/>
        <w:tblCellMar>
          <w:top w:w="0" w:type="dxa"/>
          <w:left w:w="0" w:type="dxa"/>
          <w:bottom w:w="0" w:type="dxa"/>
          <w:right w:w="0" w:type="dxa"/>
        </w:tblCellMar>
      </w:tblPr>
      <w:tblGrid>
        <w:gridCol w:w="38"/>
        <w:gridCol w:w="125"/>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070" w:type="dxa"/>
            <w:tcBorders/>
            <w:vAlign w:val="center"/>
          </w:tcPr>
          <w:p>
            <w:pPr>
              <w:pStyle w:val="TableContents"/>
              <w:bidi w:val="0"/>
              <w:spacing w:before="0" w:after="283"/>
              <w:jc w:val="both"/>
              <w:rPr/>
            </w:pPr>
            <w:r>
              <w:rPr/>
              <w:t>the expected activities of our partners under our key strategic relationships;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sufficiency of our cash on hand to meet our working capital and capital expenditure requirements, the need for additional financing and our ability to continue as a going concern;</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ability to raise financing in the future, the nature of any such financing and our plans with respect thereto;</w:t>
            </w:r>
          </w:p>
        </w:tc>
      </w:tr>
    </w:tbl>
    <w:tbl>
      <w:tblPr>
        <w:tblW w:w="3768" w:type="dxa"/>
        <w:jc w:val="left"/>
        <w:tblInd w:w="0" w:type="dxa"/>
        <w:tblLayout w:type="fixed"/>
        <w:tblCellMar>
          <w:top w:w="0" w:type="dxa"/>
          <w:left w:w="0" w:type="dxa"/>
          <w:bottom w:w="0" w:type="dxa"/>
          <w:right w:w="0" w:type="dxa"/>
        </w:tblCellMar>
      </w:tblPr>
      <w:tblGrid>
        <w:gridCol w:w="38"/>
        <w:gridCol w:w="12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605" w:type="dxa"/>
            <w:tcBorders/>
            <w:vAlign w:val="center"/>
          </w:tcPr>
          <w:p>
            <w:pPr>
              <w:pStyle w:val="TableContents"/>
              <w:bidi w:val="0"/>
              <w:spacing w:before="0" w:after="283"/>
              <w:jc w:val="both"/>
              <w:rPr/>
            </w:pPr>
            <w:r>
              <w:rPr/>
              <w:t>any litigation to which we are a party;</w:t>
            </w:r>
          </w:p>
        </w:tc>
      </w:tr>
    </w:tbl>
    <w:tbl>
      <w:tblPr>
        <w:tblW w:w="4473" w:type="dxa"/>
        <w:jc w:val="left"/>
        <w:tblInd w:w="0" w:type="dxa"/>
        <w:tblLayout w:type="fixed"/>
        <w:tblCellMar>
          <w:top w:w="0" w:type="dxa"/>
          <w:left w:w="0" w:type="dxa"/>
          <w:bottom w:w="0" w:type="dxa"/>
          <w:right w:w="0" w:type="dxa"/>
        </w:tblCellMar>
      </w:tblPr>
      <w:tblGrid>
        <w:gridCol w:w="38"/>
        <w:gridCol w:w="125"/>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310" w:type="dxa"/>
            <w:tcBorders/>
            <w:vAlign w:val="center"/>
          </w:tcPr>
          <w:p>
            <w:pPr>
              <w:pStyle w:val="TableContents"/>
              <w:bidi w:val="0"/>
              <w:spacing w:before="0" w:after="283"/>
              <w:jc w:val="both"/>
              <w:rPr/>
            </w:pPr>
            <w:r>
              <w:rPr/>
              <w:t>claims and limitations on insurance coverage;</w:t>
            </w:r>
          </w:p>
        </w:tc>
      </w:tr>
    </w:tbl>
    <w:tbl>
      <w:tblPr>
        <w:tblW w:w="4203" w:type="dxa"/>
        <w:jc w:val="left"/>
        <w:tblInd w:w="0" w:type="dxa"/>
        <w:tblLayout w:type="fixed"/>
        <w:tblCellMar>
          <w:top w:w="0" w:type="dxa"/>
          <w:left w:w="0" w:type="dxa"/>
          <w:bottom w:w="0" w:type="dxa"/>
          <w:right w:w="0" w:type="dxa"/>
        </w:tblCellMar>
      </w:tblPr>
      <w:tblGrid>
        <w:gridCol w:w="38"/>
        <w:gridCol w:w="125"/>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040" w:type="dxa"/>
            <w:tcBorders/>
            <w:vAlign w:val="center"/>
          </w:tcPr>
          <w:p>
            <w:pPr>
              <w:pStyle w:val="TableContents"/>
              <w:bidi w:val="0"/>
              <w:spacing w:before="0" w:after="283"/>
              <w:jc w:val="both"/>
              <w:rPr/>
            </w:pPr>
            <w:r>
              <w:rPr/>
              <w:t>the restatement of our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198" w:type="dxa"/>
        <w:jc w:val="left"/>
        <w:tblInd w:w="0" w:type="dxa"/>
        <w:tblLayout w:type="fixed"/>
        <w:tblCellMar>
          <w:top w:w="0" w:type="dxa"/>
          <w:left w:w="0" w:type="dxa"/>
          <w:bottom w:w="0" w:type="dxa"/>
          <w:right w:w="0" w:type="dxa"/>
        </w:tblCellMar>
      </w:tblPr>
      <w:tblGrid>
        <w:gridCol w:w="38"/>
        <w:gridCol w:w="125"/>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035" w:type="dxa"/>
            <w:tcBorders/>
            <w:vAlign w:val="center"/>
          </w:tcPr>
          <w:p>
            <w:pPr>
              <w:pStyle w:val="TableContents"/>
              <w:bidi w:val="0"/>
              <w:spacing w:before="0" w:after="283"/>
              <w:jc w:val="both"/>
              <w:rPr/>
            </w:pPr>
            <w:r>
              <w:rPr/>
              <w:t>geological, metallurgical and geotechnical studies and opinions;</w:t>
            </w:r>
          </w:p>
        </w:tc>
      </w:tr>
    </w:tbl>
    <w:tbl>
      <w:tblPr>
        <w:tblW w:w="2733" w:type="dxa"/>
        <w:jc w:val="left"/>
        <w:tblInd w:w="0" w:type="dxa"/>
        <w:tblLayout w:type="fixed"/>
        <w:tblCellMar>
          <w:top w:w="0" w:type="dxa"/>
          <w:left w:w="0" w:type="dxa"/>
          <w:bottom w:w="0" w:type="dxa"/>
          <w:right w:w="0" w:type="dxa"/>
        </w:tblCellMar>
      </w:tblPr>
      <w:tblGrid>
        <w:gridCol w:w="38"/>
        <w:gridCol w:w="125"/>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570" w:type="dxa"/>
            <w:tcBorders/>
            <w:vAlign w:val="center"/>
          </w:tcPr>
          <w:p>
            <w:pPr>
              <w:pStyle w:val="TableContents"/>
              <w:bidi w:val="0"/>
              <w:spacing w:before="0" w:after="283"/>
              <w:jc w:val="both"/>
              <w:rPr/>
            </w:pPr>
            <w:r>
              <w:rPr/>
              <w:t>mineral resource estimates;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status as an emerging growth company, non-reporting Canadian issuer and passive foreign investment company; and</w:t>
            </w:r>
          </w:p>
        </w:tc>
      </w:tr>
    </w:tbl>
    <w:tbl>
      <w:tblPr>
        <w:tblW w:w="2688" w:type="dxa"/>
        <w:jc w:val="left"/>
        <w:tblInd w:w="0" w:type="dxa"/>
        <w:tblLayout w:type="fixed"/>
        <w:tblCellMar>
          <w:top w:w="0" w:type="dxa"/>
          <w:left w:w="0" w:type="dxa"/>
          <w:bottom w:w="0" w:type="dxa"/>
          <w:right w:w="0" w:type="dxa"/>
        </w:tblCellMar>
      </w:tblPr>
      <w:tblGrid>
        <w:gridCol w:w="38"/>
        <w:gridCol w:w="125"/>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525" w:type="dxa"/>
            <w:tcBorders/>
            <w:vAlign w:val="center"/>
          </w:tcPr>
          <w:p>
            <w:pPr>
              <w:pStyle w:val="TableContents"/>
              <w:bidi w:val="0"/>
              <w:spacing w:before="0" w:after="283"/>
              <w:jc w:val="both"/>
              <w:rPr/>
            </w:pPr>
            <w:r>
              <w:rPr/>
              <w:t>our financial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supplement, the accompanying prospectus and in the documents incorporated by reference therein, particularly in the “Risk Factors” section, that we believe could cause actual results or events to differ materially from the forward-looking statements that we make. For a summary of such factors, please refer to the section entitled “Risk Factors” in this prospectus supplement and the accompanying prospectus, as updated and supplemented by the discussion of risks and uncertainties under “Risk Factors” contained in any supplements to this prospectus supplement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assumptions, risks and uncertainties, the results and events discussed in the forward-looking statements contained in this prospectus supplement, the accompanying prospectus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the sale of the securities in this offering will be approximately $36.8  million, after deducting estimated offering expenses payable by us, including fees payable to our financial advisors. This estimate assumes the sale of $11 million of the securities offered hereby that may be purchased upon notice to us on or before September 15, 2023 and excludes the proceeds, if any, from the exercise of the Class A warrants sold in this offering. If the additional $11 million is not sold as part of this offering, we estimate that the net proceeds from the sale of the securities in this offering will be approximately $25.8 million, after deducting estimated offering expenses payable by us, including fees payable to our financial advisors.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including any proceeds from the exercise of the Class A warrants sold in this offering, for working capital and general corporate purposes. As of the date of this prospectus supplement, we cannot specify with certainty all of the particular uses for the net proceeds to be received upon the completion of this offering. Additionally, our management will have broad discretion in the timing and application of these proceeds. Pending application of the net proceeds as described above, we intend to invest the proceeds of this offering in money market funds, certificates of deposit and corporate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this offering, your ownership interest will be diluted to the extent of the difference between the offering price per share and accompanying Class A warrant and the as adjusted net tangible book value per share after giving effect to this offering (excluding the common shares issuable upon exercise of the Class A warrants being offered in this offering and the payment of the exercise price therefor). We calculate net tangible book value per share by dividing the net tangible book value, which is tangible assets less total liabilities, by the number of outstanding common shares. Dilution represents the difference between the amount per share paid by purchasers of common shares in this offering and the as adjusted net tangible book value per share immediately after giving effect to this offering. Our net tangible book value as of March 31, 2023 was approximately $54.6 million, or $0.19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by us of 18,961,540 common shares and accompanying Class A warrants to purchase 9,480,770 common shares at the offering price of $2.00 per share and accompanying Class A warrant and after deducting estimated offering expenses, including fees payable to our financial advisors, our as adjusted net tangible book value as of March 31, 2023 would have been approximately $91.5 million, or $0.30 per share. This represents an immediate increase in as adjusted net tangible book value of $0.11 per share to our existing shareholders and an immediate dilution of $1.70 per share issued to the investors purchasing securities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per share dilution:</w:t>
      </w:r>
    </w:p>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5885"/>
        <w:gridCol w:w="60"/>
        <w:gridCol w:w="125"/>
        <w:gridCol w:w="380"/>
        <w:gridCol w:w="60"/>
        <w:gridCol w:w="60"/>
        <w:gridCol w:w="125"/>
        <w:gridCol w:w="380"/>
        <w:gridCol w:w="75"/>
      </w:tblGrid>
      <w:tr>
        <w:trPr/>
        <w:tc>
          <w:tcPr>
            <w:tcW w:w="5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price per common share and accompanying Class A warrant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tangible book value per share as of March 31,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net tangible book value per share attributable to this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CCEEFF" w:val="clear"/>
            <w:vAlign w:val="center"/>
          </w:tcPr>
          <w:p>
            <w:pPr>
              <w:pStyle w:val="TableContents"/>
              <w:bidi w:val="0"/>
              <w:spacing w:before="0" w:after="283"/>
              <w:jc w:val="right"/>
              <w:rPr>
                <w:sz w:val="20"/>
              </w:rPr>
            </w:pPr>
            <w:r>
              <w:rPr>
                <w:sz w:val="20"/>
              </w:rPr>
              <w:t>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adjusted net tangible book value per share after this offering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380" w:type="dxa"/>
            <w:tcBorders/>
            <w:shd w:fill="FFFFFF" w:val="clear"/>
            <w:vAlign w:val="center"/>
          </w:tcPr>
          <w:p>
            <w:pPr>
              <w:pStyle w:val="TableContents"/>
              <w:bidi w:val="0"/>
              <w:spacing w:before="0" w:after="283"/>
              <w:jc w:val="right"/>
              <w:rPr>
                <w:sz w:val="20"/>
              </w:rPr>
            </w:pPr>
            <w:r>
              <w:rPr>
                <w:sz w:val="20"/>
              </w:rPr>
              <w:t>0.30</w:t>
            </w:r>
          </w:p>
        </w:tc>
        <w:tc>
          <w:tcPr>
            <w:tcW w:w="75"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per share to investors participating in this offering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380" w:type="dxa"/>
            <w:tcBorders/>
            <w:shd w:fill="CCEEFF" w:val="clear"/>
            <w:vAlign w:val="center"/>
          </w:tcPr>
          <w:p>
            <w:pPr>
              <w:pStyle w:val="TableContents"/>
              <w:bidi w:val="0"/>
              <w:spacing w:before="0" w:after="283"/>
              <w:jc w:val="right"/>
              <w:rPr>
                <w:sz w:val="20"/>
              </w:rPr>
            </w:pPr>
            <w:r>
              <w:rPr>
                <w:sz w:val="20"/>
              </w:rPr>
              <w:t>1.70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table and discussion excludes: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25,140,262 common shares and 14,896,783 special shares, which are automatically convertible into common shares on a one-for-one basis if certain price thresholds are met, issuable upon exercise of share options outstanding as of March 31, 2023 under our stock incentive plans, at a weighted average per option exercise price of $1.11;</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13,123,935 common shares issuable upon the vesting of restricted share units outstanding as of March 31, 2023;</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38,299,195 common shares available as of March 31, 2023 for future grant under the 2021 Incentive Equity Plan;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7,804,516 common shares available as of March 31, 2023 for future issuance under the 2021 Employee Stock Purchase Plan;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136,239,964 common shares reserved for issuance upon conversion of our outstanding special shares, which are automatically convertible into common shares on a one-for-one basis if certain price thresholds are met; and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36,078,620 common shares issuable upon exercise of outstanding warrants as of March 31, 2023 to purchase common shares, at a weighted average per warrant exercise price of $7.81, of which 11,578,620 common shares were issued upon exercise of the warrant held by Allseas Group S.A subsequent to March 31,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options or warrants are exercised, restricted share units vest, new options or restricted share units are issued under our equity incentive plans, or we issue additional common shares or other equity or convertible securities in the future, there may be further dilution to investors participating in this offering. Moreover,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SECURITIES WE ARE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and provisions of our common shares and each other class of our securities that qualifies or limits our common shares are described under the caption “Description of Common Shares and Special Shares” and “Description of Preferred Shares” starting on page 19 of the accompanying prospectus. As of March 31, 2023, we had 280,618,285 common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certain terms and conditions of the Class A warrants and is subject in all respects to the provisions contained in the Class A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Form. </w:t>
      </w:r>
      <w:r>
        <w:rPr>
          <w:rFonts w:ascii="Times New Roman;Times;Serif" w:hAnsi="Times New Roman;Times;Serif"/>
          <w:b w:val="false"/>
          <w:i w:val="false"/>
          <w:caps w:val="false"/>
          <w:smallCaps w:val="false"/>
          <w:sz w:val="20"/>
        </w:rPr>
        <w:t>The Class A warrants will be issued as individual Class A warrant agreements to the investors. You should review a copy of the form of Class A warrant, which will be filed with the SEC by us as an exhibit to a Current Report on Form 8-K in connection with this offering within the time period required by such form, for a complete description of the terms and conditions applicable to the Class A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Exercisability. </w:t>
      </w:r>
      <w:r>
        <w:rPr>
          <w:rFonts w:ascii="Times New Roman;Times;Serif" w:hAnsi="Times New Roman;Times;Serif"/>
          <w:b w:val="false"/>
          <w:i w:val="false"/>
          <w:caps w:val="false"/>
          <w:smallCaps w:val="false"/>
          <w:sz w:val="20"/>
        </w:rPr>
        <w:t>The Class A warrants are exercisable at any time on or after the issuance date. The Class A warrants will be exercisable, at the option of each holder, in whole or in part by delivering to us a duly executed exercise notice and, at any time a registration statement registering the issuance of the common shares underlying the Class A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 If a registration statement registering the issuance of the common shares underlying the Class A warrants under the Securities Act is not then effective or available, the holder may only exercise the Class A warrant through a cashless exercise, in which case the holder would receive upon such exercise the net number of common shares determined according to the formula set forth in the Class A warrant. No fractional shares will be issued in connection with the exercise of a Class A warrant. In lieu of fractional shares, we will round down to the next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Limitation.</w:t>
      </w:r>
      <w:r>
        <w:rPr>
          <w:rFonts w:ascii="Times New Roman;Times;Serif" w:hAnsi="Times New Roman;Times;Serif"/>
          <w:b w:val="false"/>
          <w:i w:val="false"/>
          <w:caps w:val="false"/>
          <w:smallCaps w:val="false"/>
          <w:sz w:val="20"/>
        </w:rPr>
        <w:t xml:space="preserve"> A holder will not have the right to exercise any portion of the Class A warrant if the holder (together with its affiliates) would beneficially own in excess of 4.99% (or 9.99% or 19.99% at the election of a holder prior to the date of issuance) of the number of common shares outstanding immediately after giving effect to the exercise, as such percentage ownership is determined in accordance with the terms of the Class A warrants. However, any holder may increase or decrease such percentage to any other percentage not in excess of 9.99% (or 19.99% with prior written approval of the Company) upon at least 61 days’ prior notice from the holder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Price; Adjustment.</w:t>
      </w:r>
      <w:r>
        <w:rPr>
          <w:rFonts w:ascii="Times New Roman;Times;Serif" w:hAnsi="Times New Roman;Times;Serif"/>
          <w:b w:val="false"/>
          <w:i w:val="false"/>
          <w:caps w:val="false"/>
          <w:smallCaps w:val="false"/>
          <w:sz w:val="20"/>
        </w:rPr>
        <w:t xml:space="preserve"> The initial exercise price per common share purchasable upon exercise of the Class A warrants is $3.00 per common share, subject to adjustment for reverse and forward stock splits, stock dividends, stock combinations and other similar transactions of the common shares. The exercise price is subject to appropriate adjustment in the event of certain stock dividends and distributions, stock splits, stock combinations, reclassifications or similar events affecting our common shares and also upon any distributions of assets, including cash, shares or other property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Transferability/Warrant Agent.</w:t>
      </w:r>
      <w:r>
        <w:rPr>
          <w:rFonts w:ascii="Times New Roman;Times;Serif" w:hAnsi="Times New Roman;Times;Serif"/>
          <w:b w:val="false"/>
          <w:i w:val="false"/>
          <w:caps w:val="false"/>
          <w:smallCaps w:val="false"/>
          <w:sz w:val="20"/>
        </w:rPr>
        <w:t xml:space="preserve"> Subject to applicable laws, the Class A warrants may be offered for sale, sold, transferred or assigned without our consent. There is currently no trading market for the Class A warrants and a trading market is not expected to develop. The Company will initially act as warrant agent for the Class A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Trading Market.</w:t>
      </w:r>
      <w:r>
        <w:rPr>
          <w:rFonts w:ascii="Times New Roman;Times;Serif" w:hAnsi="Times New Roman;Times;Serif"/>
          <w:b w:val="false"/>
          <w:i w:val="false"/>
          <w:caps w:val="false"/>
          <w:smallCaps w:val="false"/>
          <w:sz w:val="20"/>
        </w:rPr>
        <w:t xml:space="preserve"> We do not plan on making the Class A warrants eligible to trade on any national securities exchange or any other nationally recognized trading system or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Fundamental Transactions.</w:t>
      </w:r>
      <w:r>
        <w:rPr>
          <w:rFonts w:ascii="Times New Roman;Times;Serif" w:hAnsi="Times New Roman;Times;Serif"/>
          <w:b w:val="false"/>
          <w:i w:val="false"/>
          <w:caps w:val="false"/>
          <w:smallCaps w:val="false"/>
          <w:sz w:val="20"/>
        </w:rPr>
        <w:t xml:space="preserve"> In the event of a fundamental transaction, as described in the Class A warrants and generally including any reorganization, recapitalization or reclassification of our common shares, the sale, transfer or other disposition of all or substantially all of our properties or assets, our consolidation or merger with or into another person, the holders of the Class A warrants will be entitled to receive upon exercise of the Class A warrants the kind and amount of securities, cash or other property that the holders would have received had they exercised the Class A warrants immediately prior to such fundamental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 Provision</w:t>
      </w:r>
      <w:r>
        <w:rPr>
          <w:rFonts w:ascii="Times New Roman;Times;Serif" w:hAnsi="Times New Roman;Times;Serif"/>
          <w:b w:val="false"/>
          <w:i w:val="false"/>
          <w:caps w:val="false"/>
          <w:smallCaps w:val="false"/>
          <w:sz w:val="20"/>
        </w:rPr>
        <w:t>. Subject to the terms of the Class A warrants, if (i) the volume weighted average price for each of 30 consecutive trading days exceeds $6.50 (subject to adjustment for forward and reverse stock splits, recapitalizations, stock dividends) and (ii) the holder of the Class A warrant is not in possession of any information that constitutes, or might constitute, material non-public information which was provided by the Company, then the Company may, within one trading day of the end of such 30-day period, call for cancellation of all or any portion of the Class A warrants for which a notice of exercise has not yet been delivered for consideration equal to $0.0001 per warrant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Price Adjustment for Certain Share Issuances</w:t>
      </w:r>
      <w:r>
        <w:rPr>
          <w:rFonts w:ascii="Times New Roman;Times;Serif" w:hAnsi="Times New Roman;Times;Serif"/>
          <w:b w:val="false"/>
          <w:i w:val="false"/>
          <w:caps w:val="false"/>
          <w:smallCaps w:val="false"/>
          <w:sz w:val="20"/>
        </w:rPr>
        <w:t>. Subject to customary exceptions set forth in the Class A warrants, from the original issue date of the Class A warrant until December 31, 2024, if the Company or any subsidiary thereof, as applicable, at any time while the Class A warrant is outstanding, shall sell or grant any option to purchase, or sell or grant any right to reprice, or otherwise dispose of or issue (or announce any offer, sale, grant or any option to purchase or other disposition) any common shares or common share equivalents, at an effective price per share less than the lower of (i) $2.00 (subject to adjustment for forward and reverse share splits, recapitalizations, share dividends and the like), and (ii) the exercise then in effect (such lower price, the “Base Share Price” and such issuances collectively, a “Dilutive Issuance”), then simultaneously with the consummation of each Dilutive Issuance the exercise price shall be reduced to equal the Base Share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as a Shareholder.</w:t>
      </w:r>
      <w:r>
        <w:rPr>
          <w:rFonts w:ascii="Times New Roman;Times;Serif" w:hAnsi="Times New Roman;Times;Serif"/>
          <w:b w:val="false"/>
          <w:i w:val="false"/>
          <w:caps w:val="false"/>
          <w:smallCaps w:val="false"/>
          <w:sz w:val="20"/>
        </w:rPr>
        <w:t xml:space="preserve"> Except as otherwise provided in the Class A warrants or by virtue of such holder’s ownership of common shares, the holder of a Class A warrant does not have the rights or privileges of a holder of our common share, including any voting rights, until the holder exercises the Class A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The Class A warrants are governed by New York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securities purchase agreement directly with the investors who have agreed to purchase our securities in this offering. We will only sell securities in this offering to such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$17.9 million of the securities offered hereby is expected to occur on or about August 16, 2023, subject to the satisfaction of customary closing conditions. Two additional closings for $2.5 million and $6.5 million of the securities offered hereby are expected to occur on or before November 30, 2023 and January 31, 2024, respectively, with respect to one of the investors in the offering, subject to the satisfaction of customary closing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investors and their designees may purchase up to an aggregate of $11 million of the common shares and accompanying Class A warrants offered hereby at the negotiated price of $2.00 per common shares and accompanying Class A warrant to purchase 0.5 common shares upon notice to us on or before September 15, 2023 if the closing price of our common shares on the trading day before such investor’s notice is $3.00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paying underwriting discounts or commissions in connection with this offering. We estimate the total offering expenses of this offering that will be payable by us will be approximately $1,073,500, which includes legal, printing, financial advisors and various other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financial advisors are not </w:t>
      </w:r>
      <w:r>
        <w:rPr>
          <w:rFonts w:ascii="Times New Roman;Times;Serif" w:hAnsi="Times New Roman;Times;Serif"/>
          <w:b w:val="false"/>
          <w:i w:val="false"/>
          <w:caps w:val="false"/>
          <w:smallCaps w:val="false"/>
          <w:sz w:val="20"/>
          <w:shd w:fill="FFFFFF" w:val="clear"/>
        </w:rPr>
        <w:t>acting as underwriters, placement agents or finders in connection with this offering, and accordingly, our financial advisors are neither purchasing shares nor offering shares to the public in connection with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and Public Warrants are listed on Nasdaq under the trading symbol “TMC” and “TMCWW”,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Class A warrants, and we do not expect a market to develop. In addition, we do not intend to list the Class A warrants, nor do we expect Class A warrants to be quoted, on the Nasdaq or any other national securities exchange or any other nationally recognized trading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Fasken Martineau DuMoulin LLP, or Fasken, has passed upon the validity of the securities offered by this prospectus supplement and certain other legal matters related to Canadian law. Mintz, Levin, Cohn, Ferris, Glovsky and Popeo, P.C., or Mintz, has passed upon certain other legal matters. Fasken and Mintz own 14,630 and 36,361 common shares,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TMC the metals company Inc. as of December 31, 2022 and 2021 and for the years then ended have been incorporated by reference herein and in the registration statement in reliance on the report of Ernst &amp; Young LLP, independent registered public accounting firm, incorporated by reference herein, and upon the authority of said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(File No. 333-267479), of which this prospectus supplement and the accompanying prospectus form a part, under the Securities Act, to register our common shares offered by this prospectus supplement. This prospectus supplement and the accompanying prospectus do not contain all of the information contained in the registration statement and the exhibits and schedules to the registration statement. For further information about us and the common shares, please refer to the registration statement, including the exhibits to the registration statement. The exhibits to the registration statement provide more details of the matters discussed in this prospectus supplement and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file annual, quarterly and current reports, proxy statements and other information with the SEC. Our SEC filings are available to the public on a website maintained by the SEC located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We also maintain a website at </w:t>
      </w:r>
      <w:r>
        <w:rPr>
          <w:rFonts w:ascii="Times New Roman;Times;Serif" w:hAnsi="Times New Roman;Times;Serif"/>
          <w:b w:val="false"/>
          <w:i/>
          <w:caps w:val="false"/>
          <w:smallCaps w:val="false"/>
          <w:sz w:val="20"/>
        </w:rPr>
        <w:t>www.metals.co</w:t>
      </w:r>
      <w:r>
        <w:rPr>
          <w:rFonts w:ascii="Times New Roman;Times;Serif" w:hAnsi="Times New Roman;Times;Serif"/>
          <w:b w:val="false"/>
          <w:i w:val="false"/>
          <w:caps w:val="false"/>
          <w:smallCaps w:val="false"/>
          <w:sz w:val="20"/>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supplement or the accompanying prospectus. We include our website address in this prospectus supplement and the accompanying prospectus only as an inactive textual reference. Information contained in our website does not constitute a part of this prospectus supplement and the accompanying prospectus or our other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supplement, which means that we can disclose important information to you by referring you to another document filed separately with the SEC. The SEC file number for the documents incorporated by reference in this prospectus supplement is 001-39281. The documents incorporated by reference into this prospectus supplement contain important information that you should read about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incorporated by reference into this document: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hyperlink r:id="rId3">
              <w:r>
                <w:rPr>
                  <w:rStyle w:val="InternetLink"/>
                </w:rPr>
                <w:t>our Annual Report on Form 10-K for the fiscal year ended December 31, 2022 that we filed with the SEC on March 27, 2023;</w:t>
              </w:r>
            </w:hyperlink>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hyperlink r:id="rId4">
              <w:r>
                <w:rPr>
                  <w:rStyle w:val="InternetLink"/>
                </w:rPr>
                <w:t>our Quarterly Report on Form 10-Q for the quarter ended March 31, 2023 that we filed with the SEC on May 11, 2023;</w:t>
              </w:r>
            </w:hyperlink>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the portions of our </w:t>
            </w:r>
            <w:hyperlink r:id="rId5">
              <w:r>
                <w:rPr>
                  <w:rStyle w:val="InternetLink"/>
                </w:rPr>
                <w:t>Definitive Proxy Statement on Schedule 14A that we filed with the SEC on April 20, 2023</w:t>
              </w:r>
            </w:hyperlink>
            <w:r>
              <w:rPr/>
              <w:t xml:space="preserve"> that are deemed filed under applicable SEC rules;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our Current Reports on Form 8-K and amendments thereto that we filed with the SEC on </w:t>
            </w:r>
            <w:hyperlink r:id="rId6">
              <w:r>
                <w:rPr>
                  <w:rStyle w:val="InternetLink"/>
                </w:rPr>
                <w:t>February 16, 2023</w:t>
              </w:r>
            </w:hyperlink>
            <w:r>
              <w:rPr/>
              <w:t xml:space="preserve">, </w:t>
            </w:r>
            <w:hyperlink r:id="rId7">
              <w:r>
                <w:rPr>
                  <w:rStyle w:val="InternetLink"/>
                </w:rPr>
                <w:t>February 17, 2023</w:t>
              </w:r>
            </w:hyperlink>
            <w:r>
              <w:rPr/>
              <w:t xml:space="preserve">, </w:t>
            </w:r>
            <w:hyperlink r:id="rId8">
              <w:r>
                <w:rPr>
                  <w:rStyle w:val="InternetLink"/>
                </w:rPr>
                <w:t>February 22, 2023</w:t>
              </w:r>
            </w:hyperlink>
            <w:r>
              <w:rPr/>
              <w:t xml:space="preserve">, </w:t>
            </w:r>
            <w:hyperlink r:id="rId9">
              <w:r>
                <w:rPr>
                  <w:rStyle w:val="InternetLink"/>
                </w:rPr>
                <w:t>April 20, 2023</w:t>
              </w:r>
            </w:hyperlink>
            <w:r>
              <w:rPr/>
              <w:t xml:space="preserve">, </w:t>
            </w:r>
            <w:hyperlink r:id="rId10">
              <w:r>
                <w:rPr>
                  <w:rStyle w:val="InternetLink"/>
                </w:rPr>
                <w:t>May 30, 2023</w:t>
              </w:r>
            </w:hyperlink>
            <w:r>
              <w:rPr/>
              <w:t xml:space="preserve">, </w:t>
            </w:r>
            <w:hyperlink r:id="rId11">
              <w:r>
                <w:rPr>
                  <w:rStyle w:val="InternetLink"/>
                </w:rPr>
                <w:t>June 8, 2023</w:t>
              </w:r>
            </w:hyperlink>
            <w:r>
              <w:rPr/>
              <w:t xml:space="preserve">, </w:t>
            </w:r>
            <w:hyperlink r:id="rId12">
              <w:r>
                <w:rPr>
                  <w:rStyle w:val="InternetLink"/>
                </w:rPr>
                <w:t>June 30, 2023</w:t>
              </w:r>
            </w:hyperlink>
            <w:r>
              <w:rPr/>
              <w:t xml:space="preserve"> and </w:t>
            </w:r>
            <w:hyperlink r:id="rId13">
              <w:r>
                <w:rPr>
                  <w:rStyle w:val="InternetLink"/>
                </w:rPr>
                <w:t>August 1, 2023</w:t>
              </w:r>
            </w:hyperlink>
            <w:r>
              <w:rPr/>
              <w:t xml:space="preserve"> (other than any portion of such filings that are furnished under applicable SEC rules rather than filed);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the description of our common shares contained in our </w:t>
            </w:r>
            <w:hyperlink r:id="rId14">
              <w:r>
                <w:rPr>
                  <w:rStyle w:val="InternetLink"/>
                </w:rPr>
                <w:t>Registration Statement on Form 8-A filed on September 10, 2021</w:t>
              </w:r>
            </w:hyperlink>
            <w:r>
              <w:rPr/>
              <w:t>, including any amendment or report filed for the purpose of updating such description; and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all reports and other documents subsequently filed by us with the SEC (other than any portion of such filings that are furnished under applicable SEC rules rather than filed) pursuant to Sections 13(a), 13(c), 14 and 15(d) of the Exchange Act after the date of this prospectus supplement and prior to the termination or completion of the offering of securities under this prospectus supplement shall be deemed to be incorporated by reference in this prospectus supplement and to be a part hereof from the date of filing such reports and other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each person, including any beneficial owner, to whom a prospectus is delivered, without charge upon written or oral request, a copy of any or all of the documents that are incorporated by reference into this prospectus supplement or the accompanying prospectus but not delivered with the prospectus, including exhibits which are specifically incorporated by reference into such documents. You should direct any requests for documents to TMC the metals company Inc., 595 Howe Street, 10 Floor, Vancouver, British Columbia V6C 2T5.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Pursuant to Rule 424(b)(3)</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333-267479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40180" cy="5213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440180" cy="52133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MILLION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38,266,180 COMMON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 BY 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securities from time to time in one or more offerings of up to $100 million in aggregate offering price. This prospectus describes the general terms of these securities and the general manner in which these securities will be offered by us.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selling shareholders identified in this prospectus may from time to time sell up to 38,266,180 of our common shares, without par value, or the Common Shares. We will not receive any proceeds from the sale, if any, of Common Shares by the selling shareholders. Unless otherwise set forth in a prospectus supplement, if required, the selling shareholders will pay any underwriting discounts and commissions and transfer taxes incurred by the selling shareholders in disposing of the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and other options to purchase additional securities will be set forth in a prospectus supplement. The price to the public of such securities and the net proceeds that we expect to receive from such sale will also be set forth in a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on the Nasdaq Global Select Market under the symbol “TMC”. On October 4, 2022, the last reported sale price of our Common Shares was $1.02 per share. We also have warrants to purchase Common Shares listed on the Nasdaq Global Select Market under the symbol “TMCWW”. On October 4, 2022, the last reported sale price of these public warrants to purchase Common Shares was $0.148. The applicable prospectus supplement will contain information, where applicable, as to any other listing, if any, on The Nasdaq Stock Market or any securities market or other securities exchange of the securities covered by the prospectus supplement. Prospective purchasers of our securities are urged to obtain current information as to the market prices of our securities, where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“Risk Factors” included in any accompanying prospectus supplement and in the documents incorporated by reference in this prospectus for a discussion of the factors you should carefully consider before deciding to purchase these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October 14,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8930"/>
        <w:gridCol w:w="60"/>
        <w:gridCol w:w="60"/>
        <w:gridCol w:w="230"/>
        <w:gridCol w:w="75"/>
      </w:tblGrid>
      <w:tr>
        <w:trPr/>
        <w:tc>
          <w:tcPr>
            <w:tcW w:w="8930" w:type="dxa"/>
            <w:tcBorders/>
            <w:shd w:fill="CCEEFF" w:val="clear"/>
            <w:vAlign w:val="center"/>
          </w:tcPr>
          <w:p>
            <w:pPr>
              <w:pStyle w:val="TableContents"/>
              <w:bidi w:val="0"/>
              <w:spacing w:before="0" w:after="283"/>
              <w:jc w:val="left"/>
              <w:rPr/>
            </w:pPr>
            <w:hyperlink w:anchor="aa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hyperlink w:anchor="aa_001">
              <w:r>
                <w:rPr>
                  <w:rStyle w:val="InternetLink"/>
                  <w:rFonts w:ascii="Times New Roman;Times;Serif" w:hAnsi="Times New Roman;Times;Serif"/>
                  <w:b w:val="false"/>
                  <w:i w:val="false"/>
                  <w:caps w:val="false"/>
                  <w:smallCaps w:val="false"/>
                  <w:sz w:val="20"/>
                </w:rPr>
                <w:t>1</w:t>
              </w:r>
            </w:hyperlink>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FFFFFF" w:val="clear"/>
            <w:vAlign w:val="center"/>
          </w:tcPr>
          <w:p>
            <w:pPr>
              <w:pStyle w:val="TableContents"/>
              <w:bidi w:val="0"/>
              <w:spacing w:before="0" w:after="283"/>
              <w:jc w:val="left"/>
              <w:rPr/>
            </w:pPr>
            <w:hyperlink w:anchor="aa_002">
              <w:r>
                <w:rPr>
                  <w:rStyle w:val="InternetLink"/>
                  <w:rFonts w:ascii="Times New Roman;Times;Serif" w:hAnsi="Times New Roman;Times;Serif"/>
                  <w:b w:val="false"/>
                  <w:i w:val="false"/>
                  <w:caps w:val="false"/>
                  <w:smallCaps w:val="false"/>
                  <w:sz w:val="20"/>
                </w:rPr>
                <w:t>PROSPECTUS SUMMARY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hyperlink w:anchor="aa_002">
              <w:r>
                <w:rPr>
                  <w:rStyle w:val="InternetLink"/>
                  <w:rFonts w:ascii="Times New Roman;Times;Serif" w:hAnsi="Times New Roman;Times;Serif"/>
                  <w:b w:val="false"/>
                  <w:i w:val="false"/>
                  <w:caps w:val="false"/>
                  <w:smallCaps w:val="false"/>
                  <w:sz w:val="20"/>
                </w:rPr>
                <w:t>2</w:t>
              </w:r>
            </w:hyperlink>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CCEEFF" w:val="clear"/>
            <w:vAlign w:val="center"/>
          </w:tcPr>
          <w:p>
            <w:pPr>
              <w:pStyle w:val="TableContents"/>
              <w:bidi w:val="0"/>
              <w:spacing w:before="0" w:after="283"/>
              <w:jc w:val="left"/>
              <w:rPr/>
            </w:pPr>
            <w:hyperlink w:anchor="na_001">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hyperlink w:anchor="na_001">
              <w:r>
                <w:rPr>
                  <w:rStyle w:val="InternetLink"/>
                  <w:rFonts w:ascii="Times New Roman;Times;Serif" w:hAnsi="Times New Roman;Times;Serif"/>
                  <w:b w:val="false"/>
                  <w:i w:val="false"/>
                  <w:caps w:val="false"/>
                  <w:smallCaps w:val="false"/>
                  <w:sz w:val="20"/>
                </w:rPr>
                <w:t>5</w:t>
              </w:r>
            </w:hyperlink>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FFFFFF" w:val="clear"/>
            <w:vAlign w:val="center"/>
          </w:tcPr>
          <w:p>
            <w:pPr>
              <w:pStyle w:val="TableContents"/>
              <w:bidi w:val="0"/>
              <w:spacing w:before="0" w:after="283"/>
              <w:jc w:val="left"/>
              <w:rPr/>
            </w:pPr>
            <w:hyperlink w:anchor="na_002">
              <w:r>
                <w:rPr>
                  <w:rStyle w:val="InternetLink"/>
                  <w:rFonts w:ascii="Times New Roman;Times;Serif" w:hAnsi="Times New Roman;Times;Serif"/>
                  <w:b w:val="false"/>
                  <w:i w:val="false"/>
                  <w:caps w:val="false"/>
                  <w:smallCaps w:val="false"/>
                  <w:sz w:val="20"/>
                </w:rPr>
                <w:t>SPECIAL NOTE REGARDING FORWARD-LOOKING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hyperlink w:anchor="na_002">
              <w:r>
                <w:rPr>
                  <w:rStyle w:val="InternetLink"/>
                  <w:rFonts w:ascii="Times New Roman;Times;Serif" w:hAnsi="Times New Roman;Times;Serif"/>
                  <w:b w:val="false"/>
                  <w:i w:val="false"/>
                  <w:caps w:val="false"/>
                  <w:smallCaps w:val="false"/>
                  <w:sz w:val="20"/>
                </w:rPr>
                <w:t>6</w:t>
              </w:r>
            </w:hyperlink>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CCEEFF" w:val="clear"/>
            <w:vAlign w:val="center"/>
          </w:tcPr>
          <w:p>
            <w:pPr>
              <w:pStyle w:val="TableContents"/>
              <w:bidi w:val="0"/>
              <w:spacing w:before="0" w:after="283"/>
              <w:jc w:val="left"/>
              <w:rPr/>
            </w:pPr>
            <w:hyperlink w:anchor="na_003">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hyperlink w:anchor="na_003">
              <w:r>
                <w:rPr>
                  <w:rStyle w:val="InternetLink"/>
                  <w:rFonts w:ascii="Times New Roman;Times;Serif" w:hAnsi="Times New Roman;Times;Serif"/>
                  <w:b w:val="false"/>
                  <w:i w:val="false"/>
                  <w:caps w:val="false"/>
                  <w:smallCaps w:val="false"/>
                  <w:sz w:val="20"/>
                </w:rPr>
                <w:t>8</w:t>
              </w:r>
            </w:hyperlink>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FFFFFF" w:val="clear"/>
            <w:vAlign w:val="center"/>
          </w:tcPr>
          <w:p>
            <w:pPr>
              <w:pStyle w:val="TableContents"/>
              <w:bidi w:val="0"/>
              <w:spacing w:before="0" w:after="283"/>
              <w:jc w:val="left"/>
              <w:rPr/>
            </w:pPr>
            <w:hyperlink w:anchor="na_004">
              <w:r>
                <w:rPr>
                  <w:rStyle w:val="InternetLink"/>
                  <w:rFonts w:ascii="Times New Roman;Times;Serif" w:hAnsi="Times New Roman;Times;Serif"/>
                  <w:b w:val="false"/>
                  <w:i w:val="false"/>
                  <w:caps w:val="false"/>
                  <w:smallCaps w:val="false"/>
                  <w:sz w:val="20"/>
                </w:rPr>
                <w:t>SELLING SHAREHOLDERS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hyperlink w:anchor="na_004">
              <w:r>
                <w:rPr>
                  <w:rStyle w:val="InternetLink"/>
                  <w:rFonts w:ascii="Times New Roman;Times;Serif" w:hAnsi="Times New Roman;Times;Serif"/>
                  <w:b w:val="false"/>
                  <w:i w:val="false"/>
                  <w:caps w:val="false"/>
                  <w:smallCaps w:val="false"/>
                  <w:sz w:val="20"/>
                </w:rPr>
                <w:t>9</w:t>
              </w:r>
            </w:hyperlink>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CCEEFF" w:val="clear"/>
            <w:vAlign w:val="center"/>
          </w:tcPr>
          <w:p>
            <w:pPr>
              <w:pStyle w:val="TableContents"/>
              <w:bidi w:val="0"/>
              <w:spacing w:before="0" w:after="283"/>
              <w:jc w:val="left"/>
              <w:rPr/>
            </w:pPr>
            <w:hyperlink w:anchor="na_005">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hyperlink w:anchor="na_005">
              <w:r>
                <w:rPr>
                  <w:rStyle w:val="InternetLink"/>
                  <w:rFonts w:ascii="Times New Roman;Times;Serif" w:hAnsi="Times New Roman;Times;Serif"/>
                  <w:b w:val="false"/>
                  <w:i w:val="false"/>
                  <w:caps w:val="false"/>
                  <w:smallCaps w:val="false"/>
                  <w:sz w:val="20"/>
                </w:rPr>
                <w:t>12</w:t>
              </w:r>
            </w:hyperlink>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FFFFFF" w:val="clear"/>
            <w:vAlign w:val="center"/>
          </w:tcPr>
          <w:p>
            <w:pPr>
              <w:pStyle w:val="TableContents"/>
              <w:bidi w:val="0"/>
              <w:spacing w:before="0" w:after="283"/>
              <w:jc w:val="left"/>
              <w:rPr/>
            </w:pPr>
            <w:hyperlink w:anchor="na_006">
              <w:r>
                <w:rPr>
                  <w:rStyle w:val="InternetLink"/>
                  <w:rFonts w:ascii="Times New Roman;Times;Serif" w:hAnsi="Times New Roman;Times;Serif"/>
                  <w:b w:val="false"/>
                  <w:i w:val="false"/>
                  <w:caps w:val="false"/>
                  <w:smallCaps w:val="false"/>
                  <w:sz w:val="20"/>
                </w:rPr>
                <w:t>DESCRIPTION OF COMMON SHARES AND SPECIAL SHARES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hyperlink w:anchor="na_006">
              <w:r>
                <w:rPr>
                  <w:rStyle w:val="InternetLink"/>
                  <w:rFonts w:ascii="Times New Roman;Times;Serif" w:hAnsi="Times New Roman;Times;Serif"/>
                  <w:b w:val="false"/>
                  <w:i w:val="false"/>
                  <w:caps w:val="false"/>
                  <w:smallCaps w:val="false"/>
                  <w:sz w:val="20"/>
                </w:rPr>
                <w:t>16</w:t>
              </w:r>
            </w:hyperlink>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CCEEFF" w:val="clear"/>
            <w:vAlign w:val="center"/>
          </w:tcPr>
          <w:p>
            <w:pPr>
              <w:pStyle w:val="TableContents"/>
              <w:bidi w:val="0"/>
              <w:spacing w:before="0" w:after="283"/>
              <w:jc w:val="left"/>
              <w:rPr/>
            </w:pPr>
            <w:hyperlink w:anchor="na_007">
              <w:r>
                <w:rPr>
                  <w:rStyle w:val="InternetLink"/>
                  <w:rFonts w:ascii="Times New Roman;Times;Serif" w:hAnsi="Times New Roman;Times;Serif"/>
                  <w:b w:val="false"/>
                  <w:i w:val="false"/>
                  <w:caps w:val="false"/>
                  <w:smallCaps w:val="false"/>
                  <w:sz w:val="20"/>
                </w:rPr>
                <w:t>DESCRIPTION OF PREFERRED SHARES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hyperlink w:anchor="na_007">
              <w:r>
                <w:rPr>
                  <w:rStyle w:val="InternetLink"/>
                  <w:rFonts w:ascii="Times New Roman;Times;Serif" w:hAnsi="Times New Roman;Times;Serif"/>
                  <w:b w:val="false"/>
                  <w:i w:val="false"/>
                  <w:caps w:val="false"/>
                  <w:smallCaps w:val="false"/>
                  <w:sz w:val="20"/>
                </w:rPr>
                <w:t>19</w:t>
              </w:r>
            </w:hyperlink>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FFFFFF" w:val="clear"/>
            <w:vAlign w:val="center"/>
          </w:tcPr>
          <w:p>
            <w:pPr>
              <w:pStyle w:val="TableContents"/>
              <w:bidi w:val="0"/>
              <w:spacing w:before="0" w:after="283"/>
              <w:jc w:val="left"/>
              <w:rPr/>
            </w:pPr>
            <w:hyperlink w:anchor="na_008">
              <w:r>
                <w:rPr>
                  <w:rStyle w:val="InternetLink"/>
                  <w:rFonts w:ascii="Times New Roman;Times;Serif" w:hAnsi="Times New Roman;Times;Serif"/>
                  <w:b w:val="false"/>
                  <w:i w:val="false"/>
                  <w:caps w:val="false"/>
                  <w:smallCaps w:val="false"/>
                  <w:sz w:val="20"/>
                </w:rPr>
                <w:t>DESCRIPTION OF DEBT SECURITIES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hyperlink w:anchor="na_008">
              <w:r>
                <w:rPr>
                  <w:rStyle w:val="InternetLink"/>
                  <w:rFonts w:ascii="Times New Roman;Times;Serif" w:hAnsi="Times New Roman;Times;Serif"/>
                  <w:b w:val="false"/>
                  <w:i w:val="false"/>
                  <w:caps w:val="false"/>
                  <w:smallCaps w:val="false"/>
                  <w:sz w:val="20"/>
                </w:rPr>
                <w:t>20</w:t>
              </w:r>
            </w:hyperlink>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CCEEFF" w:val="clear"/>
            <w:vAlign w:val="center"/>
          </w:tcPr>
          <w:p>
            <w:pPr>
              <w:pStyle w:val="TableContents"/>
              <w:bidi w:val="0"/>
              <w:spacing w:before="0" w:after="283"/>
              <w:jc w:val="left"/>
              <w:rPr/>
            </w:pPr>
            <w:hyperlink w:anchor="na_009">
              <w:r>
                <w:rPr>
                  <w:rStyle w:val="InternetLink"/>
                  <w:rFonts w:ascii="Times New Roman;Times;Serif" w:hAnsi="Times New Roman;Times;Serif"/>
                  <w:b w:val="false"/>
                  <w:i w:val="false"/>
                  <w:caps w:val="false"/>
                  <w:smallCaps w:val="false"/>
                  <w:sz w:val="20"/>
                </w:rPr>
                <w:t>DESCRIPTION OF WARRANTS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hyperlink w:anchor="na_009">
              <w:r>
                <w:rPr>
                  <w:rStyle w:val="InternetLink"/>
                  <w:rFonts w:ascii="Times New Roman;Times;Serif" w:hAnsi="Times New Roman;Times;Serif"/>
                  <w:b w:val="false"/>
                  <w:i w:val="false"/>
                  <w:caps w:val="false"/>
                  <w:smallCaps w:val="false"/>
                  <w:sz w:val="20"/>
                </w:rPr>
                <w:t>26</w:t>
              </w:r>
            </w:hyperlink>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FFFFFF" w:val="clear"/>
            <w:vAlign w:val="center"/>
          </w:tcPr>
          <w:p>
            <w:pPr>
              <w:pStyle w:val="TableContents"/>
              <w:bidi w:val="0"/>
              <w:spacing w:before="0" w:after="283"/>
              <w:jc w:val="left"/>
              <w:rPr/>
            </w:pPr>
            <w:hyperlink w:anchor="na_010">
              <w:r>
                <w:rPr>
                  <w:rStyle w:val="InternetLink"/>
                  <w:rFonts w:ascii="Times New Roman;Times;Serif" w:hAnsi="Times New Roman;Times;Serif"/>
                  <w:b w:val="false"/>
                  <w:i w:val="false"/>
                  <w:caps w:val="false"/>
                  <w:smallCaps w:val="false"/>
                  <w:sz w:val="20"/>
                </w:rPr>
                <w:t>DESCRIPTION OF UNITS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hyperlink w:anchor="na_010">
              <w:r>
                <w:rPr>
                  <w:rStyle w:val="InternetLink"/>
                  <w:rFonts w:ascii="Times New Roman;Times;Serif" w:hAnsi="Times New Roman;Times;Serif"/>
                  <w:b w:val="false"/>
                  <w:i w:val="false"/>
                  <w:caps w:val="false"/>
                  <w:smallCaps w:val="false"/>
                  <w:sz w:val="20"/>
                </w:rPr>
                <w:t>31</w:t>
              </w:r>
            </w:hyperlink>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CCEEFF" w:val="clear"/>
            <w:vAlign w:val="center"/>
          </w:tcPr>
          <w:p>
            <w:pPr>
              <w:pStyle w:val="TableContents"/>
              <w:bidi w:val="0"/>
              <w:spacing w:before="0" w:after="283"/>
              <w:jc w:val="left"/>
              <w:rPr/>
            </w:pPr>
            <w:hyperlink w:anchor="na_011">
              <w:r>
                <w:rPr>
                  <w:rStyle w:val="InternetLink"/>
                  <w:rFonts w:ascii="Times New Roman;Times;Serif" w:hAnsi="Times New Roman;Times;Serif"/>
                  <w:b w:val="false"/>
                  <w:i w:val="false"/>
                  <w:caps w:val="false"/>
                  <w:smallCaps w:val="false"/>
                  <w:sz w:val="20"/>
                </w:rPr>
                <w:t>CERTAIN IMPORTANT PROVISIONS OF THE NOTICE OF ARTICLES AND ARTICLES AND THE BCBCA</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hyperlink w:anchor="na_011">
              <w:r>
                <w:rPr>
                  <w:rStyle w:val="InternetLink"/>
                  <w:rFonts w:ascii="Times New Roman;Times;Serif" w:hAnsi="Times New Roman;Times;Serif"/>
                  <w:b w:val="false"/>
                  <w:i w:val="false"/>
                  <w:caps w:val="false"/>
                  <w:smallCaps w:val="false"/>
                  <w:sz w:val="20"/>
                </w:rPr>
                <w:t>32</w:t>
              </w:r>
            </w:hyperlink>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FFFFFF" w:val="clear"/>
            <w:vAlign w:val="center"/>
          </w:tcPr>
          <w:p>
            <w:pPr>
              <w:pStyle w:val="TableContents"/>
              <w:bidi w:val="0"/>
              <w:spacing w:before="0" w:after="283"/>
              <w:jc w:val="left"/>
              <w:rPr/>
            </w:pPr>
            <w:hyperlink w:anchor="na_012">
              <w:r>
                <w:rPr>
                  <w:rStyle w:val="InternetLink"/>
                  <w:rFonts w:ascii="Times New Roman;Times;Serif" w:hAnsi="Times New Roman;Times;Serif"/>
                  <w:b w:val="false"/>
                  <w:i w:val="false"/>
                  <w:caps w:val="false"/>
                  <w:smallCaps w:val="false"/>
                  <w:sz w:val="20"/>
                </w:rPr>
                <w:t>OWNERSHIP AND EXCHANGE CONTROLS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hyperlink w:anchor="na_012">
              <w:r>
                <w:rPr>
                  <w:rStyle w:val="InternetLink"/>
                  <w:rFonts w:ascii="Times New Roman;Times;Serif" w:hAnsi="Times New Roman;Times;Serif"/>
                  <w:b w:val="false"/>
                  <w:i w:val="false"/>
                  <w:caps w:val="false"/>
                  <w:smallCaps w:val="false"/>
                  <w:sz w:val="20"/>
                </w:rPr>
                <w:t>35</w:t>
              </w:r>
            </w:hyperlink>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CCEEFF" w:val="clear"/>
            <w:vAlign w:val="center"/>
          </w:tcPr>
          <w:p>
            <w:pPr>
              <w:pStyle w:val="TableContents"/>
              <w:bidi w:val="0"/>
              <w:spacing w:before="0" w:after="283"/>
              <w:jc w:val="left"/>
              <w:rPr/>
            </w:pPr>
            <w:hyperlink w:anchor="na_013">
              <w:r>
                <w:rPr>
                  <w:rStyle w:val="InternetLink"/>
                  <w:rFonts w:ascii="Times New Roman;Times;Serif" w:hAnsi="Times New Roman;Times;Serif"/>
                  <w:b w:val="false"/>
                  <w:i w:val="false"/>
                  <w:caps w:val="false"/>
                  <w:smallCaps w:val="false"/>
                  <w:sz w:val="20"/>
                </w:rPr>
                <w:t>MATERIAL U.S. FEDERAL INCOME TAX CONSIDERATIONS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hyperlink w:anchor="na_013">
              <w:r>
                <w:rPr>
                  <w:rStyle w:val="InternetLink"/>
                  <w:rFonts w:ascii="Times New Roman;Times;Serif" w:hAnsi="Times New Roman;Times;Serif"/>
                  <w:b w:val="false"/>
                  <w:i w:val="false"/>
                  <w:caps w:val="false"/>
                  <w:smallCaps w:val="false"/>
                  <w:sz w:val="20"/>
                </w:rPr>
                <w:t>37</w:t>
              </w:r>
            </w:hyperlink>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FFFFFF" w:val="clear"/>
            <w:vAlign w:val="center"/>
          </w:tcPr>
          <w:p>
            <w:pPr>
              <w:pStyle w:val="TableContents"/>
              <w:bidi w:val="0"/>
              <w:spacing w:before="0" w:after="283"/>
              <w:jc w:val="left"/>
              <w:rPr/>
            </w:pPr>
            <w:hyperlink w:anchor="na_014">
              <w:r>
                <w:rPr>
                  <w:rStyle w:val="InternetLink"/>
                  <w:rFonts w:ascii="Times New Roman;Times;Serif" w:hAnsi="Times New Roman;Times;Serif"/>
                  <w:b w:val="false"/>
                  <w:i w:val="false"/>
                  <w:caps w:val="false"/>
                  <w:smallCaps w:val="false"/>
                  <w:sz w:val="20"/>
                </w:rPr>
                <w:t>MATERIAL CANADIAN FEDERAL INCOME TAX CONSIDERATIONS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hyperlink w:anchor="na_014">
              <w:r>
                <w:rPr>
                  <w:rStyle w:val="InternetLink"/>
                  <w:rFonts w:ascii="Times New Roman;Times;Serif" w:hAnsi="Times New Roman;Times;Serif"/>
                  <w:b w:val="false"/>
                  <w:i w:val="false"/>
                  <w:caps w:val="false"/>
                  <w:smallCaps w:val="false"/>
                  <w:sz w:val="20"/>
                </w:rPr>
                <w:t>43</w:t>
              </w:r>
            </w:hyperlink>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CCEEFF" w:val="clear"/>
            <w:vAlign w:val="center"/>
          </w:tcPr>
          <w:p>
            <w:pPr>
              <w:pStyle w:val="TableContents"/>
              <w:bidi w:val="0"/>
              <w:spacing w:before="0" w:after="283"/>
              <w:jc w:val="left"/>
              <w:rPr/>
            </w:pPr>
            <w:hyperlink w:anchor="na_015">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hyperlink w:anchor="na_015">
              <w:r>
                <w:rPr>
                  <w:rStyle w:val="InternetLink"/>
                  <w:rFonts w:ascii="Times New Roman;Times;Serif" w:hAnsi="Times New Roman;Times;Serif"/>
                  <w:b w:val="false"/>
                  <w:i w:val="false"/>
                  <w:caps w:val="false"/>
                  <w:smallCaps w:val="false"/>
                  <w:sz w:val="20"/>
                </w:rPr>
                <w:t>45</w:t>
              </w:r>
            </w:hyperlink>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FFFFFF" w:val="clear"/>
            <w:vAlign w:val="center"/>
          </w:tcPr>
          <w:p>
            <w:pPr>
              <w:pStyle w:val="TableContents"/>
              <w:bidi w:val="0"/>
              <w:spacing w:before="0" w:after="283"/>
              <w:jc w:val="left"/>
              <w:rPr/>
            </w:pPr>
            <w:hyperlink w:anchor="na_016">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hyperlink w:anchor="na_016">
              <w:r>
                <w:rPr>
                  <w:rStyle w:val="InternetLink"/>
                  <w:rFonts w:ascii="Times New Roman;Times;Serif" w:hAnsi="Times New Roman;Times;Serif"/>
                  <w:b w:val="false"/>
                  <w:i w:val="false"/>
                  <w:caps w:val="false"/>
                  <w:smallCaps w:val="false"/>
                  <w:sz w:val="20"/>
                </w:rPr>
                <w:t>45</w:t>
              </w:r>
            </w:hyperlink>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CCEEFF" w:val="clear"/>
            <w:vAlign w:val="center"/>
          </w:tcPr>
          <w:p>
            <w:pPr>
              <w:pStyle w:val="TableContents"/>
              <w:bidi w:val="0"/>
              <w:spacing w:before="0" w:after="283"/>
              <w:jc w:val="left"/>
              <w:rPr/>
            </w:pPr>
            <w:hyperlink w:anchor="na_017">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hyperlink w:anchor="na_017">
              <w:r>
                <w:rPr>
                  <w:rStyle w:val="InternetLink"/>
                  <w:rFonts w:ascii="Times New Roman;Times;Serif" w:hAnsi="Times New Roman;Times;Serif"/>
                  <w:b w:val="false"/>
                  <w:i w:val="false"/>
                  <w:caps w:val="false"/>
                  <w:smallCaps w:val="false"/>
                  <w:sz w:val="20"/>
                </w:rPr>
                <w:t>45</w:t>
              </w:r>
            </w:hyperlink>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30" w:type="dxa"/>
            <w:tcBorders/>
            <w:shd w:fill="FFFFFF" w:val="clear"/>
            <w:vAlign w:val="center"/>
          </w:tcPr>
          <w:p>
            <w:pPr>
              <w:pStyle w:val="TableContents"/>
              <w:bidi w:val="0"/>
              <w:spacing w:before="0" w:after="283"/>
              <w:jc w:val="left"/>
              <w:rPr/>
            </w:pPr>
            <w:hyperlink w:anchor="na_018">
              <w:r>
                <w:rPr>
                  <w:rStyle w:val="InternetLink"/>
                  <w:rFonts w:ascii="Times New Roman;Times;Serif" w:hAnsi="Times New Roman;Times;Serif"/>
                  <w:b w:val="false"/>
                  <w:i w:val="false"/>
                  <w:caps w:val="false"/>
                  <w:smallCaps w:val="false"/>
                  <w:sz w:val="20"/>
                </w:rPr>
                <w:t>INCORPORATION OF DOCUMENTS BY REFERENCE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hyperlink w:anchor="na_018">
              <w:r>
                <w:rPr>
                  <w:rStyle w:val="InternetLink"/>
                  <w:rFonts w:ascii="Times New Roman;Times;Serif" w:hAnsi="Times New Roman;Times;Serif"/>
                  <w:b w:val="false"/>
                  <w:i w:val="false"/>
                  <w:caps w:val="false"/>
                  <w:smallCaps w:val="false"/>
                  <w:sz w:val="20"/>
                </w:rPr>
                <w:t>45</w:t>
              </w:r>
            </w:hyperlink>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15" w:name="aa_001"/>
      <w:bookmarkEnd w:id="15"/>
      <w:r>
        <w:rPr>
          <w:rFonts w:ascii="Times New Roman;Times;Serif" w:hAnsi="Times New Roman;Times;Serif"/>
          <w:b/>
          <w:i w:val="false"/>
          <w:caps w:val="false"/>
          <w:smallCaps w:val="false"/>
          <w:sz w:val="20"/>
          <w:bdr w:val="single" w:sz="8" w:space="1" w:color="000000"/>
        </w:rPr>
        <w:t>ABOUT THIS 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This prospectus is part of a registration statement on Form S-3 that we filed with the Securities and Exchange Commission, or the SEC, using a shelf registration process. Using this process, we may, from time to time, sell any securities described in this prospectus in one or more offerings up to a total dollar amount of $100,000,000. This prospectus provides a general description of the securities we may offer. Each time we sell any securities under this prospectus, we will provide a prospectus supplement that will contain more specific information about the terms of the securities being offered and the specific manner in which they will be offered.</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Information about the selling shareholders may change over time. When the selling shareholders sell our Common Shares under this prospectus, we will, if necessary and required by law, provide a prospectus supplement that will contain specific information about the terms of that offering.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This prospectus may not be used to consummate sales of our securities by us, unless it is accompanied by a prospectus supplement. To the extent there are inconsistencies between any prospectus supplement, this prospectus and any documents incorporated by reference, the document with the most recent date will control.</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Unless the context otherwise requires, “the Company,” “we,” “us,” “our” and similar terms refer to TMC the metals company Inc. and our subsidiaries.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For investors outside the United States</w:t>
      </w:r>
      <w:r>
        <w:rPr>
          <w:rFonts w:ascii="Times New Roman;Times;Serif" w:hAnsi="Times New Roman;Times;Serif"/>
          <w:b w:val="false"/>
          <w:i w:val="false"/>
          <w:caps w:val="false"/>
          <w:smallCaps w:val="false"/>
          <w:sz w:val="20"/>
          <w:bdr w:val="single" w:sz="8" w:space="1" w:color="000000"/>
        </w:rPr>
        <w:t>: We have not done anything that would permit these offerings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16" w:name="aa_002"/>
      <w:bookmarkEnd w:id="16"/>
      <w:r>
        <w:rPr>
          <w:rFonts w:ascii="Times New Roman;Times;Serif" w:hAnsi="Times New Roman;Times;Serif"/>
          <w:b/>
          <w:i w:val="false"/>
          <w:caps w:val="false"/>
          <w:smallCaps w:val="false"/>
          <w:sz w:val="20"/>
          <w:bdr w:val="single" w:sz="8" w:space="1" w:color="000000"/>
        </w:rPr>
        <w:t>PROSPECTUS SUMMARY</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quarterly and other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About TMC the metals company Inc.</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deep-sea minerals exploration company focused on the collection and processing of polymetallic nodules found on the seafloor in international waters of the Clarion Clipperton Zone, or the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(nickel-copper-cobalt matte and/or nickel and cobalt sulfates) for electric vehicles, or EVs, and renewable energy storage markets, (ii) nickel-copper-cobalt matte and/or copper cathode for EV wiring, clean energy transmission and other applications and (iii) manganese silicate for manganese alloy production required for steel production. Our mission is to build a carefully managed shared stock of metal, which we refer to as a metals common, that can be used, recovered and reused for generations to come. Significant quantities of newly mined metal are required because existing metal stocks are insufficient to meet rapidly rising demand.</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Exploration and exploitation of seabed minerals in international waters is regulated by the International Seabed Authority, or the ISA, an intergovernmental organization established pursuant to the 1994 Agreement Relating to the Implementation of the United Nations Convention on the Law of the Sea, or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or NORI, and Tonga Offshore Mining Limited, or TOML, sponsored by the Republic of Nauru and the Kingdom of Tonga, respectively, and exclusive commercial rights through our subsidiary, DeepGreen Engineering Pte. Ltd.’s, arrangement with Marawa Research and Exploration Limited, a company owned and sponsored by the Republic of Kiribati.</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key strategic alliances with (i) Allseas Group S.A.,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or Glencore, which holds offtake rights on 50% of the NORI nickel and copper production. In addition, we have worked with an engineering firm Hatch Ltd. and consultants Kingston Process Metallurgy Inc. to develop a near-zero solid waste flowsheet. The pyrometallurgical stages of the flowsheet were tested as part of our pilot plant program at FLSmidth &amp; Co. A/S’s and XPS Solutions’ (a Glencore subsidiary) facilities and bench-scale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Pvt, LTD., or Epsilon Carbon, in which Epsilon Carbon expressed its intent to conduct pre-feasibility work to potentially finance, engineer, permit, construct and operate a commercial polymetallic nodule processing plant in India.</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environmental, social and governance (ESG) impacts of offshore nodule collection, and (iv) developing onshore technology to process collected polymetallic nodules into a manganese silicate product, and an intermediate nickel-copper-cobalt matte product and/or end-products like nickel and cobalt sulfates, and copper cathode. We will need additional funding to reach our expected commercial production in 2024.</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Cautionary Statements Regarding the NORI Initial Assessment and TOML Mineral Resource Statement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estimated the size and quality of our resource in the NORI and TOML contracted areas in our SEC Regulation S-K (subpart 1300), referred to herein as the SEC Mining Rules, compliant Technical Report Summary - Initial Assessment, of the NORI Property, Clarion-Clipperton Zone, Pacific Ocean dated March 17, 2021, or the NORI Initial Assessment, and Technical Report Summary - TOML Mineral Resource, Clarion-Clipperton Zone, Pacific Ocean dated March 26, 2021, or the TOML Mineral Resource Statement, respectively, prepared by AMC Consultants Ltd., or AMC, each of which is filed as an exhibit to the registration statement to which this prospectus forms a part. We plan to continue to refine our resource estimate for the NORI and TOML areas and better resolve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NORI Initial Assessment and TOML Mineral Resource Statement do not include the conversion of mineral resources to mineral reserves.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used in this prospectus or in the applicable report summary, the terms “mineral resource,” “measured mineral resource,” “indicated mineral resource” and “inferred mineral resource”, as applicable, are defined and used in accordance with the SEC Mining Rules.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includes information that has been prepared in accordance with the requirements of the SEC Mining Rules.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Likewise, you are cautioned not to assume that all or any part of measured or indicated mineral resources will ever be upgraded to mineral reserves.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Additional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For additional information related to our business and operations, please refer to the reports incorporated herein by reference, as described under the caption “Incorporation of Documents by Reference” on page 45 of this 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Our Corporate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The Company was originally known as Sustainable Opportunities Acquisition Corp., or SOAC. On September 9, 2021, we consummated a business combination, or the Business Combination, pursuant to the terms of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or DeepGreen. In connection with the Business Combination, SOAC changed its name to “TMC the metals company Inc.” Our principal executive offices are located at 595 Howe Street, 10th Floor, Vancouver, British Columbia V6C 2T5, and our telephone number is (574) 252-9333. Our website address is </w:t>
      </w:r>
      <w:r>
        <w:rPr>
          <w:rFonts w:ascii="Times New Roman;Times;Serif" w:hAnsi="Times New Roman;Times;Serif"/>
          <w:b w:val="false"/>
          <w:i/>
          <w:caps w:val="false"/>
          <w:smallCaps w:val="false"/>
          <w:sz w:val="20"/>
          <w:bdr w:val="single" w:sz="8" w:space="1" w:color="000000"/>
        </w:rPr>
        <w:t>www.metals.co</w:t>
      </w:r>
      <w:r>
        <w:rPr>
          <w:rFonts w:ascii="Times New Roman;Times;Serif" w:hAnsi="Times New Roman;Times;Serif"/>
          <w:b w:val="false"/>
          <w:i w:val="false"/>
          <w:caps w:val="false"/>
          <w:smallCaps w:val="false"/>
          <w:sz w:val="20"/>
          <w:bdr w:val="single" w:sz="8" w:space="1" w:color="000000"/>
        </w:rPr>
        <w:t>. The information contained on, or that can be accessed through, our website is not and shall not be deemed to be part of this prospectus. We have included our website address in this prospectus solely as an inactive textual reference. Investors should not rely on any such information in deciding whether to purchase our Common Shares or other securities.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All service marks, trademarks and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Offerings Under This Prospectus by 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Under this prospectus, we may offer our securities from time to time at prices and on terms to be determined by market conditions at the time of the offering. This prospectus provides you with a general description of the securities we may offer. Each time we offer securities under this prospectus, we will provide a prospectus supplement that will describe the specific amounts, prices and other important terms of the securities.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2"/>
        <w:gridCol w:w="306"/>
        <w:gridCol w:w="9807"/>
      </w:tblGrid>
      <w:tr>
        <w:trPr/>
        <w:tc>
          <w:tcPr>
            <w:tcW w:w="9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rFonts w:ascii="Symbol" w:hAnsi="Symbol"/>
              </w:rPr>
            </w:pPr>
            <w:r>
              <w:rPr>
                <w:rFonts w:ascii="Symbol" w:hAnsi="Symbol"/>
              </w:rPr>
              <w:t>·</w:t>
            </w:r>
          </w:p>
        </w:tc>
        <w:tc>
          <w:tcPr>
            <w:tcW w:w="9807" w:type="dxa"/>
            <w:tcBorders/>
            <w:vAlign w:val="center"/>
          </w:tcPr>
          <w:p>
            <w:pPr>
              <w:pStyle w:val="TableContents"/>
              <w:bidi w:val="0"/>
              <w:spacing w:before="0" w:after="283"/>
              <w:jc w:val="left"/>
              <w:rPr/>
            </w:pPr>
            <w:r>
              <w:rPr/>
              <w:t>the names of those agents or underwriters;</w:t>
            </w:r>
          </w:p>
        </w:tc>
      </w:tr>
    </w:tbl>
    <w:tbl>
      <w:tblPr>
        <w:tblW w:w="5000" w:type="pct"/>
        <w:jc w:val="left"/>
        <w:tblInd w:w="0" w:type="dxa"/>
        <w:tblLayout w:type="fixed"/>
        <w:tblCellMar>
          <w:top w:w="0" w:type="dxa"/>
          <w:left w:w="0" w:type="dxa"/>
          <w:bottom w:w="0" w:type="dxa"/>
          <w:right w:w="0" w:type="dxa"/>
        </w:tblCellMar>
      </w:tblPr>
      <w:tblGrid>
        <w:gridCol w:w="63"/>
        <w:gridCol w:w="209"/>
        <w:gridCol w:w="9933"/>
      </w:tblGrid>
      <w:tr>
        <w:trPr/>
        <w:tc>
          <w:tcPr>
            <w:tcW w:w="6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Symbol" w:hAnsi="Symbol"/>
              </w:rPr>
            </w:pPr>
            <w:r>
              <w:rPr>
                <w:rFonts w:ascii="Symbol" w:hAnsi="Symbol"/>
              </w:rPr>
              <w:t>·</w:t>
            </w:r>
          </w:p>
        </w:tc>
        <w:tc>
          <w:tcPr>
            <w:tcW w:w="9933" w:type="dxa"/>
            <w:tcBorders/>
            <w:vAlign w:val="center"/>
          </w:tcPr>
          <w:p>
            <w:pPr>
              <w:pStyle w:val="TableContents"/>
              <w:bidi w:val="0"/>
              <w:spacing w:before="0" w:after="283"/>
              <w:jc w:val="left"/>
              <w:rPr/>
            </w:pPr>
            <w:r>
              <w:rPr/>
              <w:t>applicable fees, discounts and commissions to be paid to them;</w:t>
            </w:r>
          </w:p>
        </w:tc>
      </w:tr>
    </w:tbl>
    <w:tbl>
      <w:tblPr>
        <w:tblW w:w="5000" w:type="pct"/>
        <w:jc w:val="left"/>
        <w:tblInd w:w="0" w:type="dxa"/>
        <w:tblLayout w:type="fixed"/>
        <w:tblCellMar>
          <w:top w:w="0" w:type="dxa"/>
          <w:left w:w="0" w:type="dxa"/>
          <w:bottom w:w="0" w:type="dxa"/>
          <w:right w:w="0" w:type="dxa"/>
        </w:tblCellMar>
      </w:tblPr>
      <w:tblGrid>
        <w:gridCol w:w="42"/>
        <w:gridCol w:w="141"/>
        <w:gridCol w:w="10022"/>
      </w:tblGrid>
      <w:tr>
        <w:trP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Symbol" w:hAnsi="Symbol"/>
              </w:rPr>
            </w:pPr>
            <w:r>
              <w:rPr>
                <w:rFonts w:ascii="Symbol" w:hAnsi="Symbol"/>
              </w:rPr>
              <w:t>·</w:t>
            </w:r>
          </w:p>
        </w:tc>
        <w:tc>
          <w:tcPr>
            <w:tcW w:w="10022" w:type="dxa"/>
            <w:tcBorders/>
            <w:vAlign w:val="center"/>
          </w:tcPr>
          <w:p>
            <w:pPr>
              <w:pStyle w:val="TableContents"/>
              <w:bidi w:val="0"/>
              <w:spacing w:before="0" w:after="283"/>
              <w:jc w:val="left"/>
              <w:rPr/>
            </w:pPr>
            <w:r>
              <w:rPr/>
              <w:t>details regarding over-allotment and other options to purchase additional securities, if any; and</w:t>
            </w:r>
          </w:p>
        </w:tc>
      </w:tr>
    </w:tbl>
    <w:tbl>
      <w:tblPr>
        <w:tblW w:w="5000" w:type="pct"/>
        <w:jc w:val="left"/>
        <w:tblInd w:w="0" w:type="dxa"/>
        <w:tblLayout w:type="fixed"/>
        <w:tblCellMar>
          <w:top w:w="0" w:type="dxa"/>
          <w:left w:w="0" w:type="dxa"/>
          <w:bottom w:w="0" w:type="dxa"/>
          <w:right w:w="0" w:type="dxa"/>
        </w:tblCellMar>
      </w:tblPr>
      <w:tblGrid>
        <w:gridCol w:w="168"/>
        <w:gridCol w:w="555"/>
        <w:gridCol w:w="9482"/>
      </w:tblGrid>
      <w:tr>
        <w:trPr/>
        <w:tc>
          <w:tcPr>
            <w:tcW w:w="16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rFonts w:ascii="Symbol" w:hAnsi="Symbol"/>
              </w:rPr>
            </w:pPr>
            <w:r>
              <w:rPr>
                <w:rFonts w:ascii="Symbol" w:hAnsi="Symbol"/>
              </w:rPr>
              <w:t>·</w:t>
            </w:r>
          </w:p>
        </w:tc>
        <w:tc>
          <w:tcPr>
            <w:tcW w:w="9482" w:type="dxa"/>
            <w:tcBorders/>
            <w:vAlign w:val="center"/>
          </w:tcPr>
          <w:p>
            <w:pPr>
              <w:pStyle w:val="TableContents"/>
              <w:bidi w:val="0"/>
              <w:spacing w:before="0" w:after="283"/>
              <w:jc w:val="left"/>
              <w:rPr/>
            </w:pPr>
            <w:r>
              <w:rPr/>
              <w:t>the net proceeds to us.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This prospectus may not be used to consummate a sale of any securities by us unless it is accompanied by a prospectus supplement.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The Securities Selling Shareholders May Offer</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selling shareholders named in this prospectus may offer and resell from time to time up to 38,266,180 Common Shares. We will not receive any proceeds from the sale of Common Shares by the selling shareholders. Please see the section titled “Selling Shareholders” in this prospectus.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na_001"/>
      <w:bookmarkEnd w:id="17"/>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na_002"/>
      <w:bookmarkEnd w:id="18"/>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include forward-looking statements within the meaning of Section 27A of the Securities Act of 1933, as amended, or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and the other documents or reports incorporated by reference in this prospectus, discuss some of the factors that could contribute to these differences. These forward-looking statements include, among other things, statements about:</w:t>
      </w:r>
    </w:p>
    <w:p>
      <w:pPr>
        <w:pStyle w:val="TextBody"/>
        <w:bidi w:val="0"/>
        <w:spacing w:before="0" w:after="0"/>
        <w:ind w:left="0" w:right="0" w:hanging="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95"/>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340" w:type="dxa"/>
            <w:tcBorders/>
            <w:vAlign w:val="center"/>
          </w:tcPr>
          <w:p>
            <w:pPr>
              <w:pStyle w:val="TableContents"/>
              <w:bidi w:val="0"/>
              <w:spacing w:before="0" w:after="283"/>
              <w:jc w:val="both"/>
              <w:rPr/>
            </w:pPr>
            <w:r>
              <w:rPr/>
              <w:t>our use of the net proceeds from this offering;</w:t>
            </w:r>
          </w:p>
        </w:tc>
      </w:tr>
    </w:tbl>
    <w:tbl>
      <w:tblPr>
        <w:tblW w:w="9408" w:type="dxa"/>
        <w:jc w:val="left"/>
        <w:tblInd w:w="0" w:type="dxa"/>
        <w:tblLayout w:type="fixed"/>
        <w:tblCellMar>
          <w:top w:w="0" w:type="dxa"/>
          <w:left w:w="0" w:type="dxa"/>
          <w:bottom w:w="0" w:type="dxa"/>
          <w:right w:w="0" w:type="dxa"/>
        </w:tblCellMar>
      </w:tblPr>
      <w:tblGrid>
        <w:gridCol w:w="38"/>
        <w:gridCol w:w="125"/>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245" w:type="dxa"/>
            <w:tcBorders/>
            <w:vAlign w:val="center"/>
          </w:tcPr>
          <w:p>
            <w:pPr>
              <w:pStyle w:val="TableContents"/>
              <w:bidi w:val="0"/>
              <w:spacing w:before="0" w:after="283"/>
              <w:jc w:val="both"/>
              <w:rPr/>
            </w:pPr>
            <w:r>
              <w:rPr/>
              <w:t>the commercial and technical feasibility of seafloor polymetallic nodule collection and processing;</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potential commercialization plans;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supply and demand for battery metals and battery cathode feedstocks, copper cathode and manganese ores;</w:t>
            </w:r>
          </w:p>
        </w:tc>
      </w:tr>
    </w:tbl>
    <w:tbl>
      <w:tblPr>
        <w:tblW w:w="9873" w:type="dxa"/>
        <w:jc w:val="left"/>
        <w:tblInd w:w="0" w:type="dxa"/>
        <w:tblLayout w:type="fixed"/>
        <w:tblCellMar>
          <w:top w:w="0" w:type="dxa"/>
          <w:left w:w="0" w:type="dxa"/>
          <w:bottom w:w="0" w:type="dxa"/>
          <w:right w:w="0" w:type="dxa"/>
        </w:tblCellMar>
      </w:tblPr>
      <w:tblGrid>
        <w:gridCol w:w="38"/>
        <w:gridCol w:w="125"/>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710" w:type="dxa"/>
            <w:tcBorders/>
            <w:vAlign w:val="center"/>
          </w:tcPr>
          <w:p>
            <w:pPr>
              <w:pStyle w:val="TableContents"/>
              <w:bidi w:val="0"/>
              <w:spacing w:before="0" w:after="283"/>
              <w:jc w:val="both"/>
              <w:rPr/>
            </w:pPr>
            <w:r>
              <w:rPr/>
              <w:t>the future prices of battery metals and battery cathode feedstocks, copper cathode and manganese ores;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timing and content of ISA’s final exploitation regulations that will create the legal and technical framework for exploitation of polymetallic nodules in the CCZ;</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government regulation of mineral extraction from the deep seafloor and changes in mining laws and regulations;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technical, operational, environmental, social and governance risks of developing and deploying equipment to collect polymetallic nodules at sea and to process such nodules on land;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sources and timing of potential revenue as well as the timing and amount of estimated future production, costs of production, other expenses, capital expenditures and requirements for additional capital;</w:t>
            </w:r>
          </w:p>
        </w:tc>
      </w:tr>
    </w:tbl>
    <w:tbl>
      <w:tblPr>
        <w:tblW w:w="4203" w:type="dxa"/>
        <w:jc w:val="left"/>
        <w:tblInd w:w="0" w:type="dxa"/>
        <w:tblLayout w:type="fixed"/>
        <w:tblCellMar>
          <w:top w:w="0" w:type="dxa"/>
          <w:left w:w="0" w:type="dxa"/>
          <w:bottom w:w="0" w:type="dxa"/>
          <w:right w:w="0" w:type="dxa"/>
        </w:tblCellMar>
      </w:tblPr>
      <w:tblGrid>
        <w:gridCol w:w="38"/>
        <w:gridCol w:w="125"/>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040" w:type="dxa"/>
            <w:tcBorders/>
            <w:vAlign w:val="center"/>
          </w:tcPr>
          <w:p>
            <w:pPr>
              <w:pStyle w:val="TableContents"/>
              <w:bidi w:val="0"/>
              <w:spacing w:before="0" w:after="283"/>
              <w:jc w:val="both"/>
              <w:rPr/>
            </w:pPr>
            <w:r>
              <w:rPr/>
              <w:t>cash flow provided by operating activities;</w:t>
            </w:r>
          </w:p>
        </w:tc>
      </w:tr>
    </w:tbl>
    <w:tbl>
      <w:tblPr>
        <w:tblW w:w="7233" w:type="dxa"/>
        <w:jc w:val="left"/>
        <w:tblInd w:w="0" w:type="dxa"/>
        <w:tblLayout w:type="fixed"/>
        <w:tblCellMar>
          <w:top w:w="0" w:type="dxa"/>
          <w:left w:w="0" w:type="dxa"/>
          <w:bottom w:w="0" w:type="dxa"/>
          <w:right w:w="0" w:type="dxa"/>
        </w:tblCellMar>
      </w:tblPr>
      <w:tblGrid>
        <w:gridCol w:w="38"/>
        <w:gridCol w:w="125"/>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070" w:type="dxa"/>
            <w:tcBorders/>
            <w:vAlign w:val="center"/>
          </w:tcPr>
          <w:p>
            <w:pPr>
              <w:pStyle w:val="TableContents"/>
              <w:bidi w:val="0"/>
              <w:spacing w:before="0" w:after="283"/>
              <w:jc w:val="both"/>
              <w:rPr/>
            </w:pPr>
            <w:r>
              <w:rPr/>
              <w:t>the expected activities of our partners under our key strategic relationships;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sufficiency of our cash on hand to meet our working capital and capital expenditure requirements and the need for additional financing;</w:t>
            </w:r>
          </w:p>
        </w:tc>
      </w:tr>
    </w:tbl>
    <w:tbl>
      <w:tblPr>
        <w:tblW w:w="7278" w:type="dxa"/>
        <w:jc w:val="left"/>
        <w:tblInd w:w="0" w:type="dxa"/>
        <w:tblLayout w:type="fixed"/>
        <w:tblCellMar>
          <w:top w:w="0" w:type="dxa"/>
          <w:left w:w="0" w:type="dxa"/>
          <w:bottom w:w="0" w:type="dxa"/>
          <w:right w:w="0" w:type="dxa"/>
        </w:tblCellMar>
      </w:tblPr>
      <w:tblGrid>
        <w:gridCol w:w="38"/>
        <w:gridCol w:w="125"/>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115" w:type="dxa"/>
            <w:tcBorders/>
            <w:vAlign w:val="center"/>
          </w:tcPr>
          <w:p>
            <w:pPr>
              <w:pStyle w:val="TableContents"/>
              <w:bidi w:val="0"/>
              <w:spacing w:before="0" w:after="283"/>
              <w:jc w:val="both"/>
              <w:rPr/>
            </w:pPr>
            <w:r>
              <w:rPr/>
              <w:t>our ability to raise financing in the future and the nature of such financings;</w:t>
            </w:r>
          </w:p>
        </w:tc>
      </w:tr>
    </w:tbl>
    <w:tbl>
      <w:tblPr>
        <w:tblW w:w="3768" w:type="dxa"/>
        <w:jc w:val="left"/>
        <w:tblInd w:w="0" w:type="dxa"/>
        <w:tblLayout w:type="fixed"/>
        <w:tblCellMar>
          <w:top w:w="0" w:type="dxa"/>
          <w:left w:w="0" w:type="dxa"/>
          <w:bottom w:w="0" w:type="dxa"/>
          <w:right w:w="0" w:type="dxa"/>
        </w:tblCellMar>
      </w:tblPr>
      <w:tblGrid>
        <w:gridCol w:w="38"/>
        <w:gridCol w:w="12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605" w:type="dxa"/>
            <w:tcBorders/>
            <w:vAlign w:val="center"/>
          </w:tcPr>
          <w:p>
            <w:pPr>
              <w:pStyle w:val="TableContents"/>
              <w:bidi w:val="0"/>
              <w:spacing w:before="0" w:after="283"/>
              <w:jc w:val="both"/>
              <w:rPr/>
            </w:pPr>
            <w:r>
              <w:rPr/>
              <w:t>any litigation to which we are a party;</w:t>
            </w:r>
          </w:p>
        </w:tc>
      </w:tr>
    </w:tbl>
    <w:tbl>
      <w:tblPr>
        <w:tblW w:w="4473" w:type="dxa"/>
        <w:jc w:val="left"/>
        <w:tblInd w:w="0" w:type="dxa"/>
        <w:tblLayout w:type="fixed"/>
        <w:tblCellMar>
          <w:top w:w="0" w:type="dxa"/>
          <w:left w:w="0" w:type="dxa"/>
          <w:bottom w:w="0" w:type="dxa"/>
          <w:right w:w="0" w:type="dxa"/>
        </w:tblCellMar>
      </w:tblPr>
      <w:tblGrid>
        <w:gridCol w:w="38"/>
        <w:gridCol w:w="125"/>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310" w:type="dxa"/>
            <w:tcBorders/>
            <w:vAlign w:val="center"/>
          </w:tcPr>
          <w:p>
            <w:pPr>
              <w:pStyle w:val="TableContents"/>
              <w:bidi w:val="0"/>
              <w:spacing w:before="0" w:after="283"/>
              <w:jc w:val="both"/>
              <w:rPr/>
            </w:pPr>
            <w:r>
              <w:rPr/>
              <w:t>claims and limitations on insurance coverage;</w:t>
            </w:r>
          </w:p>
        </w:tc>
      </w:tr>
    </w:tbl>
    <w:tbl>
      <w:tblPr>
        <w:tblW w:w="8898" w:type="dxa"/>
        <w:jc w:val="left"/>
        <w:tblInd w:w="0" w:type="dxa"/>
        <w:tblLayout w:type="fixed"/>
        <w:tblCellMar>
          <w:top w:w="0" w:type="dxa"/>
          <w:left w:w="0" w:type="dxa"/>
          <w:bottom w:w="0" w:type="dxa"/>
          <w:right w:w="0" w:type="dxa"/>
        </w:tblCellMar>
      </w:tblPr>
      <w:tblGrid>
        <w:gridCol w:w="38"/>
        <w:gridCol w:w="125"/>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735" w:type="dxa"/>
            <w:tcBorders/>
            <w:vAlign w:val="center"/>
          </w:tcPr>
          <w:p>
            <w:pPr>
              <w:pStyle w:val="TableContents"/>
              <w:bidi w:val="0"/>
              <w:spacing w:before="0" w:after="283"/>
              <w:jc w:val="both"/>
              <w:rPr/>
            </w:pPr>
            <w:r>
              <w:rPr/>
              <w:t>our plans to mitigate our material weaknesses in our internal control over financial reporting;</w:t>
            </w:r>
          </w:p>
        </w:tc>
      </w:tr>
    </w:tbl>
    <w:tbl>
      <w:tblPr>
        <w:tblW w:w="4203" w:type="dxa"/>
        <w:jc w:val="left"/>
        <w:tblInd w:w="0" w:type="dxa"/>
        <w:tblLayout w:type="fixed"/>
        <w:tblCellMar>
          <w:top w:w="0" w:type="dxa"/>
          <w:left w:w="0" w:type="dxa"/>
          <w:bottom w:w="0" w:type="dxa"/>
          <w:right w:w="0" w:type="dxa"/>
        </w:tblCellMar>
      </w:tblPr>
      <w:tblGrid>
        <w:gridCol w:w="38"/>
        <w:gridCol w:w="125"/>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040" w:type="dxa"/>
            <w:tcBorders/>
            <w:vAlign w:val="center"/>
          </w:tcPr>
          <w:p>
            <w:pPr>
              <w:pStyle w:val="TableContents"/>
              <w:bidi w:val="0"/>
              <w:spacing w:before="0" w:after="283"/>
              <w:jc w:val="both"/>
              <w:rPr/>
            </w:pPr>
            <w:r>
              <w:rPr/>
              <w:t>the restatement of our financial statements;</w:t>
            </w:r>
          </w:p>
        </w:tc>
      </w:tr>
    </w:tbl>
    <w:tbl>
      <w:tblPr>
        <w:tblW w:w="6198" w:type="dxa"/>
        <w:jc w:val="left"/>
        <w:tblInd w:w="0" w:type="dxa"/>
        <w:tblLayout w:type="fixed"/>
        <w:tblCellMar>
          <w:top w:w="0" w:type="dxa"/>
          <w:left w:w="0" w:type="dxa"/>
          <w:bottom w:w="0" w:type="dxa"/>
          <w:right w:w="0" w:type="dxa"/>
        </w:tblCellMar>
      </w:tblPr>
      <w:tblGrid>
        <w:gridCol w:w="38"/>
        <w:gridCol w:w="125"/>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035" w:type="dxa"/>
            <w:tcBorders/>
            <w:vAlign w:val="center"/>
          </w:tcPr>
          <w:p>
            <w:pPr>
              <w:pStyle w:val="TableContents"/>
              <w:bidi w:val="0"/>
              <w:spacing w:before="0" w:after="283"/>
              <w:jc w:val="both"/>
              <w:rPr/>
            </w:pPr>
            <w:r>
              <w:rPr/>
              <w:t>geological, metallurgical and geotechnical studies and opinions;</w:t>
            </w:r>
          </w:p>
        </w:tc>
      </w:tr>
    </w:tbl>
    <w:tbl>
      <w:tblPr>
        <w:tblW w:w="2733" w:type="dxa"/>
        <w:jc w:val="left"/>
        <w:tblInd w:w="0" w:type="dxa"/>
        <w:tblLayout w:type="fixed"/>
        <w:tblCellMar>
          <w:top w:w="0" w:type="dxa"/>
          <w:left w:w="0" w:type="dxa"/>
          <w:bottom w:w="0" w:type="dxa"/>
          <w:right w:w="0" w:type="dxa"/>
        </w:tblCellMar>
      </w:tblPr>
      <w:tblGrid>
        <w:gridCol w:w="38"/>
        <w:gridCol w:w="125"/>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570" w:type="dxa"/>
            <w:tcBorders/>
            <w:vAlign w:val="center"/>
          </w:tcPr>
          <w:p>
            <w:pPr>
              <w:pStyle w:val="TableContents"/>
              <w:bidi w:val="0"/>
              <w:spacing w:before="0" w:after="283"/>
              <w:jc w:val="both"/>
              <w:rPr/>
            </w:pPr>
            <w:r>
              <w:rPr/>
              <w:t>mineral resource estimates;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status as an emerging growth company, non-reporting Canadian issuer and passive foreign investment company;</w:t>
            </w:r>
          </w:p>
        </w:tc>
      </w:tr>
    </w:tbl>
    <w:tbl>
      <w:tblPr>
        <w:tblW w:w="7458" w:type="dxa"/>
        <w:jc w:val="left"/>
        <w:tblInd w:w="0" w:type="dxa"/>
        <w:tblLayout w:type="fixed"/>
        <w:tblCellMar>
          <w:top w:w="0" w:type="dxa"/>
          <w:left w:w="0" w:type="dxa"/>
          <w:bottom w:w="0" w:type="dxa"/>
          <w:right w:w="0" w:type="dxa"/>
        </w:tblCellMar>
      </w:tblPr>
      <w:tblGrid>
        <w:gridCol w:w="38"/>
        <w:gridCol w:w="125"/>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95" w:type="dxa"/>
            <w:tcBorders/>
            <w:vAlign w:val="center"/>
          </w:tcPr>
          <w:p>
            <w:pPr>
              <w:pStyle w:val="TableContents"/>
              <w:bidi w:val="0"/>
              <w:spacing w:before="0" w:after="283"/>
              <w:jc w:val="both"/>
              <w:rPr/>
            </w:pPr>
            <w:r>
              <w:rPr/>
              <w:t>COVID-19 and the impact of the COVID-19 pandemic on our business; and</w:t>
            </w:r>
          </w:p>
        </w:tc>
      </w:tr>
    </w:tbl>
    <w:tbl>
      <w:tblPr>
        <w:tblW w:w="2688" w:type="dxa"/>
        <w:jc w:val="left"/>
        <w:tblInd w:w="0" w:type="dxa"/>
        <w:tblLayout w:type="fixed"/>
        <w:tblCellMar>
          <w:top w:w="0" w:type="dxa"/>
          <w:left w:w="0" w:type="dxa"/>
          <w:bottom w:w="0" w:type="dxa"/>
          <w:right w:w="0" w:type="dxa"/>
        </w:tblCellMar>
      </w:tblPr>
      <w:tblGrid>
        <w:gridCol w:w="38"/>
        <w:gridCol w:w="125"/>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525" w:type="dxa"/>
            <w:tcBorders/>
            <w:vAlign w:val="center"/>
          </w:tcPr>
          <w:p>
            <w:pPr>
              <w:pStyle w:val="TableContents"/>
              <w:bidi w:val="0"/>
              <w:spacing w:before="0" w:after="283"/>
              <w:jc w:val="both"/>
              <w:rPr/>
            </w:pPr>
            <w:r>
              <w:rPr/>
              <w:t>our financial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na_003"/>
      <w:bookmarkEnd w:id="1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we intend to use any net proceeds from our sale of securities under this prospectus for general corporate purposes. We will have broad discretion over the use of any proceeds. Pending application of the net proceeds, we may initially invest the net proceeds in short-term, investment-grade, interest-bearing securities or apply them to the reduction of any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will make offers and sales pursuant to this prospectus and, if required, any applicable prospectus supplement. We will not receive any proceeds from the sale or other disposition by the selling shareholders of the Common Shares covered hereby, or interests therein. The selling shareholders will pay any expenses incurred by the selling shareholders for brokerage, accounting, tax or legal services or any other expenses incurred by the selling shareholders in disposing of these shares. We will bear all other costs, fees and expenses incurred in effecting the registration of the shares covered by this prospectus, including, without limitation, all registration fees, listing fees of The Nasdaq Stock Market and fees and expenses of our counsel and our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na_004"/>
      <w:bookmarkEnd w:id="20"/>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an aggregate of 38,266,180 Common Shares, all of which have been issued by us as of the date of this prospectus, that may be sold by the selling shareholders set forth herein. Of these shares, 37,978,680 Common Shares were issued to the selling shareholders pursuant to that certain securities purchase agreement, dated August 12, 2022, or the PIPE Purchase Agreement, with the purchasers named therein for the issuance and sale of an aggregate of 31,625,000 Common Shares at a purchase price of $0.80 per share, a separate securities purchase agreement with Gerard Barron, our Chief Executive Officer and Chairman, or the Barron Purchase Agreement, for the issuance and sale of 103,680 Common Shares at $0.9645 per share, the consolidated closing bid price per Common Share on the Nasdaq Global Select Market on August 11, 2022, the date immediately preceding the signing of the Barron Purchase Agreement, and a separate securities purchase agreement with ERAS Capital LLC, the family fund of one of our directors, Andrei Karkar, for the issuance and sale of 6,250,000 Common Shares at a purchase price of $0.80 per share, or the ERAS Purchase Agreement. The PIPE Purchase Agreement, the Barron Purchase Agreement and the ERAS Purchase Agreement are referred to herein collectively as the Purchase Agreements. An aggregate of 287,500 Common Shares were issued to certain of our advisors in connection with advisory services they rendered related to the issuances of Common Shares pursuant to the Purchase Agreements. We are registering the resale of these Common Shares pursuant to the Purchase Agreements as well as arrangements with certain of our advisors. We will not receive any proceeds from the resale of the Common Shares by the 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and the accompanying footnotes are based in part on information supplied to us by the selling shareholders. The table and footnotes assume that the selling shareholders will sell all of the shares listed. However, because the selling shareholders may sell all or some of their shares under this prospectus from time to time, or in another permitted manner, we cannot assure you as to the actual number of shares that will be sold by the selling shareholders or that will be held by the selling shareholders after completion of any sales. We do not know how long the selling shareholders will hold the shares before selling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the beneficial ownership of our Common Shares as of August 31, 2022 by each selling shareholder. Beneficial ownership is determined in accordance with the rules of the SEC and includes voting or investment power with respect to the securities. We deem Common Shares that may be acquired by an individual or group within 60 days of August 31, 2022 pursuant to the exercise of options or conversion of convertible securities to be outstanding for the purpose of computing the percentage ownership of such individual or group, but those shares are not deemed to be outstanding for the purpose of computing the percentage ownership of any other person shown in the table. The Common Shares issuable upon conversion of any Special Shares owned by the selling shareholders are not beneficially owned by any of the selling shareholders and are excluded from the beneficial ownership columns in the table below since the conversions of such Special Shares are subject to the Common Share trading price thresholds described herein. Please see the section titled “Description of Common Shares and Special Shares” in this prospectus. Except as indicated in footnotes to this table, we believe that the shareholders named in this table have sole voting and investment power with respect to all Common Shares shown to be beneficially owned by them based on information provided to us by these shareholders. Percentage of ownership prior to the offering is based on 265,424,635 Common Shares outstanding on August 31, 2022, assuming that we issued all of the 37,978,680 Common Shares issued under the Purchase Agreements and the 287,500 Common Shares issued to our advisors on or before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3785"/>
        <w:gridCol w:w="60"/>
        <w:gridCol w:w="79"/>
        <w:gridCol w:w="1269"/>
        <w:gridCol w:w="79"/>
        <w:gridCol w:w="79"/>
        <w:gridCol w:w="131"/>
        <w:gridCol w:w="834"/>
        <w:gridCol w:w="185"/>
        <w:gridCol w:w="60"/>
        <w:gridCol w:w="68"/>
        <w:gridCol w:w="967"/>
        <w:gridCol w:w="60"/>
        <w:gridCol w:w="60"/>
        <w:gridCol w:w="72"/>
        <w:gridCol w:w="1153"/>
        <w:gridCol w:w="72"/>
        <w:gridCol w:w="72"/>
        <w:gridCol w:w="131"/>
        <w:gridCol w:w="834"/>
        <w:gridCol w:w="155"/>
      </w:tblGrid>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 Beneficially</w:t>
              <w:br/>
              <w:t>Owned Prior to Offering</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Common</w:t>
              <w:br/>
              <w:t>Shares Being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 to be</w:t>
              <w:br/>
              <w:t>Beneficially Owned After</w:t>
              <w:br/>
              <w:t>Offering</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 Shareholder</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155"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Willeese Pty Ltd ATF Wilson Family Trust</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1,522,990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1,147,990</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Cadence Capital Limited</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2,250,000</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Cadence Opportunities Fund Limited</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Carrera Capital International Ltd.</w:t>
            </w:r>
            <w:r>
              <w:rPr>
                <w:rFonts w:ascii="Times New Roman;Times;Serif" w:hAnsi="Times New Roman;Times;Serif"/>
                <w:b w:val="false"/>
                <w:i w:val="false"/>
                <w:caps w:val="false"/>
                <w:smallCaps w:val="false"/>
                <w:position w:val="7"/>
                <w:sz w:val="16"/>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1,719,890</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1,469,890</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Lucas Cahill</w:t>
            </w:r>
            <w:r>
              <w:rPr>
                <w:rFonts w:ascii="Times New Roman;Times;Serif" w:hAnsi="Times New Roman;Times;Serif"/>
                <w:b w:val="false"/>
                <w:i w:val="false"/>
                <w:caps w:val="false"/>
                <w:smallCaps w:val="false"/>
                <w:position w:val="7"/>
                <w:sz w:val="16"/>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1,198,298</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510,798</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Paes-Braga</w:t>
            </w:r>
            <w:r>
              <w:rPr>
                <w:rFonts w:ascii="Times New Roman;Times;Serif" w:hAnsi="Times New Roman;Times;Serif"/>
                <w:b w:val="false"/>
                <w:i w:val="false"/>
                <w:caps w:val="false"/>
                <w:smallCaps w:val="false"/>
                <w:position w:val="7"/>
                <w:sz w:val="16"/>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2,325,731</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763,231</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Valola Holdings Corp.</w:t>
            </w:r>
            <w:r>
              <w:rPr>
                <w:rFonts w:ascii="Times New Roman;Times;Serif" w:hAnsi="Times New Roman;Times;Serif"/>
                <w:b w:val="false"/>
                <w:i w:val="false"/>
                <w:caps w:val="false"/>
                <w:smallCaps w:val="false"/>
                <w:position w:val="7"/>
                <w:sz w:val="16"/>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Lake One LLC</w:t>
            </w:r>
            <w:r>
              <w:rPr>
                <w:rFonts w:ascii="Times New Roman;Times;Serif" w:hAnsi="Times New Roman;Times;Serif"/>
                <w:b w:val="false"/>
                <w:i w:val="false"/>
                <w:caps w:val="false"/>
                <w:smallCaps w:val="false"/>
                <w:position w:val="7"/>
                <w:sz w:val="16"/>
                <w:sz w:val="20"/>
              </w:rPr>
              <w:t>(9)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12,284,667</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9,784,667</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55"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Stewart</w:t>
            </w:r>
            <w:r>
              <w:rPr>
                <w:rFonts w:ascii="Times New Roman;Times;Serif" w:hAnsi="Times New Roman;Times;Serif"/>
                <w:b w:val="false"/>
                <w:i w:val="false"/>
                <w:caps w:val="false"/>
                <w:smallCaps w:val="false"/>
                <w:position w:val="7"/>
                <w:sz w:val="16"/>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Namdar Family Holdings LLC</w:t>
            </w:r>
            <w:r>
              <w:rPr>
                <w:rFonts w:ascii="Times New Roman;Times;Serif" w:hAnsi="Times New Roman;Times;Serif"/>
                <w:b w:val="false"/>
                <w:i w:val="false"/>
                <w:caps w:val="false"/>
                <w:smallCaps w:val="false"/>
                <w:position w:val="7"/>
                <w:sz w:val="16"/>
                <w:sz w:val="20"/>
              </w:rPr>
              <w:t>(11)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Majid Fahd M Alghaslan</w:t>
            </w:r>
            <w:r>
              <w:rPr>
                <w:rFonts w:ascii="Times New Roman;Times;Serif" w:hAnsi="Times New Roman;Times;Serif"/>
                <w:b w:val="false"/>
                <w:i w:val="false"/>
                <w:caps w:val="false"/>
                <w:smallCaps w:val="false"/>
                <w:position w:val="7"/>
                <w:sz w:val="16"/>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4,011,000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261,000</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BMO Nesbitt Burns Inc. ITF Lynwood Opportunities Master Fund</w:t>
            </w:r>
            <w:r>
              <w:rPr>
                <w:rFonts w:ascii="Times New Roman;Times;Serif" w:hAnsi="Times New Roman;Times;Serif"/>
                <w:b w:val="false"/>
                <w:i w:val="false"/>
                <w:caps w:val="false"/>
                <w:smallCaps w:val="false"/>
                <w:position w:val="7"/>
                <w:sz w:val="16"/>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Nero Resource Fund Pty Ltd</w:t>
            </w:r>
            <w:r>
              <w:rPr>
                <w:rFonts w:ascii="Times New Roman;Times;Serif" w:hAnsi="Times New Roman;Times;Serif"/>
                <w:b w:val="false"/>
                <w:i w:val="false"/>
                <w:caps w:val="false"/>
                <w:smallCaps w:val="false"/>
                <w:position w:val="7"/>
                <w:sz w:val="16"/>
                <w:sz w:val="20"/>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625,000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Jon Deschenes Jr</w:t>
            </w:r>
            <w:r>
              <w:rPr>
                <w:rFonts w:ascii="Times New Roman;Times;Serif" w:hAnsi="Times New Roman;Times;Serif"/>
                <w:b w:val="false"/>
                <w:i w:val="false"/>
                <w:caps w:val="false"/>
                <w:smallCaps w:val="false"/>
                <w:position w:val="7"/>
                <w:sz w:val="16"/>
                <w:sz w:val="20"/>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275,000</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RF Trust</w:t>
            </w:r>
            <w:r>
              <w:rPr>
                <w:rFonts w:ascii="Times New Roman;Times;Serif" w:hAnsi="Times New Roman;Times;Serif"/>
                <w:b w:val="false"/>
                <w:i w:val="false"/>
                <w:caps w:val="false"/>
                <w:smallCaps w:val="false"/>
                <w:position w:val="7"/>
                <w:sz w:val="16"/>
                <w:sz w:val="20"/>
              </w:rPr>
              <w:t>(16)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Gadi Slade</w:t>
            </w:r>
            <w:r>
              <w:rPr>
                <w:rFonts w:ascii="Times New Roman;Times;Serif" w:hAnsi="Times New Roman;Times;Serif"/>
                <w:b w:val="false"/>
                <w:i w:val="false"/>
                <w:caps w:val="false"/>
                <w:smallCaps w:val="false"/>
                <w:position w:val="7"/>
                <w:sz w:val="16"/>
                <w:sz w:val="20"/>
              </w:rPr>
              <w:t>(17)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Ronit Global Opportunities Master Fund Limited</w:t>
            </w:r>
            <w:r>
              <w:rPr>
                <w:rFonts w:ascii="Times New Roman;Times;Serif" w:hAnsi="Times New Roman;Times;Serif"/>
                <w:b w:val="false"/>
                <w:i w:val="false"/>
                <w:caps w:val="false"/>
                <w:smallCaps w:val="false"/>
                <w:position w:val="7"/>
                <w:sz w:val="16"/>
                <w:sz w:val="20"/>
              </w:rPr>
              <w:t>(18)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1,748,154</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248,154</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Leste Global Fund SPC - Segregated Portfolio B</w:t>
            </w:r>
            <w:r>
              <w:rPr>
                <w:rFonts w:ascii="Times New Roman;Times;Serif" w:hAnsi="Times New Roman;Times;Serif"/>
                <w:b w:val="false"/>
                <w:i w:val="false"/>
                <w:caps w:val="false"/>
                <w:smallCaps w:val="false"/>
                <w:position w:val="7"/>
                <w:sz w:val="16"/>
                <w:sz w:val="20"/>
              </w:rPr>
              <w:t>(19)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Light Doors LLC</w:t>
            </w:r>
            <w:r>
              <w:rPr>
                <w:rFonts w:ascii="Times New Roman;Times;Serif" w:hAnsi="Times New Roman;Times;Serif"/>
                <w:b w:val="false"/>
                <w:i w:val="false"/>
                <w:caps w:val="false"/>
                <w:smallCaps w:val="false"/>
                <w:position w:val="7"/>
                <w:sz w:val="16"/>
                <w:sz w:val="20"/>
              </w:rPr>
              <w:t>(20)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Lydia Barron</w:t>
            </w:r>
            <w:r>
              <w:rPr>
                <w:rFonts w:ascii="Times New Roman;Times;Serif" w:hAnsi="Times New Roman;Times;Serif"/>
                <w:b w:val="false"/>
                <w:i w:val="false"/>
                <w:caps w:val="false"/>
                <w:smallCaps w:val="false"/>
                <w:position w:val="7"/>
                <w:sz w:val="16"/>
                <w:sz w:val="20"/>
              </w:rPr>
              <w:t>(21)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489,338</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364,338</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Claudia Barron</w:t>
            </w:r>
            <w:r>
              <w:rPr>
                <w:rFonts w:ascii="Times New Roman;Times;Serif" w:hAnsi="Times New Roman;Times;Serif"/>
                <w:b w:val="false"/>
                <w:i w:val="false"/>
                <w:caps w:val="false"/>
                <w:smallCaps w:val="false"/>
                <w:position w:val="7"/>
                <w:sz w:val="16"/>
                <w:sz w:val="20"/>
              </w:rPr>
              <w:t>(22)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389,632</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264,632</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Barron</w:t>
            </w:r>
            <w:r>
              <w:rPr>
                <w:rFonts w:ascii="Times New Roman;Times;Serif" w:hAnsi="Times New Roman;Times;Serif"/>
                <w:b w:val="false"/>
                <w:i w:val="false"/>
                <w:caps w:val="false"/>
                <w:smallCaps w:val="false"/>
                <w:position w:val="7"/>
                <w:sz w:val="16"/>
                <w:sz w:val="20"/>
              </w:rPr>
              <w:t>(23)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396,538</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271,538</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Allseas Group S.A.</w:t>
            </w:r>
            <w:r>
              <w:rPr>
                <w:rFonts w:ascii="Times New Roman;Times;Serif" w:hAnsi="Times New Roman;Times;Serif"/>
                <w:b w:val="false"/>
                <w:i w:val="false"/>
                <w:caps w:val="false"/>
                <w:smallCaps w:val="false"/>
                <w:position w:val="7"/>
                <w:sz w:val="16"/>
                <w:sz w:val="20"/>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22,701,648</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16,451,648</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55"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Gerard Barron</w:t>
            </w:r>
            <w:r>
              <w:rPr>
                <w:rFonts w:ascii="Times New Roman;Times;Serif" w:hAnsi="Times New Roman;Times;Serif"/>
                <w:b w:val="false"/>
                <w:i w:val="false"/>
                <w:caps w:val="false"/>
                <w:smallCaps w:val="false"/>
                <w:position w:val="7"/>
                <w:sz w:val="16"/>
                <w:sz w:val="20"/>
              </w:rPr>
              <w:t>(25)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18,806,677</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18,702,997</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55"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ERAS Capital LLC</w:t>
            </w:r>
            <w:r>
              <w:rPr>
                <w:rFonts w:ascii="Times New Roman;Times;Serif" w:hAnsi="Times New Roman;Times;Serif"/>
                <w:b w:val="false"/>
                <w:i w:val="false"/>
                <w:caps w:val="false"/>
                <w:smallCaps w:val="false"/>
                <w:position w:val="7"/>
                <w:sz w:val="16"/>
                <w:sz w:val="20"/>
              </w:rPr>
              <w:t>(26)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53,370,692</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47,120,692</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155"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Odeon Capital Group LLC</w:t>
            </w:r>
            <w:r>
              <w:rPr>
                <w:rFonts w:ascii="Times New Roman;Times;Serif" w:hAnsi="Times New Roman;Times;Serif"/>
                <w:b w:val="false"/>
                <w:i w:val="false"/>
                <w:caps w:val="false"/>
                <w:smallCaps w:val="false"/>
                <w:position w:val="7"/>
                <w:sz w:val="16"/>
                <w:sz w:val="20"/>
              </w:rPr>
              <w:t>(27)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186,250</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Sugar</w:t>
            </w:r>
            <w:r>
              <w:rPr>
                <w:rFonts w:ascii="Times New Roman;Times;Serif" w:hAnsi="Times New Roman;Times;Serif"/>
                <w:b w:val="false"/>
                <w:i w:val="false"/>
                <w:caps w:val="false"/>
                <w:smallCaps w:val="false"/>
                <w:position w:val="7"/>
                <w:sz w:val="16"/>
                <w:sz w:val="20"/>
              </w:rPr>
              <w:t>(28)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70,875</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Rogier de la Rambelje</w:t>
            </w:r>
            <w:r>
              <w:rPr>
                <w:rFonts w:ascii="Times New Roman;Times;Serif" w:hAnsi="Times New Roman;Times;Serif"/>
                <w:b w:val="false"/>
                <w:i w:val="false"/>
                <w:caps w:val="false"/>
                <w:smallCaps w:val="false"/>
                <w:position w:val="7"/>
                <w:sz w:val="16"/>
                <w:sz w:val="20"/>
              </w:rPr>
              <w:t>(29)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10,125</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Bonner</w:t>
            </w:r>
            <w:r>
              <w:rPr>
                <w:rFonts w:ascii="Times New Roman;Times;Serif" w:hAnsi="Times New Roman;Times;Serif"/>
                <w:b w:val="false"/>
                <w:i w:val="false"/>
                <w:caps w:val="false"/>
                <w:smallCaps w:val="false"/>
                <w:position w:val="7"/>
                <w:sz w:val="16"/>
                <w:sz w:val="20"/>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beneficial ownership of less than 1% of the outstanding Common Shares.</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(1)</w:t>
            </w:r>
          </w:p>
        </w:tc>
        <w:tc>
          <w:tcPr>
            <w:tcW w:w="9914" w:type="dxa"/>
            <w:tcBorders/>
            <w:vAlign w:val="center"/>
          </w:tcPr>
          <w:p>
            <w:pPr>
              <w:pStyle w:val="TableContents"/>
              <w:bidi w:val="0"/>
              <w:spacing w:before="0" w:after="283"/>
              <w:jc w:val="both"/>
              <w:rPr/>
            </w:pPr>
            <w:r>
              <w:rPr/>
              <w:t>Unless otherwise indicated, the business address of each of these holders is c/o TMC the metals company Inc., 595 Howe Street, 10th Floor, Vancouver, British Columbia, Canada V6C 2T5.</w:t>
            </w:r>
          </w:p>
        </w:tc>
      </w:tr>
    </w:tbl>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283"/>
              <w:jc w:val="both"/>
              <w:rPr/>
            </w:pPr>
            <w:r>
              <w:rPr/>
              <w:t>Paul David Wilson may be deemed to have voting and investment power over the shares held by Willeese Pty Ltd ATF Wilson Family Trust. The business address of such holder is 58 Warragal Road, Turramurra, New South Wales, 2074, Australia.</w:t>
            </w:r>
          </w:p>
        </w:tc>
      </w:tr>
    </w:tbl>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(3)</w:t>
            </w:r>
          </w:p>
        </w:tc>
        <w:tc>
          <w:tcPr>
            <w:tcW w:w="9910" w:type="dxa"/>
            <w:tcBorders/>
            <w:vAlign w:val="center"/>
          </w:tcPr>
          <w:p>
            <w:pPr>
              <w:pStyle w:val="TableContents"/>
              <w:bidi w:val="0"/>
              <w:spacing w:before="0" w:after="283"/>
              <w:jc w:val="both"/>
              <w:rPr/>
            </w:pPr>
            <w:r>
              <w:rPr/>
              <w:t>Cadence Capital Limited is a company listed on the Australian Securities Exchange. The business address of such holder is 11/131 Macquarie Street, Sydney, NSW, 2000.</w:t>
            </w:r>
          </w:p>
        </w:tc>
      </w:tr>
    </w:tbl>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(4)</w:t>
            </w:r>
          </w:p>
        </w:tc>
        <w:tc>
          <w:tcPr>
            <w:tcW w:w="9913" w:type="dxa"/>
            <w:tcBorders/>
            <w:vAlign w:val="center"/>
          </w:tcPr>
          <w:p>
            <w:pPr>
              <w:pStyle w:val="TableContents"/>
              <w:bidi w:val="0"/>
              <w:spacing w:before="0" w:after="283"/>
              <w:jc w:val="both"/>
              <w:rPr/>
            </w:pPr>
            <w:r>
              <w:rPr/>
              <w:t>Cadence Opportunities Fund Limited is a company listed on the Australian Securities Exchange. The business address of such holder is 11/131 Macquarie Street, Sydney, NSW, 2000.</w:t>
            </w:r>
          </w:p>
        </w:tc>
      </w:tr>
    </w:tbl>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(5)</w:t>
            </w:r>
          </w:p>
        </w:tc>
        <w:tc>
          <w:tcPr>
            <w:tcW w:w="9924" w:type="dxa"/>
            <w:tcBorders/>
            <w:vAlign w:val="center"/>
          </w:tcPr>
          <w:p>
            <w:pPr>
              <w:pStyle w:val="TableContents"/>
              <w:bidi w:val="0"/>
              <w:spacing w:before="0" w:after="283"/>
              <w:jc w:val="both"/>
              <w:rPr/>
            </w:pPr>
            <w:r>
              <w:rPr/>
              <w:t>Jeffrey Zicherman may be deemed to have voting and investment power over the shares held by Carrera Capital International Ltd. The business address of such holder is One Nexus Way, Camana Bay, Grand Cayman, Cayman Islands, KY1-9005.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(6)</w:t>
            </w:r>
          </w:p>
        </w:tc>
        <w:tc>
          <w:tcPr>
            <w:tcW w:w="9883" w:type="dxa"/>
            <w:tcBorders/>
            <w:vAlign w:val="center"/>
          </w:tcPr>
          <w:p>
            <w:pPr>
              <w:pStyle w:val="TableContents"/>
              <w:bidi w:val="0"/>
              <w:spacing w:before="0" w:after="283"/>
              <w:jc w:val="both"/>
              <w:rPr/>
            </w:pPr>
            <w:r>
              <w:rPr/>
              <w:t>The business address of such holder is One Connaught Place, 1st Floor, London, W2 WET, United Kingdom.</w:t>
            </w:r>
          </w:p>
        </w:tc>
      </w:tr>
    </w:tbl>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(7)</w:t>
            </w:r>
          </w:p>
        </w:tc>
        <w:tc>
          <w:tcPr>
            <w:tcW w:w="9940" w:type="dxa"/>
            <w:tcBorders/>
            <w:vAlign w:val="center"/>
          </w:tcPr>
          <w:p>
            <w:pPr>
              <w:pStyle w:val="TableContents"/>
              <w:bidi w:val="0"/>
              <w:spacing w:before="0" w:after="283"/>
              <w:jc w:val="both"/>
              <w:rPr/>
            </w:pPr>
            <w:r>
              <w:rPr/>
              <w:t>Includes 57,893 Common Shares held by its wholly-owned subsidiary, WTP Capital Corp. and 126,407 Common Shares underlying options that are exercisable within 60 days of August 31, 2022. Mr. Paes-Braga may be deemed to have voting and investment power over the shares held by WTP Capital Corp. and Valola Holdings Corp. The business address of such holder is One Connaught Place, 1st Floor, London, W2 WET, United Kingdom. Mr. Paes-Braga was formerly a non-employee director of DeepGreen.</w:t>
            </w:r>
          </w:p>
        </w:tc>
      </w:tr>
    </w:tbl>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(8)</w:t>
            </w:r>
          </w:p>
        </w:tc>
        <w:tc>
          <w:tcPr>
            <w:tcW w:w="9922" w:type="dxa"/>
            <w:tcBorders/>
            <w:vAlign w:val="center"/>
          </w:tcPr>
          <w:p>
            <w:pPr>
              <w:pStyle w:val="TableContents"/>
              <w:bidi w:val="0"/>
              <w:spacing w:before="0" w:after="283"/>
              <w:jc w:val="both"/>
              <w:rPr/>
            </w:pPr>
            <w:r>
              <w:rPr/>
              <w:t>Brian Paes-Braga may be deemed to have voting and investment power over the shares held by Valola Holdings Corp. The business address of such holder is One Nexus Way, Camana Bay, Grand Cayman, Cayman Islands, KY1-9005.</w:t>
            </w:r>
          </w:p>
        </w:tc>
      </w:tr>
    </w:tbl>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(9)</w:t>
            </w:r>
          </w:p>
        </w:tc>
        <w:tc>
          <w:tcPr>
            <w:tcW w:w="9941" w:type="dxa"/>
            <w:tcBorders/>
            <w:vAlign w:val="center"/>
          </w:tcPr>
          <w:p>
            <w:pPr>
              <w:pStyle w:val="TableContents"/>
              <w:bidi w:val="0"/>
              <w:spacing w:before="0" w:after="283"/>
              <w:jc w:val="both"/>
              <w:rPr/>
            </w:pPr>
            <w:r>
              <w:rPr/>
              <w:t>Isidoro Alfonso Quiroga Cortés, María Victoria Quiroga Moreno, Martín Abraham Guiloff Salvador and Luis Felipe Correa González, in their capacity as members of the board of managers, may be deemed to have voting and dispositive power (acting jointly Isidoro Alfonso Quiroga Cortés or María Victoria Quiroga Moreno with any of between Martín Abraham Guiloff Salvador and Luis Felipe Correa González) with respect to the securities held by South Lake One LLC. The business address of such holder is Presidente Riesco 5711 office 1603, Las Condes, Santiago, Chile.</w:t>
            </w:r>
          </w:p>
        </w:tc>
      </w:tr>
    </w:tbl>
    <w:tbl>
      <w:tblPr>
        <w:tblW w:w="5000" w:type="pct"/>
        <w:jc w:val="left"/>
        <w:tblInd w:w="0" w:type="dxa"/>
        <w:tblLayout w:type="fixed"/>
        <w:tblCellMar>
          <w:top w:w="0" w:type="dxa"/>
          <w:left w:w="0" w:type="dxa"/>
          <w:bottom w:w="0" w:type="dxa"/>
          <w:right w:w="0" w:type="dxa"/>
        </w:tblCellMar>
      </w:tblPr>
      <w:tblGrid>
        <w:gridCol w:w="43"/>
        <w:gridCol w:w="475"/>
        <w:gridCol w:w="9687"/>
      </w:tblGrid>
      <w:tr>
        <w:trPr/>
        <w:tc>
          <w:tcPr>
            <w:tcW w:w="4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pPr>
            <w:r>
              <w:rPr/>
              <w:t>(10)</w:t>
            </w:r>
          </w:p>
        </w:tc>
        <w:tc>
          <w:tcPr>
            <w:tcW w:w="9687" w:type="dxa"/>
            <w:tcBorders/>
            <w:vAlign w:val="center"/>
          </w:tcPr>
          <w:p>
            <w:pPr>
              <w:pStyle w:val="TableContents"/>
              <w:bidi w:val="0"/>
              <w:spacing w:before="0" w:after="283"/>
              <w:jc w:val="both"/>
              <w:rPr/>
            </w:pPr>
            <w:r>
              <w:rPr/>
              <w:t>The business address of such holder is 48 Weathervane Circle, Cream Ridge, NJ 08514.</w:t>
            </w:r>
          </w:p>
        </w:tc>
      </w:tr>
    </w:tbl>
    <w:tbl>
      <w:tblPr>
        <w:tblW w:w="5000" w:type="pct"/>
        <w:jc w:val="left"/>
        <w:tblInd w:w="0" w:type="dxa"/>
        <w:tblLayout w:type="fixed"/>
        <w:tblCellMar>
          <w:top w:w="0" w:type="dxa"/>
          <w:left w:w="0" w:type="dxa"/>
          <w:bottom w:w="0" w:type="dxa"/>
          <w:right w:w="0" w:type="dxa"/>
        </w:tblCellMar>
      </w:tblPr>
      <w:tblGrid>
        <w:gridCol w:w="37"/>
        <w:gridCol w:w="367"/>
        <w:gridCol w:w="9801"/>
      </w:tblGrid>
      <w:tr>
        <w:trPr/>
        <w:tc>
          <w:tcPr>
            <w:tcW w:w="3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(11)</w:t>
            </w:r>
          </w:p>
        </w:tc>
        <w:tc>
          <w:tcPr>
            <w:tcW w:w="9801" w:type="dxa"/>
            <w:tcBorders/>
            <w:vAlign w:val="center"/>
          </w:tcPr>
          <w:p>
            <w:pPr>
              <w:pStyle w:val="TableContents"/>
              <w:bidi w:val="0"/>
              <w:spacing w:before="0" w:after="283"/>
              <w:jc w:val="both"/>
              <w:rPr/>
            </w:pPr>
            <w:r>
              <w:rPr/>
              <w:t>Igal Namdar may be deemed to have voting and investment power over the shares held by Namdar Family Holdings LLC. The business address of such holder is 150 Great Neck Road, Suite 304, Great Neck, NY, 11021.</w:t>
            </w:r>
          </w:p>
        </w:tc>
      </w:tr>
    </w:tbl>
    <w:tbl>
      <w:tblPr>
        <w:tblW w:w="5000" w:type="pct"/>
        <w:jc w:val="left"/>
        <w:tblInd w:w="0" w:type="dxa"/>
        <w:tblLayout w:type="fixed"/>
        <w:tblCellMar>
          <w:top w:w="0" w:type="dxa"/>
          <w:left w:w="0" w:type="dxa"/>
          <w:bottom w:w="0" w:type="dxa"/>
          <w:right w:w="0" w:type="dxa"/>
        </w:tblCellMar>
      </w:tblPr>
      <w:tblGrid>
        <w:gridCol w:w="37"/>
        <w:gridCol w:w="390"/>
        <w:gridCol w:w="9778"/>
      </w:tblGrid>
      <w:tr>
        <w:trPr/>
        <w:tc>
          <w:tcPr>
            <w:tcW w:w="3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(12)</w:t>
            </w:r>
          </w:p>
        </w:tc>
        <w:tc>
          <w:tcPr>
            <w:tcW w:w="9778" w:type="dxa"/>
            <w:tcBorders/>
            <w:vAlign w:val="center"/>
          </w:tcPr>
          <w:p>
            <w:pPr>
              <w:pStyle w:val="TableContents"/>
              <w:bidi w:val="0"/>
              <w:spacing w:before="0" w:after="283"/>
              <w:jc w:val="both"/>
              <w:rPr/>
            </w:pPr>
            <w:r>
              <w:rPr/>
              <w:t>The business address of such holder is 3618, Al Amir Muhammad bin Fahd Rd, Al Qusur Unit 6, Dhahran, Kingdom of Saudi Arabia.</w:t>
            </w:r>
          </w:p>
        </w:tc>
      </w:tr>
    </w:tbl>
    <w:tbl>
      <w:tblPr>
        <w:tblW w:w="5000" w:type="pct"/>
        <w:jc w:val="left"/>
        <w:tblInd w:w="0" w:type="dxa"/>
        <w:tblLayout w:type="fixed"/>
        <w:tblCellMar>
          <w:top w:w="0" w:type="dxa"/>
          <w:left w:w="0" w:type="dxa"/>
          <w:bottom w:w="0" w:type="dxa"/>
          <w:right w:w="0" w:type="dxa"/>
        </w:tblCellMar>
      </w:tblPr>
      <w:tblGrid>
        <w:gridCol w:w="37"/>
        <w:gridCol w:w="356"/>
        <w:gridCol w:w="9812"/>
      </w:tblGrid>
      <w:tr>
        <w:trPr/>
        <w:tc>
          <w:tcPr>
            <w:tcW w:w="3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Pr>
            <w:r>
              <w:rPr/>
              <w:t>(13)</w:t>
            </w:r>
          </w:p>
        </w:tc>
        <w:tc>
          <w:tcPr>
            <w:tcW w:w="9812" w:type="dxa"/>
            <w:tcBorders/>
            <w:vAlign w:val="center"/>
          </w:tcPr>
          <w:p>
            <w:pPr>
              <w:pStyle w:val="TableContents"/>
              <w:bidi w:val="0"/>
              <w:spacing w:before="0" w:after="283"/>
              <w:jc w:val="both"/>
              <w:rPr/>
            </w:pPr>
            <w:r>
              <w:rPr/>
              <w:t>Ben Shapiro may be deemed to have voting and investment power over the shares held by BMO Nesbitt Burns Inc. ITF Lynwood Opportunities Master Fund. The business address of such holder is FG Services Limited, #2206, Cassia Court, 72 Market St., Camana Bay, P.O. Box 30869 Grand Cayman KY1-1204, Cayman Islands.</w:t>
            </w:r>
          </w:p>
        </w:tc>
      </w:tr>
    </w:tbl>
    <w:tbl>
      <w:tblPr>
        <w:tblW w:w="5000" w:type="pct"/>
        <w:jc w:val="left"/>
        <w:tblInd w:w="0" w:type="dxa"/>
        <w:tblLayout w:type="fixed"/>
        <w:tblCellMar>
          <w:top w:w="0" w:type="dxa"/>
          <w:left w:w="0" w:type="dxa"/>
          <w:bottom w:w="0" w:type="dxa"/>
          <w:right w:w="0" w:type="dxa"/>
        </w:tblCellMar>
      </w:tblPr>
      <w:tblGrid>
        <w:gridCol w:w="37"/>
        <w:gridCol w:w="411"/>
        <w:gridCol w:w="9757"/>
      </w:tblGrid>
      <w:tr>
        <w:trPr/>
        <w:tc>
          <w:tcPr>
            <w:tcW w:w="3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pPr>
            <w:r>
              <w:rPr/>
              <w:t>(14)</w:t>
            </w:r>
          </w:p>
        </w:tc>
        <w:tc>
          <w:tcPr>
            <w:tcW w:w="9757" w:type="dxa"/>
            <w:tcBorders/>
            <w:vAlign w:val="center"/>
          </w:tcPr>
          <w:p>
            <w:pPr>
              <w:pStyle w:val="TableContents"/>
              <w:bidi w:val="0"/>
              <w:spacing w:before="0" w:after="283"/>
              <w:jc w:val="both"/>
              <w:rPr/>
            </w:pPr>
            <w:r>
              <w:rPr/>
              <w:t>The business address of such holder is AAM PO Box 107, Morley, Western Australia, Australia 6943.</w:t>
            </w:r>
          </w:p>
        </w:tc>
      </w:tr>
    </w:tbl>
    <w:tbl>
      <w:tblPr>
        <w:tblW w:w="5000" w:type="pct"/>
        <w:jc w:val="left"/>
        <w:tblInd w:w="0" w:type="dxa"/>
        <w:tblLayout w:type="fixed"/>
        <w:tblCellMar>
          <w:top w:w="0" w:type="dxa"/>
          <w:left w:w="0" w:type="dxa"/>
          <w:bottom w:w="0" w:type="dxa"/>
          <w:right w:w="0" w:type="dxa"/>
        </w:tblCellMar>
      </w:tblPr>
      <w:tblGrid>
        <w:gridCol w:w="39"/>
        <w:gridCol w:w="423"/>
        <w:gridCol w:w="9743"/>
      </w:tblGrid>
      <w:tr>
        <w:trPr/>
        <w:tc>
          <w:tcPr>
            <w:tcW w:w="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pPr>
            <w:r>
              <w:rPr/>
              <w:t>(15)</w:t>
            </w:r>
          </w:p>
        </w:tc>
        <w:tc>
          <w:tcPr>
            <w:tcW w:w="9743" w:type="dxa"/>
            <w:tcBorders/>
            <w:vAlign w:val="center"/>
          </w:tcPr>
          <w:p>
            <w:pPr>
              <w:pStyle w:val="TableContents"/>
              <w:bidi w:val="0"/>
              <w:spacing w:before="0" w:after="283"/>
              <w:jc w:val="both"/>
              <w:rPr/>
            </w:pPr>
            <w:r>
              <w:rPr/>
              <w:t>The business address of such holder is 115 East 67th Street, Apartment 4B, New York, NY 10065.</w:t>
            </w:r>
          </w:p>
        </w:tc>
      </w:tr>
    </w:tbl>
    <w:tbl>
      <w:tblPr>
        <w:tblW w:w="5000" w:type="pct"/>
        <w:jc w:val="left"/>
        <w:tblInd w:w="0" w:type="dxa"/>
        <w:tblLayout w:type="fixed"/>
        <w:tblCellMar>
          <w:top w:w="0" w:type="dxa"/>
          <w:left w:w="0" w:type="dxa"/>
          <w:bottom w:w="0" w:type="dxa"/>
          <w:right w:w="0" w:type="dxa"/>
        </w:tblCellMar>
      </w:tblPr>
      <w:tblGrid>
        <w:gridCol w:w="37"/>
        <w:gridCol w:w="368"/>
        <w:gridCol w:w="9800"/>
      </w:tblGrid>
      <w:tr>
        <w:trPr/>
        <w:tc>
          <w:tcPr>
            <w:tcW w:w="3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pPr>
            <w:r>
              <w:rPr/>
              <w:t>(16)</w:t>
            </w:r>
          </w:p>
        </w:tc>
        <w:tc>
          <w:tcPr>
            <w:tcW w:w="9800" w:type="dxa"/>
            <w:tcBorders/>
            <w:vAlign w:val="center"/>
          </w:tcPr>
          <w:p>
            <w:pPr>
              <w:pStyle w:val="TableContents"/>
              <w:bidi w:val="0"/>
              <w:spacing w:before="0" w:after="283"/>
              <w:jc w:val="both"/>
              <w:rPr/>
            </w:pPr>
            <w:r>
              <w:rPr/>
              <w:t>Muriel Rubin and Harriet Rothfeld may be deemed to have voting and investment power over the shares held by The RF Trust. The business address of such holder is PO Box 213399, Royal Palm Beach, Florida 33421.</w:t>
            </w:r>
          </w:p>
        </w:tc>
      </w:tr>
    </w:tbl>
    <w:tbl>
      <w:tblPr>
        <w:tblW w:w="5000" w:type="pct"/>
        <w:jc w:val="left"/>
        <w:tblInd w:w="0" w:type="dxa"/>
        <w:tblLayout w:type="fixed"/>
        <w:tblCellMar>
          <w:top w:w="0" w:type="dxa"/>
          <w:left w:w="0" w:type="dxa"/>
          <w:bottom w:w="0" w:type="dxa"/>
          <w:right w:w="0" w:type="dxa"/>
        </w:tblCellMar>
      </w:tblPr>
      <w:tblGrid>
        <w:gridCol w:w="44"/>
        <w:gridCol w:w="485"/>
        <w:gridCol w:w="9676"/>
      </w:tblGrid>
      <w:tr>
        <w:trPr/>
        <w:tc>
          <w:tcPr>
            <w:tcW w:w="4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pPr>
            <w:r>
              <w:rPr/>
              <w:t>(17)</w:t>
            </w:r>
          </w:p>
        </w:tc>
        <w:tc>
          <w:tcPr>
            <w:tcW w:w="9676" w:type="dxa"/>
            <w:tcBorders/>
            <w:vAlign w:val="center"/>
          </w:tcPr>
          <w:p>
            <w:pPr>
              <w:pStyle w:val="TableContents"/>
              <w:bidi w:val="0"/>
              <w:spacing w:before="0" w:after="283"/>
              <w:jc w:val="both"/>
              <w:rPr/>
            </w:pPr>
            <w:r>
              <w:rPr/>
              <w:t>The business address of such holder is 48 Owenoke Park, Westport, CT 06880, USA.</w:t>
            </w:r>
          </w:p>
        </w:tc>
      </w:tr>
    </w:tbl>
    <w:tbl>
      <w:tblPr>
        <w:tblW w:w="5000" w:type="pct"/>
        <w:jc w:val="left"/>
        <w:tblInd w:w="0" w:type="dxa"/>
        <w:tblLayout w:type="fixed"/>
        <w:tblCellMar>
          <w:top w:w="0" w:type="dxa"/>
          <w:left w:w="0" w:type="dxa"/>
          <w:bottom w:w="0" w:type="dxa"/>
          <w:right w:w="0" w:type="dxa"/>
        </w:tblCellMar>
      </w:tblPr>
      <w:tblGrid>
        <w:gridCol w:w="37"/>
        <w:gridCol w:w="362"/>
        <w:gridCol w:w="9806"/>
      </w:tblGrid>
      <w:tr>
        <w:trPr/>
        <w:tc>
          <w:tcPr>
            <w:tcW w:w="3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(18)</w:t>
            </w:r>
          </w:p>
        </w:tc>
        <w:tc>
          <w:tcPr>
            <w:tcW w:w="9806" w:type="dxa"/>
            <w:tcBorders/>
            <w:vAlign w:val="center"/>
          </w:tcPr>
          <w:p>
            <w:pPr>
              <w:pStyle w:val="TableContents"/>
              <w:bidi w:val="0"/>
              <w:spacing w:before="0" w:after="283"/>
              <w:jc w:val="both"/>
              <w:rPr/>
            </w:pPr>
            <w:r>
              <w:rPr/>
              <w:t>Ronit Capital LLP may be deemed to have voting and investment power over the shares held by Ronit Global Opportunities Master Fund Limited. The business address of such holder is C/O Ronit Capital LLP, 20 North Audley Street, London, W1K 6WE, UK.</w:t>
            </w:r>
          </w:p>
        </w:tc>
      </w:tr>
    </w:tbl>
    <w:tbl>
      <w:tblPr>
        <w:tblW w:w="5000" w:type="pct"/>
        <w:jc w:val="left"/>
        <w:tblInd w:w="0" w:type="dxa"/>
        <w:tblLayout w:type="fixed"/>
        <w:tblCellMar>
          <w:top w:w="0" w:type="dxa"/>
          <w:left w:w="0" w:type="dxa"/>
          <w:bottom w:w="0" w:type="dxa"/>
          <w:right w:w="0" w:type="dxa"/>
        </w:tblCellMar>
      </w:tblPr>
      <w:tblGrid>
        <w:gridCol w:w="37"/>
        <w:gridCol w:w="355"/>
        <w:gridCol w:w="9813"/>
      </w:tblGrid>
      <w:tr>
        <w:trPr/>
        <w:tc>
          <w:tcPr>
            <w:tcW w:w="3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(19)</w:t>
            </w:r>
          </w:p>
        </w:tc>
        <w:tc>
          <w:tcPr>
            <w:tcW w:w="9813" w:type="dxa"/>
            <w:tcBorders/>
            <w:vAlign w:val="center"/>
          </w:tcPr>
          <w:p>
            <w:pPr>
              <w:pStyle w:val="TableContents"/>
              <w:bidi w:val="0"/>
              <w:spacing w:before="0" w:after="283"/>
              <w:jc w:val="both"/>
              <w:rPr/>
            </w:pPr>
            <w:r>
              <w:rPr/>
              <w:t>Emmanuel Rose Hermann may be deemed to have voting and investment power over the shares held by Leste Global Fund SPC - Segregated Portfolio B. The business address of such holder is Conyers Trust Company (Cayman) Limited, Cricket Square, Hutchins Drive, PO Box 2681, George Town, Grand Cayman, KY1-1111, Cayman Islands.</w:t>
            </w:r>
          </w:p>
        </w:tc>
      </w:tr>
    </w:tbl>
    <w:tbl>
      <w:tblPr>
        <w:tblW w:w="5000" w:type="pct"/>
        <w:jc w:val="left"/>
        <w:tblInd w:w="0" w:type="dxa"/>
        <w:tblLayout w:type="fixed"/>
        <w:tblCellMar>
          <w:top w:w="0" w:type="dxa"/>
          <w:left w:w="0" w:type="dxa"/>
          <w:bottom w:w="0" w:type="dxa"/>
          <w:right w:w="0" w:type="dxa"/>
        </w:tblCellMar>
      </w:tblPr>
      <w:tblGrid>
        <w:gridCol w:w="37"/>
        <w:gridCol w:w="369"/>
        <w:gridCol w:w="9799"/>
      </w:tblGrid>
      <w:tr>
        <w:trPr/>
        <w:tc>
          <w:tcPr>
            <w:tcW w:w="3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(20)</w:t>
            </w:r>
          </w:p>
        </w:tc>
        <w:tc>
          <w:tcPr>
            <w:tcW w:w="9799" w:type="dxa"/>
            <w:tcBorders/>
            <w:vAlign w:val="center"/>
          </w:tcPr>
          <w:p>
            <w:pPr>
              <w:pStyle w:val="TableContents"/>
              <w:bidi w:val="0"/>
              <w:spacing w:before="0" w:after="283"/>
              <w:jc w:val="both"/>
              <w:rPr/>
            </w:pPr>
            <w:r>
              <w:rPr/>
              <w:t>Mathew Van Alstyne may be deemed to have voting and investment power over the shares held by Light Doors LLC. The business address of such holder is 750 Lexington Avenue, 27th Floor, NY, NY 10022.</w:t>
            </w:r>
          </w:p>
        </w:tc>
      </w:tr>
    </w:tbl>
    <w:tbl>
      <w:tblPr>
        <w:tblW w:w="5000" w:type="pct"/>
        <w:jc w:val="left"/>
        <w:tblInd w:w="0" w:type="dxa"/>
        <w:tblLayout w:type="fixed"/>
        <w:tblCellMar>
          <w:top w:w="0" w:type="dxa"/>
          <w:left w:w="0" w:type="dxa"/>
          <w:bottom w:w="0" w:type="dxa"/>
          <w:right w:w="0" w:type="dxa"/>
        </w:tblCellMar>
      </w:tblPr>
      <w:tblGrid>
        <w:gridCol w:w="37"/>
        <w:gridCol w:w="407"/>
        <w:gridCol w:w="9761"/>
      </w:tblGrid>
      <w:tr>
        <w:trPr/>
        <w:tc>
          <w:tcPr>
            <w:tcW w:w="3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(21)</w:t>
            </w:r>
          </w:p>
        </w:tc>
        <w:tc>
          <w:tcPr>
            <w:tcW w:w="9761" w:type="dxa"/>
            <w:tcBorders/>
            <w:vAlign w:val="center"/>
          </w:tcPr>
          <w:p>
            <w:pPr>
              <w:pStyle w:val="TableContents"/>
              <w:bidi w:val="0"/>
              <w:spacing w:before="0" w:after="283"/>
              <w:jc w:val="both"/>
              <w:rPr/>
            </w:pPr>
            <w:r>
              <w:rPr/>
              <w:t>Represents (i) 399,944 Common Shares and (ii) 89,394 Common Shares issued upon exercise of warrants.</w:t>
            </w:r>
          </w:p>
        </w:tc>
      </w:tr>
    </w:tbl>
    <w:tbl>
      <w:tblPr>
        <w:tblW w:w="5000" w:type="pct"/>
        <w:jc w:val="left"/>
        <w:tblInd w:w="0" w:type="dxa"/>
        <w:tblLayout w:type="fixed"/>
        <w:tblCellMar>
          <w:top w:w="0" w:type="dxa"/>
          <w:left w:w="0" w:type="dxa"/>
          <w:bottom w:w="0" w:type="dxa"/>
          <w:right w:w="0" w:type="dxa"/>
        </w:tblCellMar>
      </w:tblPr>
      <w:tblGrid>
        <w:gridCol w:w="37"/>
        <w:gridCol w:w="407"/>
        <w:gridCol w:w="9761"/>
      </w:tblGrid>
      <w:tr>
        <w:trPr/>
        <w:tc>
          <w:tcPr>
            <w:tcW w:w="3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(22)</w:t>
            </w:r>
          </w:p>
        </w:tc>
        <w:tc>
          <w:tcPr>
            <w:tcW w:w="9761" w:type="dxa"/>
            <w:tcBorders/>
            <w:vAlign w:val="center"/>
          </w:tcPr>
          <w:p>
            <w:pPr>
              <w:pStyle w:val="TableContents"/>
              <w:bidi w:val="0"/>
              <w:spacing w:before="0" w:after="283"/>
              <w:jc w:val="both"/>
              <w:rPr/>
            </w:pPr>
            <w:r>
              <w:rPr/>
              <w:t>Represents (i) 300,238 Common Shares and (ii) 89,394 Common Shares issued upon exercise of warrants.</w:t>
            </w:r>
          </w:p>
        </w:tc>
      </w:tr>
    </w:tbl>
    <w:tbl>
      <w:tblPr>
        <w:tblW w:w="5000" w:type="pct"/>
        <w:jc w:val="left"/>
        <w:tblInd w:w="0" w:type="dxa"/>
        <w:tblLayout w:type="fixed"/>
        <w:tblCellMar>
          <w:top w:w="0" w:type="dxa"/>
          <w:left w:w="0" w:type="dxa"/>
          <w:bottom w:w="0" w:type="dxa"/>
          <w:right w:w="0" w:type="dxa"/>
        </w:tblCellMar>
      </w:tblPr>
      <w:tblGrid>
        <w:gridCol w:w="37"/>
        <w:gridCol w:w="407"/>
        <w:gridCol w:w="9761"/>
      </w:tblGrid>
      <w:tr>
        <w:trPr/>
        <w:tc>
          <w:tcPr>
            <w:tcW w:w="3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(23)</w:t>
            </w:r>
          </w:p>
        </w:tc>
        <w:tc>
          <w:tcPr>
            <w:tcW w:w="9761" w:type="dxa"/>
            <w:tcBorders/>
            <w:vAlign w:val="center"/>
          </w:tcPr>
          <w:p>
            <w:pPr>
              <w:pStyle w:val="TableContents"/>
              <w:bidi w:val="0"/>
              <w:spacing w:before="0" w:after="283"/>
              <w:jc w:val="both"/>
              <w:rPr/>
            </w:pPr>
            <w:r>
              <w:rPr/>
              <w:t>Represents (i) 307,144 Common Shares and (ii) 89,394 Common Shares issued upon exercise of warrants.</w:t>
            </w:r>
          </w:p>
        </w:tc>
      </w:tr>
    </w:tbl>
    <w:tbl>
      <w:tblPr>
        <w:tblW w:w="5000" w:type="pct"/>
        <w:jc w:val="left"/>
        <w:tblInd w:w="0" w:type="dxa"/>
        <w:tblLayout w:type="fixed"/>
        <w:tblCellMar>
          <w:top w:w="0" w:type="dxa"/>
          <w:left w:w="0" w:type="dxa"/>
          <w:bottom w:w="0" w:type="dxa"/>
          <w:right w:w="0" w:type="dxa"/>
        </w:tblCellMar>
      </w:tblPr>
      <w:tblGrid>
        <w:gridCol w:w="37"/>
        <w:gridCol w:w="343"/>
        <w:gridCol w:w="9825"/>
      </w:tblGrid>
      <w:tr>
        <w:trPr/>
        <w:tc>
          <w:tcPr>
            <w:tcW w:w="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(24)</w:t>
            </w:r>
          </w:p>
        </w:tc>
        <w:tc>
          <w:tcPr>
            <w:tcW w:w="9825" w:type="dxa"/>
            <w:tcBorders/>
            <w:vAlign w:val="center"/>
          </w:tcPr>
          <w:p>
            <w:pPr>
              <w:pStyle w:val="TableContents"/>
              <w:bidi w:val="0"/>
              <w:spacing w:before="0" w:after="283"/>
              <w:jc w:val="both"/>
              <w:rPr/>
            </w:pPr>
            <w:r>
              <w:rPr/>
              <w:t>Does not include 11,578,620 Common Shares issuable upon exercise of the warrant held by Allseas Group S.A. (“Allseas”). Edward Heerema, the Administrateur President of Allseas, has sole authority over Allseas. Edward Hereema, Allseas Investments S.A. (“Allseas Investments”), the majority parent of Allseas, Argentum Cedit Virtuti GCV (“ACV”), the parent of Allseas Investments, and Stichting Administratiekantoor Aequa Lance Foundation, the parent of ACV, may be deemed to have beneficial ownership of the shares owned by Allseas. The business address of such holder is 18 Route de Pra de Plan, Case Postale, 411 1618 Chatel-Saint-Denis, Switzerland. We have a strategic relationship with Allseas in connection with the development of our collection systems.</w:t>
            </w:r>
          </w:p>
        </w:tc>
      </w:tr>
    </w:tbl>
    <w:tbl>
      <w:tblPr>
        <w:tblW w:w="5000" w:type="pct"/>
        <w:jc w:val="left"/>
        <w:tblInd w:w="0" w:type="dxa"/>
        <w:tblLayout w:type="fixed"/>
        <w:tblCellMar>
          <w:top w:w="0" w:type="dxa"/>
          <w:left w:w="0" w:type="dxa"/>
          <w:bottom w:w="0" w:type="dxa"/>
          <w:right w:w="0" w:type="dxa"/>
        </w:tblCellMar>
      </w:tblPr>
      <w:tblGrid>
        <w:gridCol w:w="37"/>
        <w:gridCol w:w="343"/>
        <w:gridCol w:w="9825"/>
      </w:tblGrid>
      <w:tr>
        <w:trPr/>
        <w:tc>
          <w:tcPr>
            <w:tcW w:w="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(25)</w:t>
            </w:r>
          </w:p>
        </w:tc>
        <w:tc>
          <w:tcPr>
            <w:tcW w:w="9825" w:type="dxa"/>
            <w:tcBorders/>
            <w:vAlign w:val="center"/>
          </w:tcPr>
          <w:p>
            <w:pPr>
              <w:pStyle w:val="TableContents"/>
              <w:bidi w:val="0"/>
              <w:spacing w:before="0" w:after="283"/>
              <w:jc w:val="both"/>
              <w:rPr/>
            </w:pPr>
            <w:r>
              <w:rPr/>
              <w:t>Represents (i) 14,639,239 Common Shares, (ii) 4,078,044 Common Shares that are issuable upon exercise of options that are exercisable within 60 days of August 31, 2022, and (iii)</w:t>
            </w:r>
            <w:r>
              <w:rPr>
                <w:shd w:fill="FFFFFF" w:val="clear"/>
              </w:rPr>
              <w:t> 89,394 Common Shares underlying warrants</w:t>
            </w:r>
            <w:r>
              <w:rPr/>
              <w:t>. Does not include (i) up to 781,250 restricted stock units, each representing the right to receive one Common Share upon vesting, which vest in three equal annual installments beginning on November 22, 2022 and ending on November 22, 2024 and (ii)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tc>
      </w:tr>
    </w:tbl>
    <w:tbl>
      <w:tblPr>
        <w:tblW w:w="5000" w:type="pct"/>
        <w:jc w:val="left"/>
        <w:tblInd w:w="0" w:type="dxa"/>
        <w:tblLayout w:type="fixed"/>
        <w:tblCellMar>
          <w:top w:w="0" w:type="dxa"/>
          <w:left w:w="0" w:type="dxa"/>
          <w:bottom w:w="0" w:type="dxa"/>
          <w:right w:w="0" w:type="dxa"/>
        </w:tblCellMar>
      </w:tblPr>
      <w:tblGrid>
        <w:gridCol w:w="37"/>
        <w:gridCol w:w="351"/>
        <w:gridCol w:w="9817"/>
      </w:tblGrid>
      <w:tr>
        <w:trPr/>
        <w:tc>
          <w:tcPr>
            <w:tcW w:w="3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(26)</w:t>
            </w:r>
          </w:p>
        </w:tc>
        <w:tc>
          <w:tcPr>
            <w:tcW w:w="9817" w:type="dxa"/>
            <w:tcBorders/>
            <w:vAlign w:val="center"/>
          </w:tcPr>
          <w:p>
            <w:pPr>
              <w:pStyle w:val="TableContents"/>
              <w:bidi w:val="0"/>
              <w:spacing w:before="0" w:after="283"/>
              <w:jc w:val="both"/>
              <w:rPr/>
            </w:pPr>
            <w:r>
              <w:rPr/>
              <w:t>Represents (i) 51,955,976 Common Shares and (ii) 1,414,716 Common Shares issuable upon exercise of warrants owned by ERAS Capital LLC (“ERAS”). Andrei Karkar has voting and dispositive control over the securities held by ERAS and therefore Mr. Karkar may be deemed to have beneficial ownership of the shares held by ERAS. The business address of such holder is 323 Marina Blvd, San Francisco, CA 94123-1213.</w:t>
            </w:r>
          </w:p>
        </w:tc>
      </w:tr>
    </w:tbl>
    <w:tbl>
      <w:tblPr>
        <w:tblW w:w="5000" w:type="pct"/>
        <w:jc w:val="left"/>
        <w:tblInd w:w="0" w:type="dxa"/>
        <w:tblLayout w:type="fixed"/>
        <w:tblCellMar>
          <w:top w:w="0" w:type="dxa"/>
          <w:left w:w="0" w:type="dxa"/>
          <w:bottom w:w="0" w:type="dxa"/>
          <w:right w:w="0" w:type="dxa"/>
        </w:tblCellMar>
      </w:tblPr>
      <w:tblGrid>
        <w:gridCol w:w="37"/>
        <w:gridCol w:w="352"/>
        <w:gridCol w:w="9816"/>
      </w:tblGrid>
      <w:tr>
        <w:trPr/>
        <w:tc>
          <w:tcPr>
            <w:tcW w:w="3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pPr>
            <w:r>
              <w:rPr/>
              <w:t>(27)</w:t>
            </w:r>
          </w:p>
        </w:tc>
        <w:tc>
          <w:tcPr>
            <w:tcW w:w="9816" w:type="dxa"/>
            <w:tcBorders/>
            <w:vAlign w:val="center"/>
          </w:tcPr>
          <w:p>
            <w:pPr>
              <w:pStyle w:val="TableContents"/>
              <w:bidi w:val="0"/>
              <w:spacing w:before="0" w:after="283"/>
              <w:jc w:val="both"/>
              <w:rPr/>
            </w:pPr>
            <w:r>
              <w:rPr/>
              <w:t>Mathew Van Alstyne may be deemed to have voting and investment power over the shares held by Odeon Capital Group LLC. The business address of such holder is 750 Lexington Avenue, 27th Floor, NY, NY 10022. The Common Shares being offered were issued by us in connection with advisory services rendered to us related to the issuance of the Common Shares pursuant to the Purchaser Agreement.</w:t>
            </w:r>
          </w:p>
        </w:tc>
      </w:tr>
    </w:tbl>
    <w:tbl>
      <w:tblPr>
        <w:tblW w:w="5000" w:type="pct"/>
        <w:jc w:val="left"/>
        <w:tblInd w:w="0" w:type="dxa"/>
        <w:tblLayout w:type="fixed"/>
        <w:tblCellMar>
          <w:top w:w="0" w:type="dxa"/>
          <w:left w:w="0" w:type="dxa"/>
          <w:bottom w:w="0" w:type="dxa"/>
          <w:right w:w="0" w:type="dxa"/>
        </w:tblCellMar>
      </w:tblPr>
      <w:tblGrid>
        <w:gridCol w:w="37"/>
        <w:gridCol w:w="360"/>
        <w:gridCol w:w="9808"/>
      </w:tblGrid>
      <w:tr>
        <w:trPr/>
        <w:tc>
          <w:tcPr>
            <w:tcW w:w="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(28)</w:t>
            </w:r>
          </w:p>
        </w:tc>
        <w:tc>
          <w:tcPr>
            <w:tcW w:w="9808" w:type="dxa"/>
            <w:tcBorders/>
            <w:vAlign w:val="center"/>
          </w:tcPr>
          <w:p>
            <w:pPr>
              <w:pStyle w:val="TableContents"/>
              <w:bidi w:val="0"/>
              <w:spacing w:before="0" w:after="283"/>
              <w:jc w:val="both"/>
              <w:rPr/>
            </w:pPr>
            <w:r>
              <w:rPr/>
              <w:t>The business address of such holder is 785 Fifth Avenue, Apt. 11-C, New York, NY 10022. The Common Shares being offered were issued by us in connection with advisory services rendered to us related to the issuance of the Common Shares pursuant to the Purchaser Agreement.</w:t>
            </w:r>
          </w:p>
        </w:tc>
      </w:tr>
    </w:tbl>
    <w:tbl>
      <w:tblPr>
        <w:tblW w:w="5000" w:type="pct"/>
        <w:jc w:val="left"/>
        <w:tblInd w:w="0" w:type="dxa"/>
        <w:tblLayout w:type="fixed"/>
        <w:tblCellMar>
          <w:top w:w="0" w:type="dxa"/>
          <w:left w:w="0" w:type="dxa"/>
          <w:bottom w:w="0" w:type="dxa"/>
          <w:right w:w="0" w:type="dxa"/>
        </w:tblCellMar>
      </w:tblPr>
      <w:tblGrid>
        <w:gridCol w:w="37"/>
        <w:gridCol w:w="360"/>
        <w:gridCol w:w="9808"/>
      </w:tblGrid>
      <w:tr>
        <w:trPr/>
        <w:tc>
          <w:tcPr>
            <w:tcW w:w="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(29)</w:t>
            </w:r>
          </w:p>
        </w:tc>
        <w:tc>
          <w:tcPr>
            <w:tcW w:w="9808" w:type="dxa"/>
            <w:tcBorders/>
            <w:vAlign w:val="center"/>
          </w:tcPr>
          <w:p>
            <w:pPr>
              <w:pStyle w:val="TableContents"/>
              <w:bidi w:val="0"/>
              <w:spacing w:before="0" w:after="283"/>
              <w:jc w:val="both"/>
              <w:rPr/>
            </w:pPr>
            <w:r>
              <w:rPr/>
              <w:t>The business address of such holder is 54 Morton Street, Apt 4F, New York, NY 10014. The Common Shares being offered were issued by us in connection with advisory services rendered to us related to the issuance of the Common Shares pursuant to the Purchaser Agreement.</w:t>
            </w:r>
          </w:p>
        </w:tc>
      </w:tr>
    </w:tbl>
    <w:tbl>
      <w:tblPr>
        <w:tblW w:w="5000" w:type="pct"/>
        <w:jc w:val="left"/>
        <w:tblInd w:w="0" w:type="dxa"/>
        <w:tblLayout w:type="fixed"/>
        <w:tblCellMar>
          <w:top w:w="0" w:type="dxa"/>
          <w:left w:w="0" w:type="dxa"/>
          <w:bottom w:w="0" w:type="dxa"/>
          <w:right w:w="0" w:type="dxa"/>
        </w:tblCellMar>
      </w:tblPr>
      <w:tblGrid>
        <w:gridCol w:w="37"/>
        <w:gridCol w:w="360"/>
        <w:gridCol w:w="9808"/>
      </w:tblGrid>
      <w:tr>
        <w:trPr/>
        <w:tc>
          <w:tcPr>
            <w:tcW w:w="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(30)</w:t>
            </w:r>
          </w:p>
        </w:tc>
        <w:tc>
          <w:tcPr>
            <w:tcW w:w="9808" w:type="dxa"/>
            <w:tcBorders/>
            <w:vAlign w:val="center"/>
          </w:tcPr>
          <w:p>
            <w:pPr>
              <w:pStyle w:val="TableContents"/>
              <w:bidi w:val="0"/>
              <w:spacing w:before="0" w:after="283"/>
              <w:jc w:val="both"/>
              <w:rPr/>
            </w:pPr>
            <w:r>
              <w:rPr/>
              <w:t>The business address of such holder is 3600 North Lake Blvd, #186, Tahoe City, CA 96145. The Common Shares being offered were issued by us in connection with advisory services rendered to us related to the issuance of the Common Shares pursuant to the Purchaser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na_005"/>
      <w:bookmarkEnd w:id="2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shareholders may offer securities under this prospectus from time to time pursuant to underwritten public offerings, negotiated transactions, block trades or a combination of these methods or any of the following:</w:t>
      </w:r>
    </w:p>
    <w:p>
      <w:pPr>
        <w:pStyle w:val="TextBody"/>
        <w:bidi w:val="0"/>
        <w:spacing w:before="0" w:after="0"/>
        <w:ind w:left="0" w:right="0" w:hanging="0"/>
        <w:jc w:val="left"/>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125"/>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960" w:type="dxa"/>
            <w:tcBorders/>
            <w:vAlign w:val="center"/>
          </w:tcPr>
          <w:p>
            <w:pPr>
              <w:pStyle w:val="TableContents"/>
              <w:bidi w:val="0"/>
              <w:spacing w:before="0" w:after="283"/>
              <w:jc w:val="both"/>
              <w:rPr/>
            </w:pPr>
            <w:r>
              <w:rPr/>
              <w:t>ordinary brokerage transactions and transactions in which the broker-dealer solicits purchasers;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block trades in which the broker-dealer will attempt to sell the shares as agent but may position and resell a portion of the block as principal to facilitate the transaction;</w:t>
            </w:r>
          </w:p>
        </w:tc>
      </w:tr>
    </w:tbl>
    <w:tbl>
      <w:tblPr>
        <w:tblW w:w="8478" w:type="dxa"/>
        <w:jc w:val="left"/>
        <w:tblInd w:w="0" w:type="dxa"/>
        <w:tblLayout w:type="fixed"/>
        <w:tblCellMar>
          <w:top w:w="0" w:type="dxa"/>
          <w:left w:w="0" w:type="dxa"/>
          <w:bottom w:w="0" w:type="dxa"/>
          <w:right w:w="0" w:type="dxa"/>
        </w:tblCellMar>
      </w:tblPr>
      <w:tblGrid>
        <w:gridCol w:w="38"/>
        <w:gridCol w:w="125"/>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315" w:type="dxa"/>
            <w:tcBorders/>
            <w:vAlign w:val="center"/>
          </w:tcPr>
          <w:p>
            <w:pPr>
              <w:pStyle w:val="TableContents"/>
              <w:bidi w:val="0"/>
              <w:spacing w:before="0" w:after="283"/>
              <w:jc w:val="both"/>
              <w:rPr/>
            </w:pPr>
            <w:r>
              <w:rPr/>
              <w:t>purchases by a broker-dealer as principal and resale by the broker-dealer for its account;</w:t>
            </w:r>
          </w:p>
        </w:tc>
      </w:tr>
    </w:tbl>
    <w:tbl>
      <w:tblPr>
        <w:tblW w:w="7848" w:type="dxa"/>
        <w:jc w:val="left"/>
        <w:tblInd w:w="0" w:type="dxa"/>
        <w:tblLayout w:type="fixed"/>
        <w:tblCellMar>
          <w:top w:w="0" w:type="dxa"/>
          <w:left w:w="0" w:type="dxa"/>
          <w:bottom w:w="0" w:type="dxa"/>
          <w:right w:w="0" w:type="dxa"/>
        </w:tblCellMar>
      </w:tblPr>
      <w:tblGrid>
        <w:gridCol w:w="38"/>
        <w:gridCol w:w="125"/>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685" w:type="dxa"/>
            <w:tcBorders/>
            <w:vAlign w:val="center"/>
          </w:tcPr>
          <w:p>
            <w:pPr>
              <w:pStyle w:val="TableContents"/>
              <w:bidi w:val="0"/>
              <w:spacing w:before="0" w:after="283"/>
              <w:jc w:val="both"/>
              <w:rPr/>
            </w:pPr>
            <w:r>
              <w:rPr/>
              <w:t>an exchange distribution in accordance with the rules of the applicable exchange;</w:t>
            </w:r>
          </w:p>
        </w:tc>
      </w:tr>
    </w:tbl>
    <w:tbl>
      <w:tblPr>
        <w:tblW w:w="3288" w:type="dxa"/>
        <w:jc w:val="left"/>
        <w:tblInd w:w="0" w:type="dxa"/>
        <w:tblLayout w:type="fixed"/>
        <w:tblCellMar>
          <w:top w:w="0" w:type="dxa"/>
          <w:left w:w="0" w:type="dxa"/>
          <w:bottom w:w="0" w:type="dxa"/>
          <w:right w:w="0" w:type="dxa"/>
        </w:tblCellMar>
      </w:tblPr>
      <w:tblGrid>
        <w:gridCol w:w="38"/>
        <w:gridCol w:w="125"/>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125" w:type="dxa"/>
            <w:tcBorders/>
            <w:vAlign w:val="center"/>
          </w:tcPr>
          <w:p>
            <w:pPr>
              <w:pStyle w:val="TableContents"/>
              <w:bidi w:val="0"/>
              <w:spacing w:before="0" w:after="283"/>
              <w:jc w:val="both"/>
              <w:rPr/>
            </w:pPr>
            <w:r>
              <w:rPr/>
              <w:t>privately negotiated transactions;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settlement of short sales entered into after the effective date of the registration statement of which this prospectus is a part;</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broker-dealers may agree with the selling shareholders to sell a specified number of such shares at a stipulated price per share;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through the writing or settlement of options or other hedging transactions, whether such options are listed on an options exchange or otherwise;</w:t>
            </w:r>
          </w:p>
        </w:tc>
      </w:tr>
    </w:tbl>
    <w:tbl>
      <w:tblPr>
        <w:tblW w:w="4683" w:type="dxa"/>
        <w:jc w:val="left"/>
        <w:tblInd w:w="0" w:type="dxa"/>
        <w:tblLayout w:type="fixed"/>
        <w:tblCellMar>
          <w:top w:w="0" w:type="dxa"/>
          <w:left w:w="0" w:type="dxa"/>
          <w:bottom w:w="0" w:type="dxa"/>
          <w:right w:w="0" w:type="dxa"/>
        </w:tblCellMar>
      </w:tblPr>
      <w:tblGrid>
        <w:gridCol w:w="38"/>
        <w:gridCol w:w="125"/>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520" w:type="dxa"/>
            <w:tcBorders/>
            <w:vAlign w:val="center"/>
          </w:tcPr>
          <w:p>
            <w:pPr>
              <w:pStyle w:val="TableContents"/>
              <w:bidi w:val="0"/>
              <w:spacing w:before="0" w:after="283"/>
              <w:jc w:val="both"/>
              <w:rPr/>
            </w:pPr>
            <w:r>
              <w:rPr/>
              <w:t>a combination of any such methods of sale; and</w:t>
            </w:r>
          </w:p>
        </w:tc>
      </w:tr>
    </w:tbl>
    <w:tbl>
      <w:tblPr>
        <w:tblW w:w="5388" w:type="dxa"/>
        <w:jc w:val="left"/>
        <w:tblInd w:w="0" w:type="dxa"/>
        <w:tblLayout w:type="fixed"/>
        <w:tblCellMar>
          <w:top w:w="0" w:type="dxa"/>
          <w:left w:w="0" w:type="dxa"/>
          <w:bottom w:w="0" w:type="dxa"/>
          <w:right w:w="0" w:type="dxa"/>
        </w:tblCellMar>
      </w:tblPr>
      <w:tblGrid>
        <w:gridCol w:w="38"/>
        <w:gridCol w:w="125"/>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225" w:type="dxa"/>
            <w:tcBorders/>
            <w:vAlign w:val="center"/>
          </w:tcPr>
          <w:p>
            <w:pPr>
              <w:pStyle w:val="TableContents"/>
              <w:bidi w:val="0"/>
              <w:spacing w:before="0" w:after="283"/>
              <w:jc w:val="both"/>
              <w:rPr/>
            </w:pPr>
            <w:r>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shareholders may sell the securities (1) through underwriters or dealers, (2) through agents or (3) directly to one or more purchasers, or through a combination of such methods. We or the selling shareholders may distribute the securities on any national securities exchange or quotation service on which the securities may be listed or quoted at the time of sale, in the over-the-counter market or in transactions otherwise than on these exchanges or systems or in the over-the-counter market from time to time in one or more transactions at:</w:t>
      </w:r>
    </w:p>
    <w:p>
      <w:pPr>
        <w:pStyle w:val="TextBody"/>
        <w:bidi w:val="0"/>
        <w:spacing w:before="0" w:after="0"/>
        <w:ind w:left="0" w:right="0" w:hanging="0"/>
        <w:jc w:val="left"/>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125"/>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125" w:type="dxa"/>
            <w:tcBorders/>
            <w:vAlign w:val="center"/>
          </w:tcPr>
          <w:p>
            <w:pPr>
              <w:pStyle w:val="TableContents"/>
              <w:bidi w:val="0"/>
              <w:spacing w:before="0" w:after="283"/>
              <w:jc w:val="left"/>
              <w:rPr/>
            </w:pPr>
            <w:r>
              <w:rPr/>
              <w:t>a fixed price or prices, which may be changed from time to time;</w:t>
            </w:r>
          </w:p>
        </w:tc>
      </w:tr>
    </w:tbl>
    <w:tbl>
      <w:tblPr>
        <w:tblW w:w="4233" w:type="dxa"/>
        <w:jc w:val="left"/>
        <w:tblInd w:w="0" w:type="dxa"/>
        <w:tblLayout w:type="fixed"/>
        <w:tblCellMar>
          <w:top w:w="0" w:type="dxa"/>
          <w:left w:w="0" w:type="dxa"/>
          <w:bottom w:w="0" w:type="dxa"/>
          <w:right w:w="0" w:type="dxa"/>
        </w:tblCellMar>
      </w:tblPr>
      <w:tblGrid>
        <w:gridCol w:w="38"/>
        <w:gridCol w:w="125"/>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070" w:type="dxa"/>
            <w:tcBorders/>
            <w:vAlign w:val="center"/>
          </w:tcPr>
          <w:p>
            <w:pPr>
              <w:pStyle w:val="TableContents"/>
              <w:bidi w:val="0"/>
              <w:spacing w:before="0" w:after="283"/>
              <w:jc w:val="left"/>
              <w:rPr/>
            </w:pPr>
            <w:r>
              <w:rPr/>
              <w:t>market prices prevailing at the time of sale;</w:t>
            </w:r>
          </w:p>
        </w:tc>
      </w:tr>
    </w:tbl>
    <w:tbl>
      <w:tblPr>
        <w:tblW w:w="4668" w:type="dxa"/>
        <w:jc w:val="left"/>
        <w:tblInd w:w="0" w:type="dxa"/>
        <w:tblLayout w:type="fixed"/>
        <w:tblCellMar>
          <w:top w:w="0" w:type="dxa"/>
          <w:left w:w="0" w:type="dxa"/>
          <w:bottom w:w="0" w:type="dxa"/>
          <w:right w:w="0" w:type="dxa"/>
        </w:tblCellMar>
      </w:tblPr>
      <w:tblGrid>
        <w:gridCol w:w="38"/>
        <w:gridCol w:w="125"/>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505" w:type="dxa"/>
            <w:tcBorders/>
            <w:vAlign w:val="center"/>
          </w:tcPr>
          <w:p>
            <w:pPr>
              <w:pStyle w:val="TableContents"/>
              <w:bidi w:val="0"/>
              <w:spacing w:before="0" w:after="283"/>
              <w:jc w:val="left"/>
              <w:rPr/>
            </w:pPr>
            <w:r>
              <w:rPr/>
              <w:t>prices related to the prevailing market prices; or</w:t>
            </w:r>
          </w:p>
        </w:tc>
      </w:tr>
    </w:tbl>
    <w:tbl>
      <w:tblPr>
        <w:tblW w:w="1848" w:type="dxa"/>
        <w:jc w:val="left"/>
        <w:tblInd w:w="0" w:type="dxa"/>
        <w:tblLayout w:type="fixed"/>
        <w:tblCellMar>
          <w:top w:w="0" w:type="dxa"/>
          <w:left w:w="0" w:type="dxa"/>
          <w:bottom w:w="0" w:type="dxa"/>
          <w:right w:w="0" w:type="dxa"/>
        </w:tblCellMar>
      </w:tblPr>
      <w:tblGrid>
        <w:gridCol w:w="38"/>
        <w:gridCol w:w="125"/>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685" w:type="dxa"/>
            <w:tcBorders/>
            <w:vAlign w:val="center"/>
          </w:tcPr>
          <w:p>
            <w:pPr>
              <w:pStyle w:val="TableContents"/>
              <w:bidi w:val="0"/>
              <w:spacing w:before="0" w:after="283"/>
              <w:jc w:val="left"/>
              <w:rPr/>
            </w:pPr>
            <w:r>
              <w:rPr/>
              <w:t>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the selling shareholders utilize a dealer in the sale of the securities being offered by this prospectus, we or the selling shareholders, as applicable, will sell the securities to the dealer, as principal. The dealer may then resell the securities to the public at varying prices to be determined by the dealer at the time of resale.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underwriter is used in the sale of the securities being offered by this prospectus, an underwriting agreement will be executed with the underwriter at the time of sale, and the name of any underwriter will be provided in any prospectus supplement, if required, which the underwriter will use to make resales of the securities to the public. In connection with the sale of the securities, we or the selling shareholders,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underwritten public offerings, negotiated transactions and block trades, we or the selling shareholders, if required, will provide in the applicable prospectus supplement information regarding any compensation paid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or the selling securities may enter into agreements to indemnify underwriters, dealers and agents against civil liabilities, including liabilities under the Securities Act, or to contribute to payments they may be required to make in respect thereof. To the extent required by the Purchase Agreements, we have agreed to indemnify certain of the selling shareholders against liabilities, including liabilities under the Securities Act and state securities laws, relating to the registration of certain of the shares offered by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a prospectus supplement, if required, we or the selling shareholders will authorize the underwriters, dealers or other persons acting as our agents to solicit offers by certain institutions to purchase securities from us pursuant to delayed delivery contracts providing for payment and delivery on the date stated in each applicable prospectus supplement, if required.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purchase by an institution of the securities covered under that contract shall not at the time of delivery be prohibited under the laws of the jurisdiction to which that institution is subject; and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firms, referred to as “remarketing firms,” may also offer or sell the securities, if a prospectus supplement, if required,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if required,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underwriters may use this prospectus and any accompanying prospectus supplement, if required, for offers and sales related to market-making transactions in the securities. These underwriters may act as principal or agent in these transactions, and the sales will be made at prices related to prevailing market prices at the time of sale. Any selling shareholders and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 Selling shareholders who are “underwriters” within the meaning of Section 2(a)(11) of the Securities Act will be subject to the prospectus delivery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sold pursuant to the registration statement of which this prospectus is a part will be authorized for listing and trading on The Nasdaq Stock Market. The applicable prospectus supplement, if required, will contain information, where applicable, as to any other listing, if any, on The Nasdaq Stock Market or any securities market or other securities exchange of the securities covered by the prospectus supplement. Underwriters may make a market in our Common Shares, but will not be obligated to do so and may discontinue any market making at any time without notice. We can make no assurance as to the liquidity of or the existence, development or maintenance of trading markets for any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may engage in other transactions with us, or perform other services for us, in the ordinary course of their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also may resell all or a portion of the shares in open market transactions in reliance upon Rule 144 under the Securities Act, as permitted by that rule, or Section 4(1) under the Securities Act, if available, rather than under this prospectus, provided that they meet the criteria and conform to the requirements of those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shareholders may arrange for other broker-dealers to participate in sales. If the selling shareholders effect such transactions by selling Common Shares to or through underwriters, broker-dealers or agents, such underwriters, broker-dealers or agents may receive commissions in the form of discounts, concessions or commissions from the selling shareholders or commissions from purchasers of the Common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5110.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sales of the Common Shares or otherwise, the selling shareholders may enter into hedging transactions with broker-dealers or other financial institutions, which may in turn engage in short sales of the Common Shares in the course of hedging in positions they assume. The selling shareholders may also sell Common Shares short and if such short sale shall take place after the effective date of this registration statement, the selling shareholders may deliver Common Shares covered by this prospectus to close out short positions and to return borrowed shares in connection with such short sales. The selling shareholders may also loan or pledge Common Shares to broker-dealers that in turn may sell such shares, to the extent permitted by applicable law. The selling shareholders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if required). Notwithstanding the foregoing, the selling shareholders have been advised that they may not use shares registered on this registration statement to cover short sales of Common Shares made prior to the effective date of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from time to time, pledge or grant a security interest in some or all of the Common Shares owned by them and, if they default in the performance of their secured obligations, the pledgees or secured parties may offer and sell the Common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shareholders also may transfer and donate the Common Shares in other circumstances in which case the transferees, donees, pledgees or other successors in interest will be the selling beneficial owners for purposes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shareholder has informed the Company that it is not a registered broker-dealer and does not have any written or oral agreement or understanding, directly or indirectly, with any person to distribute the Common Shares. Upon the Company being notified in writing by a selling shareholders that any material arrangement has been entered into with a broker-dealer for the sale of Common Shares through a block trade, special offering, exchange distribution or secondary distribution or a purchase by a broker or dealer, a supplement to this prospectus will be filed, if required, pursuant to Rule 424(b) under the Securities Act, disclosing (i) the name of each such selling shareholders and of the participating broker-dealer(s), (ii) the number of shares involved, (iii) the price at which such the Common Shares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Common Shares may be sold in such states only through registered or licensed brokers or dealers. In addition, in some states the Common Shares may not be sold unless such shares have been registered or qualified for sale in such state or an exemption from registration or qualification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shareholders will sell any or all of the Common Shares registered pursuant to the shelf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shareholder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Common Shares by the selling shareholders and any other participating person. Regulation M may also restrict the ability of any person engaged in the distribution of the Common Shares to engage in market-making activities with respect to the Common Shares. All of the foregoing may affect the marketability of the Common Shares and the ability of any person or entity to engage in market-making activities with respect to the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Common Shares pursuant to the Purchase Agreements, including, without limitation, SEC filing fees and expenses of compliance with state securities or “blue sky” laws; provided, however, that each selling shareholder will pay all underwriting discounts and selling commissions, if any. We will indemnify the selling shareholders against certain liabilities, including some liabilities under the Securities Act, in accordance with the Purchase Agreements, or the selling shareholders will be entitled to contribution. We may be indemnified by the selling shareholders against civil liabilities, including liabilities under the Securities Act, that may arise from any written information furnished to us by the selling shareholders specifically for use in this prospectus, in accordance with the Purchase Agreements, or we may be entitled to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na_006"/>
      <w:bookmarkEnd w:id="22"/>
      <w:r>
        <w:rPr>
          <w:rFonts w:ascii="Times New Roman;Times;Serif" w:hAnsi="Times New Roman;Times;Serif"/>
          <w:b/>
          <w:i w:val="false"/>
          <w:caps w:val="false"/>
          <w:smallCaps w:val="false"/>
          <w:sz w:val="20"/>
        </w:rPr>
        <w:t>DESCRIPTION OF COMMON SHARES AND 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consists of (a) an unlimited number of Common Shares, (b) an unlimited number of preferred shares, issuable in series, (c) 5,000,000 Class A Special Shares, (d) 10,000,000 Class B Special Shares, (e) 10,000,000 Class C Special Shares, (f) 20,000,000 Class D Special Shares, (g) 20,000,000 Class E Special Shares, (h) 20,000,000 Class F Special Shares, (i) 25,000,000 Class G Special Shares, (j) 25,000,000 Class H Special Shares, (k) 500,000 Class I Special Shares, and (l) 741,000 Class J Special Shares, each without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certain provisions of our Common Shares and Special Shares do not purport to be complete. You should refer to the section of this prospectus entitled “Certain Important Provisions of The Notice of Articles and Articles and the BCBCA”, “Ownership and Exchange Controls” and our notice of articles and articles, both of which are included as exhibits to the registration statement of which this prospectus is a part. The summaries below are also qualified by provisions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2022, there were 265,529,989 Common Shares issued and outstanding. As of September 30, 2022, we had approximately 125 record holders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Common Shares are entitled to one (1) vote per share on all matters upon which holders of shares are entitled to vote. Subject to the </w:t>
      </w:r>
      <w:r>
        <w:rPr>
          <w:rFonts w:ascii="Times New Roman;Times;Serif" w:hAnsi="Times New Roman;Times;Serif"/>
          <w:b w:val="false"/>
          <w:i/>
          <w:caps w:val="false"/>
          <w:smallCaps w:val="false"/>
          <w:sz w:val="20"/>
        </w:rPr>
        <w:t xml:space="preserve">Business Corporations Act </w:t>
      </w:r>
      <w:r>
        <w:rPr>
          <w:rFonts w:ascii="Times New Roman;Times;Serif" w:hAnsi="Times New Roman;Times;Serif"/>
          <w:b w:val="false"/>
          <w:i w:val="false"/>
          <w:caps w:val="false"/>
          <w:smallCaps w:val="false"/>
          <w:sz w:val="20"/>
        </w:rPr>
        <w:t>(British Columbia), or the BCBCA, and prior rights of the holders of preferred shares and any other class ranking senior to the Common Shares, the holders of Common Shares are entitled to receive dividends as, if and when declared by the board of directors. Subject to the prior rights of the holders of Special Shares and preferred shares, and any other class ranking senior to the Common Shares, in the event of our liquidation, dissolution or winding-up or other distribution of our assets among our shareholders, the holders of Common Shares will be entitled to share pro rata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of articles and articles requiring holders of Common Shares to contribute additional capital, or permitting or restricting the issuance of additional securities of authorized share capital or any other material restrictions. The special rights or restrictions attached to Common Shares are subject to and may be adversely affected by, the rights attached to any series of preferred shares that the board of directors may designate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Common Shares is Continental Stock Transfer &amp;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for trading on the Nasdaq Global Select Market under the symbol “TMC”.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2022, there were issued and outstanding (a) 4,999,973 Class A Special Shares, (b) 9,999,853 Class B Special Shares, (c) 9,999,853 Class C Special Shares, (d) 19,999,855 Class D Special Shares, (e) 19,999,855 Class E Special Shares, (f) 19,999,855 Class F Special Shares, (g) 24,999,860 Class G Special Shares, (h) 24,999,860 Class H Special Shares, (i) 500,000 Class I Special Shares and (j) 741,000 Class J 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or the Redemption Price. Holders of Special Shares have no pre-emptive or exchange rights or other subscription rights. There is no provision in our notice of articles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Our notice of articles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our notice or articles and articles, referred to herein as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BCBCA, any Special Shares then outstanding shall be redeemed by us without any action on the part of the holders of Special Shares (i) at any time after the 15th year anniversary of the original issue date of the Special Shares or (ii) at any time after a Change of Control, in each case at the Redemption Price. For the purposes of our notice of articles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our shareholders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our capital or similar interest us (including any stock appreciation, phantom stock, profit participation or similar rights), and any option, warrant, right or security (including debt securities) convertible, exchangeable or exercisable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Shares will automatically convert into Common Shares on a one (1) for one (1) basis (unless adjusted as described below) upon the occurrence of the following events: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na_007"/>
      <w:bookmarkEnd w:id="23"/>
      <w:r>
        <w:rPr>
          <w:rFonts w:ascii="Times New Roman;Times;Serif" w:hAnsi="Times New Roman;Times;Serif"/>
          <w:b/>
          <w:i w:val="false"/>
          <w:caps w:val="false"/>
          <w:smallCaps w:val="false"/>
          <w:sz w:val="20"/>
        </w:rPr>
        <w:t>DESCRIPTION OF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preferred shares and the description of the terms of any particular series of preferred shares that we choose to issue hereunder are not complete. These descriptions are qualified in their entirety by reference to notice of articles and articles, both of which are included as exhibits to the registration statement of which this prospectus is a part.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an unlimited number of preferred shares, issuable in series. Accordingly, the board of directors is authorized, without shareholder approval but subject to the provisions of the BCBCA and notice of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preferred shares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na_008"/>
      <w:bookmarkEnd w:id="24"/>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each prospectus supplement the following terms relating to a series of debt securities:</w:t>
      </w:r>
    </w:p>
    <w:p>
      <w:pPr>
        <w:pStyle w:val="TextBody"/>
        <w:bidi w:val="0"/>
        <w:spacing w:before="0" w:after="0"/>
        <w:ind w:left="0" w:right="0" w:hanging="0"/>
        <w:jc w:val="left"/>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125"/>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180" w:type="dxa"/>
            <w:tcBorders/>
            <w:vAlign w:val="center"/>
          </w:tcPr>
          <w:p>
            <w:pPr>
              <w:pStyle w:val="TableContents"/>
              <w:bidi w:val="0"/>
              <w:spacing w:before="0" w:after="283"/>
              <w:jc w:val="both"/>
              <w:rPr/>
            </w:pPr>
            <w:r>
              <w:rPr/>
              <w:t>the title or designation;</w:t>
            </w:r>
          </w:p>
        </w:tc>
      </w:tr>
    </w:tbl>
    <w:tbl>
      <w:tblPr>
        <w:tblW w:w="7668" w:type="dxa"/>
        <w:jc w:val="left"/>
        <w:tblInd w:w="0" w:type="dxa"/>
        <w:tblLayout w:type="fixed"/>
        <w:tblCellMar>
          <w:top w:w="0" w:type="dxa"/>
          <w:left w:w="0" w:type="dxa"/>
          <w:bottom w:w="0" w:type="dxa"/>
          <w:right w:w="0" w:type="dxa"/>
        </w:tblCellMar>
      </w:tblPr>
      <w:tblGrid>
        <w:gridCol w:w="38"/>
        <w:gridCol w:w="125"/>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505" w:type="dxa"/>
            <w:tcBorders/>
            <w:vAlign w:val="center"/>
          </w:tcPr>
          <w:p>
            <w:pPr>
              <w:pStyle w:val="TableContents"/>
              <w:bidi w:val="0"/>
              <w:spacing w:before="0" w:after="283"/>
              <w:jc w:val="both"/>
              <w:rPr/>
            </w:pPr>
            <w:r>
              <w:rPr/>
              <w:t>the aggregate principal amount and any limit on the amount that may be issued;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currency or units based on or relating to currencies in which debt securities of such series are denominated and the currency or units in which principal or interest or both will or may be payable;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whether we will issue the series of debt securities in global form, the terms of any global securities and who the depositary will be;</w:t>
            </w:r>
          </w:p>
        </w:tc>
      </w:tr>
    </w:tbl>
    <w:tbl>
      <w:tblPr>
        <w:tblW w:w="7158" w:type="dxa"/>
        <w:jc w:val="left"/>
        <w:tblInd w:w="0" w:type="dxa"/>
        <w:tblLayout w:type="fixed"/>
        <w:tblCellMar>
          <w:top w:w="0" w:type="dxa"/>
          <w:left w:w="0" w:type="dxa"/>
          <w:bottom w:w="0" w:type="dxa"/>
          <w:right w:w="0" w:type="dxa"/>
        </w:tblCellMar>
      </w:tblPr>
      <w:tblGrid>
        <w:gridCol w:w="38"/>
        <w:gridCol w:w="125"/>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995" w:type="dxa"/>
            <w:tcBorders/>
            <w:vAlign w:val="center"/>
          </w:tcPr>
          <w:p>
            <w:pPr>
              <w:pStyle w:val="TableContents"/>
              <w:bidi w:val="0"/>
              <w:spacing w:before="0" w:after="283"/>
              <w:jc w:val="both"/>
              <w:rPr/>
            </w:pPr>
            <w:r>
              <w:rPr/>
              <w:t>the maturity date and the date or dates on which principal will be payable;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tc>
      </w:tr>
    </w:tbl>
    <w:tbl>
      <w:tblPr>
        <w:tblW w:w="9423" w:type="dxa"/>
        <w:jc w:val="left"/>
        <w:tblInd w:w="0" w:type="dxa"/>
        <w:tblLayout w:type="fixed"/>
        <w:tblCellMar>
          <w:top w:w="0" w:type="dxa"/>
          <w:left w:w="0" w:type="dxa"/>
          <w:bottom w:w="0" w:type="dxa"/>
          <w:right w:w="0" w:type="dxa"/>
        </w:tblCellMar>
      </w:tblPr>
      <w:tblGrid>
        <w:gridCol w:w="38"/>
        <w:gridCol w:w="125"/>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260" w:type="dxa"/>
            <w:tcBorders/>
            <w:vAlign w:val="center"/>
          </w:tcPr>
          <w:p>
            <w:pPr>
              <w:pStyle w:val="TableContents"/>
              <w:bidi w:val="0"/>
              <w:spacing w:before="0" w:after="283"/>
              <w:jc w:val="both"/>
              <w:rPr/>
            </w:pPr>
            <w:r>
              <w:rPr/>
              <w:t>whether or not the debt securities will be secured or unsecured, and the terms of any secured debt;</w:t>
            </w:r>
          </w:p>
        </w:tc>
      </w:tr>
    </w:tbl>
    <w:tbl>
      <w:tblPr>
        <w:tblW w:w="6303" w:type="dxa"/>
        <w:jc w:val="left"/>
        <w:tblInd w:w="0" w:type="dxa"/>
        <w:tblLayout w:type="fixed"/>
        <w:tblCellMar>
          <w:top w:w="0" w:type="dxa"/>
          <w:left w:w="0" w:type="dxa"/>
          <w:bottom w:w="0" w:type="dxa"/>
          <w:right w:w="0" w:type="dxa"/>
        </w:tblCellMar>
      </w:tblPr>
      <w:tblGrid>
        <w:gridCol w:w="38"/>
        <w:gridCol w:w="125"/>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140" w:type="dxa"/>
            <w:tcBorders/>
            <w:vAlign w:val="center"/>
          </w:tcPr>
          <w:p>
            <w:pPr>
              <w:pStyle w:val="TableContents"/>
              <w:bidi w:val="0"/>
              <w:spacing w:before="0" w:after="283"/>
              <w:jc w:val="both"/>
              <w:rPr/>
            </w:pPr>
            <w:r>
              <w:rPr/>
              <w:t>the terms of the subordination of any series of subordinated debt;</w:t>
            </w:r>
          </w:p>
        </w:tc>
      </w:tr>
    </w:tbl>
    <w:tbl>
      <w:tblPr>
        <w:tblW w:w="5103" w:type="dxa"/>
        <w:jc w:val="left"/>
        <w:tblInd w:w="0" w:type="dxa"/>
        <w:tblLayout w:type="fixed"/>
        <w:tblCellMar>
          <w:top w:w="0" w:type="dxa"/>
          <w:left w:w="0" w:type="dxa"/>
          <w:bottom w:w="0" w:type="dxa"/>
          <w:right w:w="0" w:type="dxa"/>
        </w:tblCellMar>
      </w:tblPr>
      <w:tblGrid>
        <w:gridCol w:w="38"/>
        <w:gridCol w:w="125"/>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940" w:type="dxa"/>
            <w:tcBorders/>
            <w:vAlign w:val="center"/>
          </w:tcPr>
          <w:p>
            <w:pPr>
              <w:pStyle w:val="TableContents"/>
              <w:bidi w:val="0"/>
              <w:spacing w:before="0" w:after="283"/>
              <w:jc w:val="both"/>
              <w:rPr/>
            </w:pPr>
            <w:r>
              <w:rPr/>
              <w:t>the place or places where payments will be payable;</w:t>
            </w:r>
          </w:p>
        </w:tc>
      </w:tr>
    </w:tbl>
    <w:tbl>
      <w:tblPr>
        <w:tblW w:w="9423" w:type="dxa"/>
        <w:jc w:val="left"/>
        <w:tblInd w:w="0" w:type="dxa"/>
        <w:tblLayout w:type="fixed"/>
        <w:tblCellMar>
          <w:top w:w="0" w:type="dxa"/>
          <w:left w:w="0" w:type="dxa"/>
          <w:bottom w:w="0" w:type="dxa"/>
          <w:right w:w="0" w:type="dxa"/>
        </w:tblCellMar>
      </w:tblPr>
      <w:tblGrid>
        <w:gridCol w:w="38"/>
        <w:gridCol w:w="125"/>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260" w:type="dxa"/>
            <w:tcBorders/>
            <w:vAlign w:val="center"/>
          </w:tcPr>
          <w:p>
            <w:pPr>
              <w:pStyle w:val="TableContents"/>
              <w:bidi w:val="0"/>
              <w:spacing w:before="0" w:after="283"/>
              <w:jc w:val="both"/>
              <w:rPr/>
            </w:pPr>
            <w:r>
              <w:rPr/>
              <w:t>our right, if any, to defer payment of interest and the maximum length of any such deferral period;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date, if any, after which, and the price at which, we may, at our option, redeem the series of debt securities pursuant to any optional redemption provisions;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date, if any, on which, and the price at which we are obligated, pursuant to any mandatory sinking fund provisions or otherwise, to redeem, or at the holder’s option to purchase, the series of debt securities;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whether the indenture will restrict our ability to pay dividends, or will require us to maintain any asset ratios or reserves;</w:t>
            </w:r>
          </w:p>
        </w:tc>
      </w:tr>
    </w:tbl>
    <w:tbl>
      <w:tblPr>
        <w:tblW w:w="7083" w:type="dxa"/>
        <w:jc w:val="left"/>
        <w:tblInd w:w="0" w:type="dxa"/>
        <w:tblLayout w:type="fixed"/>
        <w:tblCellMar>
          <w:top w:w="0" w:type="dxa"/>
          <w:left w:w="0" w:type="dxa"/>
          <w:bottom w:w="0" w:type="dxa"/>
          <w:right w:w="0" w:type="dxa"/>
        </w:tblCellMar>
      </w:tblPr>
      <w:tblGrid>
        <w:gridCol w:w="38"/>
        <w:gridCol w:w="125"/>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920" w:type="dxa"/>
            <w:tcBorders/>
            <w:vAlign w:val="center"/>
          </w:tcPr>
          <w:p>
            <w:pPr>
              <w:pStyle w:val="TableContents"/>
              <w:bidi w:val="0"/>
              <w:spacing w:before="0" w:after="283"/>
              <w:jc w:val="both"/>
              <w:rPr/>
            </w:pPr>
            <w:r>
              <w:rPr/>
              <w:t>whether we will be restricted from incurring any additional indebtedness;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 discussion of any material or special U.S. federal income tax considerations applicable to a series of debt securities;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denominations in which we will issue the series of debt securities, if other than denominations of $1,000 and any integral multiple thereof; and</w:t>
            </w:r>
          </w:p>
        </w:tc>
      </w:tr>
    </w:tbl>
    <w:tbl>
      <w:tblPr>
        <w:tblW w:w="9378" w:type="dxa"/>
        <w:jc w:val="left"/>
        <w:tblInd w:w="0" w:type="dxa"/>
        <w:tblLayout w:type="fixed"/>
        <w:tblCellMar>
          <w:top w:w="0" w:type="dxa"/>
          <w:left w:w="0" w:type="dxa"/>
          <w:bottom w:w="0" w:type="dxa"/>
          <w:right w:w="0" w:type="dxa"/>
        </w:tblCellMar>
      </w:tblPr>
      <w:tblGrid>
        <w:gridCol w:w="38"/>
        <w:gridCol w:w="125"/>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215" w:type="dxa"/>
            <w:tcBorders/>
            <w:vAlign w:val="center"/>
          </w:tcPr>
          <w:p>
            <w:pPr>
              <w:pStyle w:val="TableContents"/>
              <w:bidi w:val="0"/>
              <w:spacing w:before="0" w:after="283"/>
              <w:jc w:val="both"/>
              <w:rPr/>
            </w:pPr>
            <w:r>
              <w:rPr/>
              <w:t>any other specific terms, preferences, rights or limitations of, or restrictions on,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or Exchange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if any, on which a series of debt securities may be convertible into or exchangeable for our common shares or our other securities. We will include provisions as to whether conversion or exchange is mandatory, at the option of the holder or at our option. We may include provisions pursuant to which the number of our common shares or our other securities that the holders of the series of debt securities receive would be subject to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Consolidation, Merger or Sale; No Protection in Event of a Change of Control or Highly Leveraged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Events of Default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under the indentures with respect to any series of debt securities that we may issue: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if we fail to pay interest when due and our failure continues for 90 days and the time for payment has not been extended or deferred;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if we fail to pay the principal, or premium, if any, when due and the time for payment has not been extended or delayed;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tc>
      </w:tr>
    </w:tbl>
    <w:tbl>
      <w:tblPr>
        <w:tblW w:w="7488" w:type="dxa"/>
        <w:jc w:val="left"/>
        <w:tblInd w:w="0" w:type="dxa"/>
        <w:tblLayout w:type="fixed"/>
        <w:tblCellMar>
          <w:top w:w="0" w:type="dxa"/>
          <w:left w:w="0" w:type="dxa"/>
          <w:bottom w:w="0" w:type="dxa"/>
          <w:right w:w="0" w:type="dxa"/>
        </w:tblCellMar>
      </w:tblPr>
      <w:tblGrid>
        <w:gridCol w:w="38"/>
        <w:gridCol w:w="125"/>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325" w:type="dxa"/>
            <w:tcBorders/>
            <w:vAlign w:val="center"/>
          </w:tcPr>
          <w:p>
            <w:pPr>
              <w:pStyle w:val="TableContents"/>
              <w:bidi w:val="0"/>
              <w:spacing w:before="0" w:after="283"/>
              <w:jc w:val="both"/>
              <w:rPr/>
            </w:pPr>
            <w:r>
              <w:rPr/>
              <w:t>if specified events of bankruptcy, insolvency or reorganization occur as to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pStyle w:val="TextBody"/>
        <w:bidi w:val="0"/>
        <w:spacing w:before="0" w:after="0"/>
        <w:ind w:left="0" w:right="0" w:hanging="0"/>
        <w:jc w:val="left"/>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125"/>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260" w:type="dxa"/>
            <w:tcBorders/>
            <w:vAlign w:val="center"/>
          </w:tcPr>
          <w:p>
            <w:pPr>
              <w:pStyle w:val="TableContents"/>
              <w:bidi w:val="0"/>
              <w:spacing w:before="0" w:after="283"/>
              <w:jc w:val="left"/>
              <w:rPr/>
            </w:pPr>
            <w:r>
              <w:rPr/>
              <w:t>the direction so given by the holder is not in conflict with any law or the applicable indenture; and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subject to its duties under the Trust Indenture Act, the debenture trustee need not take any action that might involve it in personal liability or might be unduly prejudicial to the holders not involved in the proceeding.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the holder previously has given written notice to the debenture trustee of a continuing event of default with respect to that series;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holders of at least a majority in aggregate principal amount of the outstanding debt securities of that series have made written request, and such holders have offered reasonable indemnity to the debenture trustee to institute the proceeding as trustee; and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applicable debenture trustee regarding our compliance with specified covenants in the applicable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of Indenture;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and we may change the applicable indenture without the consent of any holders with respect to specific matters, including:</w:t>
      </w:r>
    </w:p>
    <w:p>
      <w:pPr>
        <w:pStyle w:val="TextBody"/>
        <w:bidi w:val="0"/>
        <w:spacing w:before="0" w:after="0"/>
        <w:ind w:left="0" w:right="0" w:hanging="0"/>
        <w:jc w:val="left"/>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25"/>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215" w:type="dxa"/>
            <w:tcBorders/>
            <w:vAlign w:val="center"/>
          </w:tcPr>
          <w:p>
            <w:pPr>
              <w:pStyle w:val="TableContents"/>
              <w:bidi w:val="0"/>
              <w:spacing w:before="0" w:after="283"/>
              <w:jc w:val="left"/>
              <w:rPr/>
            </w:pPr>
            <w:r>
              <w:rPr/>
              <w:t>to fix any ambiguity, defect or inconsistency in the indenture; and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to change anything that does not materially adversely affect the interests of any holder of debt securities of any series issued pursuant to such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pStyle w:val="TextBody"/>
        <w:bidi w:val="0"/>
        <w:spacing w:before="0" w:after="0"/>
        <w:ind w:left="0" w:right="0" w:hanging="0"/>
        <w:jc w:val="left"/>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125"/>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585" w:type="dxa"/>
            <w:tcBorders/>
            <w:vAlign w:val="center"/>
          </w:tcPr>
          <w:p>
            <w:pPr>
              <w:pStyle w:val="TableContents"/>
              <w:bidi w:val="0"/>
              <w:spacing w:before="0" w:after="283"/>
              <w:jc w:val="left"/>
              <w:rPr/>
            </w:pPr>
            <w:r>
              <w:rPr/>
              <w:t>extending the fixed maturity of the series of debt securities;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reducing the principal amount, reducing the rate of or extending the time of payment of interest, or any premium payable upon the redemption of any debt securities;</w:t>
            </w:r>
          </w:p>
        </w:tc>
      </w:tr>
    </w:tbl>
    <w:tbl>
      <w:tblPr>
        <w:tblW w:w="8733" w:type="dxa"/>
        <w:jc w:val="left"/>
        <w:tblInd w:w="0" w:type="dxa"/>
        <w:tblLayout w:type="fixed"/>
        <w:tblCellMar>
          <w:top w:w="0" w:type="dxa"/>
          <w:left w:w="0" w:type="dxa"/>
          <w:bottom w:w="0" w:type="dxa"/>
          <w:right w:w="0" w:type="dxa"/>
        </w:tblCellMar>
      </w:tblPr>
      <w:tblGrid>
        <w:gridCol w:w="38"/>
        <w:gridCol w:w="125"/>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570" w:type="dxa"/>
            <w:tcBorders/>
            <w:vAlign w:val="center"/>
          </w:tcPr>
          <w:p>
            <w:pPr>
              <w:pStyle w:val="TableContents"/>
              <w:bidi w:val="0"/>
              <w:spacing w:before="0" w:after="283"/>
              <w:jc w:val="left"/>
              <w:rPr/>
            </w:pPr>
            <w:r>
              <w:rPr/>
              <w:t>reducing the principal amount of discount securities payable upon acceleration of maturity;</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making the principal of or premium or interest on any debt security payable in currency other than that stated in the debt security; or</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reducing the percentage of debt securities, the holders of which are required to consent to any amendment or 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for obligations to:</w:t>
      </w:r>
    </w:p>
    <w:p>
      <w:pPr>
        <w:pStyle w:val="TextBody"/>
        <w:bidi w:val="0"/>
        <w:spacing w:before="0" w:after="0"/>
        <w:ind w:left="0" w:right="0" w:hanging="0"/>
        <w:jc w:val="left"/>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125"/>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195" w:type="dxa"/>
            <w:tcBorders/>
            <w:vAlign w:val="center"/>
          </w:tcPr>
          <w:p>
            <w:pPr>
              <w:pStyle w:val="TableContents"/>
              <w:bidi w:val="0"/>
              <w:spacing w:before="0" w:after="283"/>
              <w:jc w:val="left"/>
              <w:rPr/>
            </w:pPr>
            <w:r>
              <w:rPr/>
              <w:t>the transfer or exchange of debt securities of the series;</w:t>
            </w:r>
          </w:p>
        </w:tc>
      </w:tr>
    </w:tbl>
    <w:tbl>
      <w:tblPr>
        <w:tblW w:w="5763" w:type="dxa"/>
        <w:jc w:val="left"/>
        <w:tblInd w:w="0" w:type="dxa"/>
        <w:tblLayout w:type="fixed"/>
        <w:tblCellMar>
          <w:top w:w="0" w:type="dxa"/>
          <w:left w:w="0" w:type="dxa"/>
          <w:bottom w:w="0" w:type="dxa"/>
          <w:right w:w="0" w:type="dxa"/>
        </w:tblCellMar>
      </w:tblPr>
      <w:tblGrid>
        <w:gridCol w:w="38"/>
        <w:gridCol w:w="125"/>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600" w:type="dxa"/>
            <w:tcBorders/>
            <w:vAlign w:val="center"/>
          </w:tcPr>
          <w:p>
            <w:pPr>
              <w:pStyle w:val="TableContents"/>
              <w:bidi w:val="0"/>
              <w:spacing w:before="0" w:after="283"/>
              <w:jc w:val="left"/>
              <w:rPr/>
            </w:pPr>
            <w:r>
              <w:rPr/>
              <w:t>replace stolen, lost or mutilated debt securities of the series;</w:t>
            </w:r>
          </w:p>
        </w:tc>
      </w:tr>
    </w:tbl>
    <w:tbl>
      <w:tblPr>
        <w:tblW w:w="2643" w:type="dxa"/>
        <w:jc w:val="left"/>
        <w:tblInd w:w="0" w:type="dxa"/>
        <w:tblLayout w:type="fixed"/>
        <w:tblCellMar>
          <w:top w:w="0" w:type="dxa"/>
          <w:left w:w="0" w:type="dxa"/>
          <w:bottom w:w="0" w:type="dxa"/>
          <w:right w:w="0" w:type="dxa"/>
        </w:tblCellMar>
      </w:tblPr>
      <w:tblGrid>
        <w:gridCol w:w="38"/>
        <w:gridCol w:w="125"/>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480" w:type="dxa"/>
            <w:tcBorders/>
            <w:vAlign w:val="center"/>
          </w:tcPr>
          <w:p>
            <w:pPr>
              <w:pStyle w:val="TableContents"/>
              <w:bidi w:val="0"/>
              <w:spacing w:before="0" w:after="283"/>
              <w:jc w:val="left"/>
              <w:rPr/>
            </w:pPr>
            <w:r>
              <w:rPr/>
              <w:t>maintain paying agencies;</w:t>
            </w:r>
          </w:p>
        </w:tc>
      </w:tr>
    </w:tbl>
    <w:tbl>
      <w:tblPr>
        <w:tblW w:w="3318" w:type="dxa"/>
        <w:jc w:val="left"/>
        <w:tblInd w:w="0" w:type="dxa"/>
        <w:tblLayout w:type="fixed"/>
        <w:tblCellMar>
          <w:top w:w="0" w:type="dxa"/>
          <w:left w:w="0" w:type="dxa"/>
          <w:bottom w:w="0" w:type="dxa"/>
          <w:right w:w="0" w:type="dxa"/>
        </w:tblCellMar>
      </w:tblPr>
      <w:tblGrid>
        <w:gridCol w:w="38"/>
        <w:gridCol w:w="125"/>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155" w:type="dxa"/>
            <w:tcBorders/>
            <w:vAlign w:val="center"/>
          </w:tcPr>
          <w:p>
            <w:pPr>
              <w:pStyle w:val="TableContents"/>
              <w:bidi w:val="0"/>
              <w:spacing w:before="0" w:after="283"/>
              <w:jc w:val="left"/>
              <w:rPr/>
            </w:pPr>
            <w:r>
              <w:rPr/>
              <w:t>hold monies for payment in trust;</w:t>
            </w:r>
          </w:p>
        </w:tc>
      </w:tr>
    </w:tbl>
    <w:tbl>
      <w:tblPr>
        <w:tblW w:w="4218" w:type="dxa"/>
        <w:jc w:val="left"/>
        <w:tblInd w:w="0" w:type="dxa"/>
        <w:tblLayout w:type="fixed"/>
        <w:tblCellMar>
          <w:top w:w="0" w:type="dxa"/>
          <w:left w:w="0" w:type="dxa"/>
          <w:bottom w:w="0" w:type="dxa"/>
          <w:right w:w="0" w:type="dxa"/>
        </w:tblCellMar>
      </w:tblPr>
      <w:tblGrid>
        <w:gridCol w:w="38"/>
        <w:gridCol w:w="125"/>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055" w:type="dxa"/>
            <w:tcBorders/>
            <w:vAlign w:val="center"/>
          </w:tcPr>
          <w:p>
            <w:pPr>
              <w:pStyle w:val="TableContents"/>
              <w:bidi w:val="0"/>
              <w:spacing w:before="0" w:after="283"/>
              <w:jc w:val="left"/>
              <w:rPr/>
            </w:pPr>
            <w:r>
              <w:rPr/>
              <w:t>compensate and indemnify the trustee; and</w:t>
            </w:r>
          </w:p>
        </w:tc>
      </w:tr>
    </w:tbl>
    <w:tbl>
      <w:tblPr>
        <w:tblW w:w="3003" w:type="dxa"/>
        <w:jc w:val="left"/>
        <w:tblInd w:w="0" w:type="dxa"/>
        <w:tblLayout w:type="fixed"/>
        <w:tblCellMar>
          <w:top w:w="0" w:type="dxa"/>
          <w:left w:w="0" w:type="dxa"/>
          <w:bottom w:w="0" w:type="dxa"/>
          <w:right w:w="0" w:type="dxa"/>
        </w:tblCellMar>
      </w:tblPr>
      <w:tblGrid>
        <w:gridCol w:w="38"/>
        <w:gridCol w:w="125"/>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840" w:type="dxa"/>
            <w:tcBorders/>
            <w:vAlign w:val="center"/>
          </w:tcPr>
          <w:p>
            <w:pPr>
              <w:pStyle w:val="TableContents"/>
              <w:bidi w:val="0"/>
              <w:spacing w:before="0" w:after="283"/>
              <w:jc w:val="left"/>
              <w:rPr/>
            </w:pPr>
            <w:r>
              <w:rPr/>
              <w:t>appoint any successor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Concerning the Debenture Trustee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 and Paying Agents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is applicable.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Subordination of Subordinated Debt Securities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5" w:name="na_009"/>
      <w:bookmarkEnd w:id="25"/>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common shares, preferred shares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contain, where applicable, the following terms of and other information relating to the warrants:</w:t>
      </w:r>
    </w:p>
    <w:p>
      <w:pPr>
        <w:pStyle w:val="TextBody"/>
        <w:bidi w:val="0"/>
        <w:spacing w:before="0" w:after="0"/>
        <w:ind w:left="0" w:right="0" w:hanging="0"/>
        <w:jc w:val="left"/>
        <w:rPr>
          <w:caps w:val="false"/>
          <w:smallCaps w:val="false"/>
        </w:rPr>
      </w:pPr>
      <w:r>
        <w:rPr>
          <w:caps w:val="false"/>
          <w:smallCaps w:val="false"/>
        </w:rPr>
        <w:t> </w:t>
      </w:r>
    </w:p>
    <w:tbl>
      <w:tblPr>
        <w:tblW w:w="9648" w:type="dxa"/>
        <w:jc w:val="left"/>
        <w:tblInd w:w="0" w:type="dxa"/>
        <w:tblLayout w:type="fixed"/>
        <w:tblCellMar>
          <w:top w:w="0" w:type="dxa"/>
          <w:left w:w="0" w:type="dxa"/>
          <w:bottom w:w="0" w:type="dxa"/>
          <w:right w:w="0" w:type="dxa"/>
        </w:tblCellMar>
      </w:tblPr>
      <w:tblGrid>
        <w:gridCol w:w="38"/>
        <w:gridCol w:w="125"/>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485" w:type="dxa"/>
            <w:tcBorders/>
            <w:vAlign w:val="center"/>
          </w:tcPr>
          <w:p>
            <w:pPr>
              <w:pStyle w:val="TableContents"/>
              <w:bidi w:val="0"/>
              <w:spacing w:before="0" w:after="283"/>
              <w:jc w:val="left"/>
              <w:rPr/>
            </w:pPr>
            <w:r>
              <w:rPr/>
              <w:t>the specific designation and aggregate number of, and the price at which we will issue, the warrants;</w:t>
            </w:r>
          </w:p>
        </w:tc>
      </w:tr>
    </w:tbl>
    <w:tbl>
      <w:tblPr>
        <w:tblW w:w="9603" w:type="dxa"/>
        <w:jc w:val="left"/>
        <w:tblInd w:w="0" w:type="dxa"/>
        <w:tblLayout w:type="fixed"/>
        <w:tblCellMar>
          <w:top w:w="0" w:type="dxa"/>
          <w:left w:w="0" w:type="dxa"/>
          <w:bottom w:w="0" w:type="dxa"/>
          <w:right w:w="0" w:type="dxa"/>
        </w:tblCellMar>
      </w:tblPr>
      <w:tblGrid>
        <w:gridCol w:w="38"/>
        <w:gridCol w:w="125"/>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440" w:type="dxa"/>
            <w:tcBorders/>
            <w:vAlign w:val="center"/>
          </w:tcPr>
          <w:p>
            <w:pPr>
              <w:pStyle w:val="TableContents"/>
              <w:bidi w:val="0"/>
              <w:spacing w:before="0" w:after="283"/>
              <w:jc w:val="left"/>
              <w:rPr/>
            </w:pPr>
            <w:r>
              <w:rPr/>
              <w:t>the currency or currency units in which the offering price, if any, and the exercise price are payable;</w:t>
            </w:r>
          </w:p>
        </w:tc>
      </w:tr>
    </w:tbl>
    <w:tbl>
      <w:tblPr>
        <w:tblW w:w="9033" w:type="dxa"/>
        <w:jc w:val="left"/>
        <w:tblInd w:w="0" w:type="dxa"/>
        <w:tblLayout w:type="fixed"/>
        <w:tblCellMar>
          <w:top w:w="0" w:type="dxa"/>
          <w:left w:w="0" w:type="dxa"/>
          <w:bottom w:w="0" w:type="dxa"/>
          <w:right w:w="0" w:type="dxa"/>
        </w:tblCellMar>
      </w:tblPr>
      <w:tblGrid>
        <w:gridCol w:w="38"/>
        <w:gridCol w:w="12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870" w:type="dxa"/>
            <w:tcBorders/>
            <w:vAlign w:val="center"/>
          </w:tcPr>
          <w:p>
            <w:pPr>
              <w:pStyle w:val="TableContents"/>
              <w:bidi w:val="0"/>
              <w:spacing w:before="0" w:after="283"/>
              <w:jc w:val="left"/>
              <w:rPr/>
            </w:pPr>
            <w:r>
              <w:rPr/>
              <w:t>the designation, amount and terms of the securities purchasable upon exercise of the warrants;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if applicable, the exercise price for our common shares and the number of our common shares to be received upon exercise of the warrants;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if applicable, the exercise price for our preferred shares, the number of preferred shares to be received upon exercise, and a description of that series of our preferred shares;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if applicable, the exercise price for our debt securities, the amount of debt securities to be received upon exercise, and a description of that series of debt securities;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date on which the right to exercise the warrants will begin and the date on which that right will expire or, if you may not continuously exercise the warrants throughout that period, the specific date or dates on which you may exercise the warrants;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tc>
      </w:tr>
    </w:tbl>
    <w:tbl>
      <w:tblPr>
        <w:tblW w:w="6093" w:type="dxa"/>
        <w:jc w:val="left"/>
        <w:tblInd w:w="0" w:type="dxa"/>
        <w:tblLayout w:type="fixed"/>
        <w:tblCellMar>
          <w:top w:w="0" w:type="dxa"/>
          <w:left w:w="0" w:type="dxa"/>
          <w:bottom w:w="0" w:type="dxa"/>
          <w:right w:w="0" w:type="dxa"/>
        </w:tblCellMar>
      </w:tblPr>
      <w:tblGrid>
        <w:gridCol w:w="38"/>
        <w:gridCol w:w="125"/>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930" w:type="dxa"/>
            <w:tcBorders/>
            <w:vAlign w:val="center"/>
          </w:tcPr>
          <w:p>
            <w:pPr>
              <w:pStyle w:val="TableContents"/>
              <w:bidi w:val="0"/>
              <w:spacing w:before="0" w:after="283"/>
              <w:jc w:val="left"/>
              <w:rPr/>
            </w:pPr>
            <w:r>
              <w:rPr/>
              <w:t>any applicable material U.S. federal income tax consequences;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identity of the warrant agent for the warrants and of any other depositaries, execution or paying agents, transfer agents, registrars or other agents;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the proposed listing, if any, of the warrants or any securities purchasable upon exercise of the warrants on any securities exchange;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if applicable, the date from and after which the warrants and the common shares, preferred shares and/or debt securities will be separately transferable;</w:t>
            </w:r>
          </w:p>
        </w:tc>
      </w:tr>
    </w:tbl>
    <w:tbl>
      <w:tblPr>
        <w:tblW w:w="9873" w:type="dxa"/>
        <w:jc w:val="left"/>
        <w:tblInd w:w="0" w:type="dxa"/>
        <w:tblLayout w:type="fixed"/>
        <w:tblCellMar>
          <w:top w:w="0" w:type="dxa"/>
          <w:left w:w="0" w:type="dxa"/>
          <w:bottom w:w="0" w:type="dxa"/>
          <w:right w:w="0" w:type="dxa"/>
        </w:tblCellMar>
      </w:tblPr>
      <w:tblGrid>
        <w:gridCol w:w="38"/>
        <w:gridCol w:w="125"/>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710" w:type="dxa"/>
            <w:tcBorders/>
            <w:vAlign w:val="center"/>
          </w:tcPr>
          <w:p>
            <w:pPr>
              <w:pStyle w:val="TableContents"/>
              <w:bidi w:val="0"/>
              <w:spacing w:before="0" w:after="283"/>
              <w:jc w:val="left"/>
              <w:rPr/>
            </w:pPr>
            <w:r>
              <w:rPr/>
              <w:t>if applicable, the minimum or maximum amount of the warrants that may be exercised at any one time;</w:t>
            </w:r>
          </w:p>
        </w:tc>
      </w:tr>
    </w:tbl>
    <w:tbl>
      <w:tblPr>
        <w:tblW w:w="5643" w:type="dxa"/>
        <w:jc w:val="left"/>
        <w:tblInd w:w="0" w:type="dxa"/>
        <w:tblLayout w:type="fixed"/>
        <w:tblCellMar>
          <w:top w:w="0" w:type="dxa"/>
          <w:left w:w="0" w:type="dxa"/>
          <w:bottom w:w="0" w:type="dxa"/>
          <w:right w:w="0" w:type="dxa"/>
        </w:tblCellMar>
      </w:tblPr>
      <w:tblGrid>
        <w:gridCol w:w="38"/>
        <w:gridCol w:w="125"/>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480" w:type="dxa"/>
            <w:tcBorders/>
            <w:vAlign w:val="center"/>
          </w:tcPr>
          <w:p>
            <w:pPr>
              <w:pStyle w:val="TableContents"/>
              <w:bidi w:val="0"/>
              <w:spacing w:before="0" w:after="283"/>
              <w:jc w:val="left"/>
              <w:rPr/>
            </w:pPr>
            <w:r>
              <w:rPr/>
              <w:t>information with respect to book-entry procedures, if any;</w:t>
            </w:r>
          </w:p>
        </w:tc>
      </w:tr>
    </w:tbl>
    <w:tbl>
      <w:tblPr>
        <w:tblW w:w="4908" w:type="dxa"/>
        <w:jc w:val="left"/>
        <w:tblInd w:w="0" w:type="dxa"/>
        <w:tblLayout w:type="fixed"/>
        <w:tblCellMar>
          <w:top w:w="0" w:type="dxa"/>
          <w:left w:w="0" w:type="dxa"/>
          <w:bottom w:w="0" w:type="dxa"/>
          <w:right w:w="0" w:type="dxa"/>
        </w:tblCellMar>
      </w:tblPr>
      <w:tblGrid>
        <w:gridCol w:w="38"/>
        <w:gridCol w:w="125"/>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745" w:type="dxa"/>
            <w:tcBorders/>
            <w:vAlign w:val="center"/>
          </w:tcPr>
          <w:p>
            <w:pPr>
              <w:pStyle w:val="TableContents"/>
              <w:bidi w:val="0"/>
              <w:spacing w:before="0" w:after="283"/>
              <w:jc w:val="left"/>
              <w:rPr/>
            </w:pPr>
            <w:r>
              <w:rPr/>
              <w:t>the anti-dilution provisions of the warrants, if any;</w:t>
            </w:r>
          </w:p>
        </w:tc>
      </w:tr>
    </w:tbl>
    <w:tbl>
      <w:tblPr>
        <w:tblW w:w="3408" w:type="dxa"/>
        <w:jc w:val="left"/>
        <w:tblInd w:w="0" w:type="dxa"/>
        <w:tblLayout w:type="fixed"/>
        <w:tblCellMar>
          <w:top w:w="0" w:type="dxa"/>
          <w:left w:w="0" w:type="dxa"/>
          <w:bottom w:w="0" w:type="dxa"/>
          <w:right w:w="0" w:type="dxa"/>
        </w:tblCellMar>
      </w:tblPr>
      <w:tblGrid>
        <w:gridCol w:w="38"/>
        <w:gridCol w:w="125"/>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245" w:type="dxa"/>
            <w:tcBorders/>
            <w:vAlign w:val="center"/>
          </w:tcPr>
          <w:p>
            <w:pPr>
              <w:pStyle w:val="TableContents"/>
              <w:bidi w:val="0"/>
              <w:spacing w:before="0" w:after="283"/>
              <w:jc w:val="left"/>
              <w:rPr/>
            </w:pPr>
            <w:r>
              <w:rPr/>
              <w:t>any redemption or call provisions;</w:t>
            </w:r>
          </w:p>
        </w:tc>
      </w:tr>
    </w:tbl>
    <w:tbl>
      <w:tblPr>
        <w:tblW w:w="8178" w:type="dxa"/>
        <w:jc w:val="left"/>
        <w:tblInd w:w="0" w:type="dxa"/>
        <w:tblLayout w:type="fixed"/>
        <w:tblCellMar>
          <w:top w:w="0" w:type="dxa"/>
          <w:left w:w="0" w:type="dxa"/>
          <w:bottom w:w="0" w:type="dxa"/>
          <w:right w:w="0" w:type="dxa"/>
        </w:tblCellMar>
      </w:tblPr>
      <w:tblGrid>
        <w:gridCol w:w="38"/>
        <w:gridCol w:w="125"/>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15" w:type="dxa"/>
            <w:tcBorders/>
            <w:vAlign w:val="center"/>
          </w:tcPr>
          <w:p>
            <w:pPr>
              <w:pStyle w:val="TableContents"/>
              <w:bidi w:val="0"/>
              <w:spacing w:before="0" w:after="283"/>
              <w:jc w:val="left"/>
              <w:rPr/>
            </w:pPr>
            <w:r>
              <w:rPr/>
              <w:t>whether the warrants may be sold separately or with other securities as parts of units;</w:t>
            </w:r>
          </w:p>
        </w:tc>
      </w:tr>
    </w:tbl>
    <w:tbl>
      <w:tblPr>
        <w:tblW w:w="3843" w:type="dxa"/>
        <w:jc w:val="left"/>
        <w:tblInd w:w="0" w:type="dxa"/>
        <w:tblLayout w:type="fixed"/>
        <w:tblCellMar>
          <w:top w:w="0" w:type="dxa"/>
          <w:left w:w="0" w:type="dxa"/>
          <w:bottom w:w="0" w:type="dxa"/>
          <w:right w:w="0" w:type="dxa"/>
        </w:tblCellMar>
      </w:tblPr>
      <w:tblGrid>
        <w:gridCol w:w="38"/>
        <w:gridCol w:w="125"/>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680" w:type="dxa"/>
            <w:tcBorders/>
            <w:vAlign w:val="center"/>
          </w:tcPr>
          <w:p>
            <w:pPr>
              <w:pStyle w:val="TableContents"/>
              <w:bidi w:val="0"/>
              <w:spacing w:before="0" w:after="283"/>
              <w:jc w:val="left"/>
              <w:rPr/>
            </w:pPr>
            <w:r>
              <w:rPr/>
              <w:t>the governing law of the warrants; and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any additional terms of the warrants, including terms, procedures and limitations relating to the exchange and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any warrants we offer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2022, there were an aggregate of 15,000,000 outstanding public warrants held of record by one holder,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we may call the warrants for redemption:</w:t>
      </w:r>
    </w:p>
    <w:p>
      <w:pPr>
        <w:pStyle w:val="TextBody"/>
        <w:bidi w:val="0"/>
        <w:spacing w:before="0" w:after="0"/>
        <w:ind w:left="0" w:right="0" w:hanging="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125"/>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345" w:type="dxa"/>
            <w:tcBorders/>
            <w:vAlign w:val="center"/>
          </w:tcPr>
          <w:p>
            <w:pPr>
              <w:pStyle w:val="TableContents"/>
              <w:bidi w:val="0"/>
              <w:spacing w:before="0" w:after="283"/>
              <w:jc w:val="left"/>
              <w:rPr/>
            </w:pPr>
            <w:r>
              <w:rPr/>
              <w:t>in whole and not in part;</w:t>
            </w:r>
          </w:p>
        </w:tc>
      </w:tr>
    </w:tbl>
    <w:tbl>
      <w:tblPr>
        <w:tblW w:w="3108" w:type="dxa"/>
        <w:jc w:val="left"/>
        <w:tblInd w:w="0" w:type="dxa"/>
        <w:tblLayout w:type="fixed"/>
        <w:tblCellMar>
          <w:top w:w="0" w:type="dxa"/>
          <w:left w:w="0" w:type="dxa"/>
          <w:bottom w:w="0" w:type="dxa"/>
          <w:right w:w="0" w:type="dxa"/>
        </w:tblCellMar>
      </w:tblPr>
      <w:tblGrid>
        <w:gridCol w:w="38"/>
        <w:gridCol w:w="125"/>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945" w:type="dxa"/>
            <w:tcBorders/>
            <w:vAlign w:val="center"/>
          </w:tcPr>
          <w:p>
            <w:pPr>
              <w:pStyle w:val="TableContents"/>
              <w:bidi w:val="0"/>
              <w:spacing w:before="0" w:after="283"/>
              <w:jc w:val="left"/>
              <w:rPr/>
            </w:pPr>
            <w:r>
              <w:rPr/>
              <w:t>at a price of $0.01 per warrant;</w:t>
            </w:r>
          </w:p>
        </w:tc>
      </w:tr>
    </w:tbl>
    <w:tbl>
      <w:tblPr>
        <w:tblW w:w="8658" w:type="dxa"/>
        <w:jc w:val="left"/>
        <w:tblInd w:w="0" w:type="dxa"/>
        <w:tblLayout w:type="fixed"/>
        <w:tblCellMar>
          <w:top w:w="0" w:type="dxa"/>
          <w:left w:w="0" w:type="dxa"/>
          <w:bottom w:w="0" w:type="dxa"/>
          <w:right w:w="0" w:type="dxa"/>
        </w:tblCellMar>
      </w:tblPr>
      <w:tblGrid>
        <w:gridCol w:w="38"/>
        <w:gridCol w:w="125"/>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495" w:type="dxa"/>
            <w:tcBorders/>
            <w:vAlign w:val="center"/>
          </w:tcPr>
          <w:p>
            <w:pPr>
              <w:pStyle w:val="TableContents"/>
              <w:bidi w:val="0"/>
              <w:spacing w:before="0" w:after="283"/>
              <w:jc w:val="left"/>
              <w:rPr/>
            </w:pPr>
            <w:r>
              <w:rPr/>
              <w:t>upon not less than 30 days’ prior written notice of redemption to each warrant holder; and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the warrants become redeemable by us, we may exercise our redemption right even if we are unable to register or qualify the underlying securities for sale under all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Procedures and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the permitted transferees of Sustainable Opportunities Holdings LLC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Anti-dilution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holders do not have the rights or privileges of holders of Common Shares and any voting rights until they exercise their warrants and receive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for our public warrants is Continental Stock Transfer &amp;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public warrants are listed for trading on the Nasdaq Global Select Market under the symbol “TMCWW”.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2022, there were 9,500,000 private placement warrants outstanding held of record by 32 holders. The private placement warrants (including the Common Shares issuable upon exercise of the private placement warrants) were not transferable, assignable or salable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SOAC or its permitted transferees. SOAC,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SOAC or its permitted transferees, the private placement warrants will be redeemable by us and exercisable by the holders on the same basis as the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Allseas Warrant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2021, DeepGreen issued a warrant to Allseas Group S.A., or the Allseas Warrant, which shall vest upon successful completion of a prescribed project, referred to as the PMTS, and become exercisable for a maximum of 11,578,620 Common Shares (as it may be adjusted based on the formula described therein) at a purchase price of $0.01 per share. A maximum of 11.6 million warrants to purchase common shares will vest if the PMTS is completed by September 30, 2023, gradually decreasing to 5.8 million warrants to purchase Common Shares if PMTS is completed after September 30, 2025. The Allseas Warrant shall vest only upon (and not before) the successful completion of PMTS and will expire on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6" w:name="na_010"/>
      <w:bookmarkEnd w:id="26"/>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summarizes the material terms and provisions of the units that we may offer under this prospectus. While the terms summarized below will apply generally to any units that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debt securities, common shares, preferred shares, or warrants, for the purchase of common shares and/or preferred shares in one or more series,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being offered,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bl>
    <w:tbl>
      <w:tblPr>
        <w:tblW w:w="8358" w:type="dxa"/>
        <w:jc w:val="left"/>
        <w:tblInd w:w="0" w:type="dxa"/>
        <w:tblLayout w:type="fixed"/>
        <w:tblCellMar>
          <w:top w:w="0" w:type="dxa"/>
          <w:left w:w="0" w:type="dxa"/>
          <w:bottom w:w="0" w:type="dxa"/>
          <w:right w:w="0" w:type="dxa"/>
        </w:tblCellMar>
      </w:tblPr>
      <w:tblGrid>
        <w:gridCol w:w="38"/>
        <w:gridCol w:w="125"/>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95" w:type="dxa"/>
            <w:tcBorders/>
            <w:vAlign w:val="center"/>
          </w:tcPr>
          <w:p>
            <w:pPr>
              <w:pStyle w:val="TableContents"/>
              <w:bidi w:val="0"/>
              <w:spacing w:before="0" w:after="283"/>
              <w:jc w:val="left"/>
              <w:rPr/>
            </w:pPr>
            <w:r>
              <w:rPr/>
              <w:t>any provisions of the governing unit agreement that differ from those described below;</w:t>
            </w:r>
          </w:p>
        </w:tc>
      </w:tr>
    </w:tbl>
    <w:tbl>
      <w:tblPr>
        <w:tblW w:w="4428" w:type="dxa"/>
        <w:jc w:val="left"/>
        <w:tblInd w:w="0" w:type="dxa"/>
        <w:tblLayout w:type="fixed"/>
        <w:tblCellMar>
          <w:top w:w="0" w:type="dxa"/>
          <w:left w:w="0" w:type="dxa"/>
          <w:bottom w:w="0" w:type="dxa"/>
          <w:right w:w="0" w:type="dxa"/>
        </w:tblCellMar>
      </w:tblPr>
      <w:tblGrid>
        <w:gridCol w:w="38"/>
        <w:gridCol w:w="125"/>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265" w:type="dxa"/>
            <w:tcBorders/>
            <w:vAlign w:val="center"/>
          </w:tcPr>
          <w:p>
            <w:pPr>
              <w:pStyle w:val="TableContents"/>
              <w:bidi w:val="0"/>
              <w:spacing w:before="0" w:after="283"/>
              <w:jc w:val="left"/>
              <w:rPr/>
            </w:pPr>
            <w:r>
              <w:rPr/>
              <w:t>the governing law of the unit agreement; and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any provisions for the issuance, payment, settlement, transfer or exchange of the units or of the securities comprising the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such numbers of distinct series as we determine.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“Description of Common Shares and Special Shares,” “Description of Preferred Shares,” “Description of Debt Securities” and “Description of Warrants” will apply to each unit, as applicable, and to any common share, preferred share or warrant included in each unit, as applicable.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address of the unit agent for any units we offer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na_011"/>
      <w:bookmarkEnd w:id="27"/>
      <w:r>
        <w:rPr>
          <w:rFonts w:ascii="Times New Roman;Times;Serif" w:hAnsi="Times New Roman;Times;Serif"/>
          <w:b/>
          <w:i w:val="false"/>
          <w:caps w:val="false"/>
          <w:smallCaps w:val="false"/>
          <w:sz w:val="20"/>
        </w:rPr>
        <w:t>CERTAIN IMPORTANT PROVISIONS OF THE NOTICE OF ARTICLES AND ARTICLES AND THE BCBCA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Stated Objects or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articles and articles do not contain stated objects or purposes and do not place any limitations on the business that we may carry 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vote on matters in which a director is materially interested. Under the BCBCA, a director or senior officer of a 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or senior officer does not hold a disclosable interest in a contract or transaction if the contract or transaction: (i) is an arrangement by way of security granted by the company for money loaned to, or obligations undertaken by, the director or senior officer, or a person in whom the director or senior officer has a material interest, for the benefit the company or for one of our affiliates’ benefit; (ii) relates to an indemnity or insurance permitted under the BCBCA; (iii) relates to the remuneration of the director or senior officer in his or her capacity as director, officer, employee or agent of the company or of one of its affiliates; (iv) relates to a loan to the company and the director or senior officer, or a person in whom the director or senior officer has a material interest, is the guarantor of some or all of the loan; or (v) is with a company that is affiliated to the company and the director or senior officer is also a director or senior officer of that company or an affiliate of that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or senior officer who holds a disclosable interest may also be liable to account to the company for any profit that accrues to the director or senior officer under or as a result of a contract or transaction in which the director or senior officer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or senior officer, the disclosable interest was disclosed to the other directors or shareholders and the director or senior officer who holds the disclosable interest does not vote on any decision or resolution touching on the contract or transaction. Directors and senior officers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power to determine the remuneration of directors. The remuneration of our directors, if any, may be determined by our directors subject to our Articles. The remuneration may be in addition to any salary or other remuneration paid to any of our employees (including executive officers) who are also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required to be owned by a director. Our Articles do not and the BCBCA does not provide that a director is required to hold any of Common Shares as a qualification for holding his or her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and the auditors,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 and Advance Notice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BCBCA, qualified shareholders holding at least either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advance notice provisions with respect to the election of our directors are included in the notice of articles and articles, referred to herein as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referred to herein as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could have the effect of delaying until the next shareholder meeting the nomination of certain persons for director that are favored by the holders of a majority of our outstanding voting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Forum Selection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articles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of articles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of articles and articles provides that the federal district courts of the United States of America, to the fullest extent permitted by law, are the sole and exclusive forum for resolving any complaint asserting a cause of action arising under the Securities Act, referred to herein as the Federal Forum Provision. Application of the Federal Forum Provision means that suits brought by our shareholders to enforce any duty or liability created by the Securities Act must be brought in federal court and cannot be brought in state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of articles and articles to be inapplicable or unenforceable in an action, we may incur additional costs associated with resolving such action in other jurisdictions, which could harm our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of Liability and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or an indemnifiable person, against all judgments, penalties or fines, or amounts paid to settle a proceeding or an action, in respect of any legal proceeding or investigative action (whether current, threatened, pending or completed) in which he or she is involved because of that person’s position as an indemnifiable person, or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 subject to the indemnifiable person providing an undertaking that such person will repay the amounts advanced if it is ultimately determined that the payment of such expenses is prohibited by the BCBCA.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na_012"/>
      <w:bookmarkEnd w:id="28"/>
      <w:r>
        <w:rPr>
          <w:rFonts w:ascii="Times New Roman;Times;Serif" w:hAnsi="Times New Roman;Times;Serif"/>
          <w:b/>
          <w:i w:val="false"/>
          <w:caps w:val="false"/>
          <w:smallCaps w:val="false"/>
          <w:sz w:val="20"/>
        </w:rPr>
        <w:t>OWNERSHIP AND EXCHANGE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limitation imposed by Canadian law or by the notice of articles and articles on the right of a non-resident to hold or vote Common Shares, other than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the ability to acquire and hold Common Shares may be imposed by the Competition Act (Canada). This legislation permits the Commissioner of Competition, or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Canada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Canada Act requires each “non Canadian” (as defined in the Investment Canada Act) who acquires “control” of an existing “Canadian business,” to file a notification in prescribed form with the responsible federal government department or departments not later than 30 days after closing, provided the acquisition of control is not a reviewable transaction under the Investment Canada Act. Subject to certain exemptions, a transaction that is reviewable under the Investment Canada Act may not be implemented until an application for review has been filed and the responsible Minister of the federal cabinet has determined that the investment is likely to be of “net benefit to Canada” taking into account certain factors set out in the Investment Canada Act. Under the Investment Canada Act, an investment in Common Shares by a non-Canadian who is an investor originating from a country with which Canada has a free trade agreement, including a United States investor, and is not a state-owned enterprise, would be reviewable only if it were an investment to acquire control of us pursuant to the Investment Canada Act and our enterprise value (as determined pursuant to the Investment Canada Act and its regulations) was equal to or greater than the amount specified, which is currently CAD$1.711 billion. For most other investors who are not state-owned enterprises the threshold is currently CAD$1.141 billion for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Canada Act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national-security-review regime in the Investment Canada Act,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 or post-closing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transactions relating to Common Shares will generally be exempt from the Investment Canada Act, subject to the federal government’s prerogative to conduct a national-security review,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the acquisition of Common Shares by a person in the ordinary course of that person’s business as a trader or dealer in securities;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acquisition of control of us in connection with the realization of security granted for a loan or other financial assistance and not for any purpose related to the provisions of the Investment Canada Act; and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acquisition of control of us by reason of an amalgamation, merger, consolidation or corporate reorganization following which the ultimate direct or indirect control in fact of us, through ownership of Common Shares, remains unchanged.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shd w:fill="FFFFFF" w:val="clear"/>
        </w:rPr>
      </w:pPr>
      <w:bookmarkStart w:id="29" w:name="na_013"/>
      <w:bookmarkEnd w:id="29"/>
      <w:r>
        <w:rPr>
          <w:rFonts w:ascii="Times New Roman;Times;Serif" w:hAnsi="Times New Roman;Times;Serif"/>
          <w:b/>
          <w:i w:val="false"/>
          <w:caps/>
          <w:sz w:val="20"/>
          <w:shd w:fill="FFFFFF" w:val="clear"/>
        </w:rPr>
        <w:t>MATERIAL 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material U.S. federal income tax considerations applicable to you if you are a U.S. Holder (as defined below) of our Common Shares and/or public warrants. This discussion addresses only those U.S. Holders that hold our Common Shares and/or public warrants as capital assets within the meaning of Section 1221 of the Internal Revenue Code of 1986, as amended, or the Code (generally property held for investment). This summary does not discuss all aspects of U.S. federal income taxation that may be relevant to particular investors in light of their particular circumstances, or to investors subject to special tax rules, such as:</w:t>
      </w:r>
    </w:p>
    <w:p>
      <w:pPr>
        <w:pStyle w:val="TextBody"/>
        <w:bidi w:val="0"/>
        <w:spacing w:before="0" w:after="0"/>
        <w:ind w:left="0" w:right="0" w:hanging="0"/>
        <w:jc w:val="left"/>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38"/>
        <w:gridCol w:w="125"/>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985" w:type="dxa"/>
            <w:tcBorders/>
            <w:vAlign w:val="center"/>
          </w:tcPr>
          <w:p>
            <w:pPr>
              <w:pStyle w:val="TableContents"/>
              <w:bidi w:val="0"/>
              <w:spacing w:before="0" w:after="283"/>
              <w:jc w:val="both"/>
              <w:rPr/>
            </w:pPr>
            <w:r>
              <w:rPr/>
              <w:t>financial institutions;</w:t>
            </w:r>
          </w:p>
        </w:tc>
      </w:tr>
    </w:tbl>
    <w:tbl>
      <w:tblPr>
        <w:tblW w:w="2223" w:type="dxa"/>
        <w:jc w:val="left"/>
        <w:tblInd w:w="0" w:type="dxa"/>
        <w:tblLayout w:type="fixed"/>
        <w:tblCellMar>
          <w:top w:w="0" w:type="dxa"/>
          <w:left w:w="0" w:type="dxa"/>
          <w:bottom w:w="0" w:type="dxa"/>
          <w:right w:w="0" w:type="dxa"/>
        </w:tblCellMar>
      </w:tblPr>
      <w:tblGrid>
        <w:gridCol w:w="38"/>
        <w:gridCol w:w="125"/>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060" w:type="dxa"/>
            <w:tcBorders/>
            <w:vAlign w:val="center"/>
          </w:tcPr>
          <w:p>
            <w:pPr>
              <w:pStyle w:val="TableContents"/>
              <w:bidi w:val="0"/>
              <w:spacing w:before="0" w:after="283"/>
              <w:jc w:val="both"/>
              <w:rPr/>
            </w:pPr>
            <w:r>
              <w:rPr/>
              <w:t>insurance companies;</w:t>
            </w:r>
          </w:p>
        </w:tc>
      </w:tr>
    </w:tbl>
    <w:tbl>
      <w:tblPr>
        <w:tblW w:w="1488" w:type="dxa"/>
        <w:jc w:val="left"/>
        <w:tblInd w:w="0" w:type="dxa"/>
        <w:tblLayout w:type="fixed"/>
        <w:tblCellMar>
          <w:top w:w="0" w:type="dxa"/>
          <w:left w:w="0" w:type="dxa"/>
          <w:bottom w:w="0" w:type="dxa"/>
          <w:right w:w="0" w:type="dxa"/>
        </w:tblCellMar>
      </w:tblPr>
      <w:tblGrid>
        <w:gridCol w:w="38"/>
        <w:gridCol w:w="125"/>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325" w:type="dxa"/>
            <w:tcBorders/>
            <w:vAlign w:val="center"/>
          </w:tcPr>
          <w:p>
            <w:pPr>
              <w:pStyle w:val="TableContents"/>
              <w:bidi w:val="0"/>
              <w:spacing w:before="0" w:after="283"/>
              <w:jc w:val="both"/>
              <w:rPr/>
            </w:pPr>
            <w:r>
              <w:rPr/>
              <w:t>mutual funds;</w:t>
            </w:r>
          </w:p>
        </w:tc>
      </w:tr>
    </w:tbl>
    <w:tbl>
      <w:tblPr>
        <w:tblW w:w="1548" w:type="dxa"/>
        <w:jc w:val="left"/>
        <w:tblInd w:w="0" w:type="dxa"/>
        <w:tblLayout w:type="fixed"/>
        <w:tblCellMar>
          <w:top w:w="0" w:type="dxa"/>
          <w:left w:w="0" w:type="dxa"/>
          <w:bottom w:w="0" w:type="dxa"/>
          <w:right w:w="0" w:type="dxa"/>
        </w:tblCellMar>
      </w:tblPr>
      <w:tblGrid>
        <w:gridCol w:w="38"/>
        <w:gridCol w:w="125"/>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385" w:type="dxa"/>
            <w:tcBorders/>
            <w:vAlign w:val="center"/>
          </w:tcPr>
          <w:p>
            <w:pPr>
              <w:pStyle w:val="TableContents"/>
              <w:bidi w:val="0"/>
              <w:spacing w:before="0" w:after="283"/>
              <w:jc w:val="both"/>
              <w:rPr/>
            </w:pPr>
            <w:r>
              <w:rPr/>
              <w:t>pension plans;</w:t>
            </w:r>
          </w:p>
        </w:tc>
      </w:tr>
    </w:tbl>
    <w:tbl>
      <w:tblPr>
        <w:tblW w:w="1623" w:type="dxa"/>
        <w:jc w:val="left"/>
        <w:tblInd w:w="0" w:type="dxa"/>
        <w:tblLayout w:type="fixed"/>
        <w:tblCellMar>
          <w:top w:w="0" w:type="dxa"/>
          <w:left w:w="0" w:type="dxa"/>
          <w:bottom w:w="0" w:type="dxa"/>
          <w:right w:w="0" w:type="dxa"/>
        </w:tblCellMar>
      </w:tblPr>
      <w:tblGrid>
        <w:gridCol w:w="38"/>
        <w:gridCol w:w="125"/>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460" w:type="dxa"/>
            <w:tcBorders/>
            <w:vAlign w:val="center"/>
          </w:tcPr>
          <w:p>
            <w:pPr>
              <w:pStyle w:val="TableContents"/>
              <w:bidi w:val="0"/>
              <w:spacing w:before="0" w:after="283"/>
              <w:jc w:val="both"/>
              <w:rPr/>
            </w:pPr>
            <w:r>
              <w:rPr/>
              <w:t>S corporations;</w:t>
            </w:r>
          </w:p>
        </w:tc>
      </w:tr>
    </w:tbl>
    <w:tbl>
      <w:tblPr>
        <w:tblW w:w="1608" w:type="dxa"/>
        <w:jc w:val="left"/>
        <w:tblInd w:w="0" w:type="dxa"/>
        <w:tblLayout w:type="fixed"/>
        <w:tblCellMar>
          <w:top w:w="0" w:type="dxa"/>
          <w:left w:w="0" w:type="dxa"/>
          <w:bottom w:w="0" w:type="dxa"/>
          <w:right w:w="0" w:type="dxa"/>
        </w:tblCellMar>
      </w:tblPr>
      <w:tblGrid>
        <w:gridCol w:w="38"/>
        <w:gridCol w:w="12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445" w:type="dxa"/>
            <w:tcBorders/>
            <w:vAlign w:val="center"/>
          </w:tcPr>
          <w:p>
            <w:pPr>
              <w:pStyle w:val="TableContents"/>
              <w:bidi w:val="0"/>
              <w:spacing w:before="0" w:after="283"/>
              <w:jc w:val="both"/>
              <w:rPr/>
            </w:pPr>
            <w:r>
              <w:rPr/>
              <w:t>broker-dealers;</w:t>
            </w:r>
          </w:p>
        </w:tc>
      </w:tr>
    </w:tbl>
    <w:tbl>
      <w:tblPr>
        <w:tblW w:w="5403" w:type="dxa"/>
        <w:jc w:val="left"/>
        <w:tblInd w:w="0" w:type="dxa"/>
        <w:tblLayout w:type="fixed"/>
        <w:tblCellMar>
          <w:top w:w="0" w:type="dxa"/>
          <w:left w:w="0" w:type="dxa"/>
          <w:bottom w:w="0" w:type="dxa"/>
          <w:right w:w="0" w:type="dxa"/>
        </w:tblCellMar>
      </w:tblPr>
      <w:tblGrid>
        <w:gridCol w:w="38"/>
        <w:gridCol w:w="125"/>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240" w:type="dxa"/>
            <w:tcBorders/>
            <w:vAlign w:val="center"/>
          </w:tcPr>
          <w:p>
            <w:pPr>
              <w:pStyle w:val="TableContents"/>
              <w:bidi w:val="0"/>
              <w:spacing w:before="0" w:after="283"/>
              <w:jc w:val="both"/>
              <w:rPr/>
            </w:pPr>
            <w:r>
              <w:rPr/>
              <w:t>traders in securities that elect mark-to-market treatment;</w:t>
            </w:r>
          </w:p>
        </w:tc>
      </w:tr>
    </w:tbl>
    <w:tbl>
      <w:tblPr>
        <w:tblW w:w="3273" w:type="dxa"/>
        <w:jc w:val="left"/>
        <w:tblInd w:w="0" w:type="dxa"/>
        <w:tblLayout w:type="fixed"/>
        <w:tblCellMar>
          <w:top w:w="0" w:type="dxa"/>
          <w:left w:w="0" w:type="dxa"/>
          <w:bottom w:w="0" w:type="dxa"/>
          <w:right w:w="0" w:type="dxa"/>
        </w:tblCellMar>
      </w:tblPr>
      <w:tblGrid>
        <w:gridCol w:w="38"/>
        <w:gridCol w:w="125"/>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110" w:type="dxa"/>
            <w:tcBorders/>
            <w:vAlign w:val="center"/>
          </w:tcPr>
          <w:p>
            <w:pPr>
              <w:pStyle w:val="TableContents"/>
              <w:bidi w:val="0"/>
              <w:spacing w:before="0" w:after="283"/>
              <w:jc w:val="both"/>
              <w:rPr/>
            </w:pPr>
            <w:r>
              <w:rPr/>
              <w:t>regulated investment companies;</w:t>
            </w:r>
          </w:p>
        </w:tc>
      </w:tr>
    </w:tbl>
    <w:tbl>
      <w:tblPr>
        <w:tblW w:w="2823" w:type="dxa"/>
        <w:jc w:val="left"/>
        <w:tblInd w:w="0" w:type="dxa"/>
        <w:tblLayout w:type="fixed"/>
        <w:tblCellMar>
          <w:top w:w="0" w:type="dxa"/>
          <w:left w:w="0" w:type="dxa"/>
          <w:bottom w:w="0" w:type="dxa"/>
          <w:right w:w="0" w:type="dxa"/>
        </w:tblCellMar>
      </w:tblPr>
      <w:tblGrid>
        <w:gridCol w:w="38"/>
        <w:gridCol w:w="125"/>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660" w:type="dxa"/>
            <w:tcBorders/>
            <w:vAlign w:val="center"/>
          </w:tcPr>
          <w:p>
            <w:pPr>
              <w:pStyle w:val="TableContents"/>
              <w:bidi w:val="0"/>
              <w:spacing w:before="0" w:after="283"/>
              <w:jc w:val="both"/>
              <w:rPr/>
            </w:pPr>
            <w:r>
              <w:rPr/>
              <w:t>real estate investment trusts;</w:t>
            </w:r>
          </w:p>
        </w:tc>
      </w:tr>
    </w:tbl>
    <w:tbl>
      <w:tblPr>
        <w:tblW w:w="1833" w:type="dxa"/>
        <w:jc w:val="left"/>
        <w:tblInd w:w="0" w:type="dxa"/>
        <w:tblLayout w:type="fixed"/>
        <w:tblCellMar>
          <w:top w:w="0" w:type="dxa"/>
          <w:left w:w="0" w:type="dxa"/>
          <w:bottom w:w="0" w:type="dxa"/>
          <w:right w:w="0" w:type="dxa"/>
        </w:tblCellMar>
      </w:tblPr>
      <w:tblGrid>
        <w:gridCol w:w="38"/>
        <w:gridCol w:w="125"/>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670" w:type="dxa"/>
            <w:tcBorders/>
            <w:vAlign w:val="center"/>
          </w:tcPr>
          <w:p>
            <w:pPr>
              <w:pStyle w:val="TableContents"/>
              <w:bidi w:val="0"/>
              <w:spacing w:before="0" w:after="283"/>
              <w:jc w:val="both"/>
              <w:rPr/>
            </w:pPr>
            <w:r>
              <w:rPr/>
              <w:t>trusts and estates;</w:t>
            </w:r>
          </w:p>
        </w:tc>
      </w:tr>
    </w:tbl>
    <w:tbl>
      <w:tblPr>
        <w:tblW w:w="5598" w:type="dxa"/>
        <w:jc w:val="left"/>
        <w:tblInd w:w="0" w:type="dxa"/>
        <w:tblLayout w:type="fixed"/>
        <w:tblCellMar>
          <w:top w:w="0" w:type="dxa"/>
          <w:left w:w="0" w:type="dxa"/>
          <w:bottom w:w="0" w:type="dxa"/>
          <w:right w:w="0" w:type="dxa"/>
        </w:tblCellMar>
      </w:tblPr>
      <w:tblGrid>
        <w:gridCol w:w="38"/>
        <w:gridCol w:w="125"/>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435" w:type="dxa"/>
            <w:tcBorders/>
            <w:vAlign w:val="center"/>
          </w:tcPr>
          <w:p>
            <w:pPr>
              <w:pStyle w:val="TableContents"/>
              <w:bidi w:val="0"/>
              <w:spacing w:before="0" w:after="283"/>
              <w:jc w:val="both"/>
              <w:rPr/>
            </w:pPr>
            <w:r>
              <w:rPr/>
              <w:t>tax-exempt organizations (including private foundations);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investors that hold our Common Shares or public warrants as part of a “straddle,” “hedge,” “conversion,” “synthetic security,” “constructive ownership transaction,” “constructive sale” or other integrated transaction for U.S. federal income tax purposes;</w:t>
            </w:r>
          </w:p>
        </w:tc>
      </w:tr>
    </w:tbl>
    <w:tbl>
      <w:tblPr>
        <w:tblW w:w="6948" w:type="dxa"/>
        <w:jc w:val="left"/>
        <w:tblInd w:w="0" w:type="dxa"/>
        <w:tblLayout w:type="fixed"/>
        <w:tblCellMar>
          <w:top w:w="0" w:type="dxa"/>
          <w:left w:w="0" w:type="dxa"/>
          <w:bottom w:w="0" w:type="dxa"/>
          <w:right w:w="0" w:type="dxa"/>
        </w:tblCellMar>
      </w:tblPr>
      <w:tblGrid>
        <w:gridCol w:w="38"/>
        <w:gridCol w:w="125"/>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785" w:type="dxa"/>
            <w:tcBorders/>
            <w:vAlign w:val="center"/>
          </w:tcPr>
          <w:p>
            <w:pPr>
              <w:pStyle w:val="TableContents"/>
              <w:bidi w:val="0"/>
              <w:spacing w:before="0" w:after="283"/>
              <w:jc w:val="both"/>
              <w:rPr/>
            </w:pPr>
            <w:r>
              <w:rPr/>
              <w:t>investors subject to the alternative minimum tax provisions of the Code;</w:t>
            </w:r>
          </w:p>
        </w:tc>
      </w:tr>
    </w:tbl>
    <w:tbl>
      <w:tblPr>
        <w:tblW w:w="6918" w:type="dxa"/>
        <w:jc w:val="left"/>
        <w:tblInd w:w="0" w:type="dxa"/>
        <w:tblLayout w:type="fixed"/>
        <w:tblCellMar>
          <w:top w:w="0" w:type="dxa"/>
          <w:left w:w="0" w:type="dxa"/>
          <w:bottom w:w="0" w:type="dxa"/>
          <w:right w:w="0" w:type="dxa"/>
        </w:tblCellMar>
      </w:tblPr>
      <w:tblGrid>
        <w:gridCol w:w="38"/>
        <w:gridCol w:w="125"/>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755" w:type="dxa"/>
            <w:tcBorders/>
            <w:vAlign w:val="center"/>
          </w:tcPr>
          <w:p>
            <w:pPr>
              <w:pStyle w:val="TableContents"/>
              <w:bidi w:val="0"/>
              <w:spacing w:before="0" w:after="283"/>
              <w:jc w:val="both"/>
              <w:rPr/>
            </w:pPr>
            <w:r>
              <w:rPr/>
              <w:t>U.S. Holders that have a functional currency other than the U.S. dollar;</w:t>
            </w:r>
          </w:p>
        </w:tc>
      </w:tr>
    </w:tbl>
    <w:tbl>
      <w:tblPr>
        <w:tblW w:w="6483" w:type="dxa"/>
        <w:jc w:val="left"/>
        <w:tblInd w:w="0" w:type="dxa"/>
        <w:tblLayout w:type="fixed"/>
        <w:tblCellMar>
          <w:top w:w="0" w:type="dxa"/>
          <w:left w:w="0" w:type="dxa"/>
          <w:bottom w:w="0" w:type="dxa"/>
          <w:right w:w="0" w:type="dxa"/>
        </w:tblCellMar>
      </w:tblPr>
      <w:tblGrid>
        <w:gridCol w:w="38"/>
        <w:gridCol w:w="125"/>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320" w:type="dxa"/>
            <w:tcBorders/>
            <w:vAlign w:val="center"/>
          </w:tcPr>
          <w:p>
            <w:pPr>
              <w:pStyle w:val="TableContents"/>
              <w:bidi w:val="0"/>
              <w:spacing w:before="0" w:after="283"/>
              <w:jc w:val="both"/>
              <w:rPr/>
            </w:pPr>
            <w:r>
              <w:rPr/>
              <w:t>U.S. expatriates or former long-term residents of the United States;</w:t>
            </w:r>
          </w:p>
        </w:tc>
      </w:tr>
    </w:tbl>
    <w:tbl>
      <w:tblPr>
        <w:tblW w:w="4548" w:type="dxa"/>
        <w:jc w:val="left"/>
        <w:tblInd w:w="0" w:type="dxa"/>
        <w:tblLayout w:type="fixed"/>
        <w:tblCellMar>
          <w:top w:w="0" w:type="dxa"/>
          <w:left w:w="0" w:type="dxa"/>
          <w:bottom w:w="0" w:type="dxa"/>
          <w:right w:w="0" w:type="dxa"/>
        </w:tblCellMar>
      </w:tblPr>
      <w:tblGrid>
        <w:gridCol w:w="38"/>
        <w:gridCol w:w="125"/>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385" w:type="dxa"/>
            <w:tcBorders/>
            <w:vAlign w:val="center"/>
          </w:tcPr>
          <w:p>
            <w:pPr>
              <w:pStyle w:val="TableContents"/>
              <w:bidi w:val="0"/>
              <w:spacing w:before="0" w:after="283"/>
              <w:jc w:val="both"/>
              <w:rPr/>
            </w:pPr>
            <w:r>
              <w:rPr/>
              <w:t>investors subject to the U.S. “inversion” rules;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U.S. Holders owning or considered as owning (directly, indirectly, or through attribution) 5% (measured by vote or value) or more of our Common Shares;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persons that acquired our Common Shares or public warrants pursuant to an exercise of employee share options, in connection with employee share incentive plans or otherwise as compensation as compensation;</w:t>
            </w:r>
          </w:p>
        </w:tc>
      </w:tr>
    </w:tbl>
    <w:tbl>
      <w:tblPr>
        <w:tblW w:w="3168" w:type="dxa"/>
        <w:jc w:val="left"/>
        <w:tblInd w:w="0" w:type="dxa"/>
        <w:tblLayout w:type="fixed"/>
        <w:tblCellMar>
          <w:top w:w="0" w:type="dxa"/>
          <w:left w:w="0" w:type="dxa"/>
          <w:bottom w:w="0" w:type="dxa"/>
          <w:right w:w="0" w:type="dxa"/>
        </w:tblCellMar>
      </w:tblPr>
      <w:tblGrid>
        <w:gridCol w:w="38"/>
        <w:gridCol w:w="125"/>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005" w:type="dxa"/>
            <w:tcBorders/>
            <w:vAlign w:val="center"/>
          </w:tcPr>
          <w:p>
            <w:pPr>
              <w:pStyle w:val="TableContents"/>
              <w:bidi w:val="0"/>
              <w:spacing w:before="0" w:after="283"/>
              <w:jc w:val="both"/>
              <w:rPr/>
            </w:pPr>
            <w:r>
              <w:rPr/>
              <w:t>controlled foreign corporations;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accrual method taxpayers that file applicable financial statements as described in Section 451(b) of the Code;</w:t>
            </w:r>
          </w:p>
        </w:tc>
      </w:tr>
    </w:tbl>
    <w:tbl>
      <w:tblPr>
        <w:tblW w:w="8523" w:type="dxa"/>
        <w:jc w:val="left"/>
        <w:tblInd w:w="0" w:type="dxa"/>
        <w:tblLayout w:type="fixed"/>
        <w:tblCellMar>
          <w:top w:w="0" w:type="dxa"/>
          <w:left w:w="0" w:type="dxa"/>
          <w:bottom w:w="0" w:type="dxa"/>
          <w:right w:w="0" w:type="dxa"/>
        </w:tblCellMar>
      </w:tblPr>
      <w:tblGrid>
        <w:gridCol w:w="38"/>
        <w:gridCol w:w="125"/>
        <w:gridCol w:w="83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360" w:type="dxa"/>
            <w:tcBorders/>
            <w:vAlign w:val="center"/>
          </w:tcPr>
          <w:p>
            <w:pPr>
              <w:pStyle w:val="TableContents"/>
              <w:bidi w:val="0"/>
              <w:spacing w:before="0" w:after="283"/>
              <w:jc w:val="both"/>
              <w:rPr/>
            </w:pPr>
            <w:r>
              <w:rPr/>
              <w:t>passive foreign investment companies (except to the limited extent provided herein); and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persons who are not U.S. Holders, all of whom may be subject to tax rules that differ materially from those summarized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upon the Code, the U.S. Department of Treasury regulations, or Treasury Regulations, current administrative interpretations and practices of the Internal Revenue Service, or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Common Shares or public warrants, as the case may be, that is:</w:t>
      </w:r>
    </w:p>
    <w:p>
      <w:pPr>
        <w:pStyle w:val="TextBody"/>
        <w:bidi w:val="0"/>
        <w:spacing w:before="0" w:after="0"/>
        <w:ind w:left="0" w:right="0" w:hanging="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125"/>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320" w:type="dxa"/>
            <w:tcBorders/>
            <w:vAlign w:val="center"/>
          </w:tcPr>
          <w:p>
            <w:pPr>
              <w:pStyle w:val="TableContents"/>
              <w:bidi w:val="0"/>
              <w:spacing w:before="0" w:after="283"/>
              <w:jc w:val="left"/>
              <w:rPr/>
            </w:pPr>
            <w:r>
              <w:rPr/>
              <w:t>an individual who is a U.S. citizen or resident of the United States;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 corporation (including an entity treated as a corporation for U.S. federal income tax purposes) created or organized in or under the laws of the United States, any state thereof or the District of Columbia;</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an estate the income of which is includible in gross income for U.S. federal income tax purposes regardless of its source; or</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of Ownership and Disposition of Common Shares and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 and Other Distributions on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PFIC rules discussed below under the heading “-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xml:space="preserve">,” distributions on Common Shares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Times New Roman;Times;Serif" w:hAnsi="Times New Roman;Times;Serif"/>
          <w:b w:val="false"/>
          <w:i/>
          <w:caps w:val="false"/>
          <w:smallCaps w:val="false"/>
          <w:sz w:val="20"/>
        </w:rPr>
        <w:t>Tax Consequences of Ownership and Disposition of Common Shares and Public Warrants - Sale, Taxable Exchange or Other Taxable Disposition of Common Shares and Public Warrants.</w:t>
      </w:r>
      <w:r>
        <w:rPr>
          <w:rFonts w:ascii="Times New Roman;Times;Serif" w:hAnsi="Times New Roman;Times;Serif"/>
          <w:b w:val="false"/>
          <w:i w:val="false"/>
          <w:caps w:val="false"/>
          <w:smallCaps w:val="false"/>
          <w:sz w:val="20"/>
        </w:rPr>
        <w:t>” The amount of any such distribution will include any amounts withheld by us (or another applicable withholding agent) in respect of Canadian income taxes. Any amount treated as dividend income will be treated as foreign-source dividend income. Amounts treated as dividends that the Company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the Company is eligible for benefits under an applicable tax treaty with the United States, and the Company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limitations, non-refundable Canadian income taxes withheld from dividends on Common Shares at a rate not exceeding the rate provided by the applicable treaty with the United States will be eligible for credit against the U.S. treaty beneficiary’s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Taxable Exchange or Other Taxable Disposition of Common Shares and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PFIC rules discussed below under the heading “-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in “</w:t>
      </w:r>
      <w:r>
        <w:rPr>
          <w:rFonts w:ascii="Times New Roman;Times;Serif" w:hAnsi="Times New Roman;Times;Serif"/>
          <w:b w:val="false"/>
          <w:i/>
          <w:caps w:val="false"/>
          <w:smallCaps w:val="false"/>
          <w:sz w:val="20"/>
        </w:rPr>
        <w:t>- Tax Consequences of Ownership and Disposition of Common Shares and Public Warrants - Exercise or Lapse of a Public Warrant</w:t>
      </w:r>
      <w:r>
        <w:rPr>
          <w:rFonts w:ascii="Times New Roman;Times;Serif" w:hAnsi="Times New Roman;Times;Serif"/>
          <w:b w:val="false"/>
          <w:i w:val="false"/>
          <w:caps w:val="false"/>
          <w:smallCaps w:val="false"/>
          <w:sz w:val="20"/>
        </w:rPr>
        <w:t>”). Any such gain or loss generally will be capital gain or loss and will be long-term capital gain or loss if the U.S. Holder’s holding period for such Common Shares exceeds one (1) year. Long-term capital gain realized by a non-corporate U.S. Holder generally will be taxable at a reduced rate. The deduction of capital losses is subject to limitations. This gain or loss generally will be treated as U.S. source gain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or Lapse of a Public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Common Shares received would equal the sum of the U.S. Holder’s tax basis in the public warrants exercised, and the exercise price of such public warrants. It is unclear whether a U.S. Holder’s holding period for the shares of Common Shares would commence on the date of exercise of the public warrant or the day following the date of exercise of the public warrant; in either case, the holding period will not include the period during which the U.S. Holder held the public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redeems public warrants for cash or if the Company purchases public warrants in an open market transaction, such redemption or purchase generally will be treated as a taxable disposition to the U.S. Holder, taxed as described above under “- </w:t>
      </w:r>
      <w:r>
        <w:rPr>
          <w:rFonts w:ascii="Times New Roman;Times;Serif" w:hAnsi="Times New Roman;Times;Serif"/>
          <w:b w:val="false"/>
          <w:i/>
          <w:caps w:val="false"/>
          <w:smallCaps w:val="false"/>
          <w:sz w:val="20"/>
        </w:rPr>
        <w:t>Tax Consequences of Ownership and Disposition of Common Shares and Public Warrants - Sale, Taxable Exchange or Other Taxable Disposition of Common Shares and Public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 to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Times New Roman;Times;Serif" w:hAnsi="Times New Roman;Times;Serif"/>
          <w:b w:val="false"/>
          <w:i/>
          <w:caps w:val="false"/>
          <w:smallCaps w:val="false"/>
          <w:sz w:val="20"/>
        </w:rPr>
        <w:t>Tax Consequences of Ownership and Disposition of Common Shares and Public Warrants - Dividends and Other Distributions on Common Shares</w:t>
      </w:r>
      <w:r>
        <w:rPr>
          <w:rFonts w:ascii="Times New Roman;Times;Serif" w:hAnsi="Times New Roman;Times;Serif"/>
          <w:b w:val="false"/>
          <w:i w:val="false"/>
          <w:caps w:val="false"/>
          <w:smallCaps w:val="false"/>
          <w:sz w:val="20"/>
        </w:rPr>
        <w:t>”). The rules governing constructive distributions as a result of certain adjustments with respect to a public warrant are complex, and U.S. Holders are urged to consult their tax advisors on the tax consequences any such constructive distribution with respect to a public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treatment of U.S. Holders of Common Shares and public warrants could be materially different from that described above if the Company is treated as a PFIC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or the Asset Test.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initial assessment, we do not believe that the Company was classified as a PFIC for U.S. federal income tax purposes for the taxable year ending December 31, 2021. However, the application of the PFIC rules is subject to uncertainty in several respects, and we cannot assure you that the IRS will not take a contrary position. Furthermore, whether the Company is classified as a PFIC is a factual determination that must be made annually after the close of each taxable year. Accordingly, there can be no assurance with respect to the Company’s status as a PFIC for the current or any future taxable year. Although PFIC status is generally determined annually, if the Company is determined to be a PFIC for any taxable year (or portion thereof) that is included in the holding period of a U.S. Holder of Common Shares and the U.S. Holder did not make either a qualifying electing fund, or QEF, election or a mark-to-market election, or collectively, the PFIC Elections, for the first taxable year of the Company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the U.S. Holder’s gain or excess distribution will be allocated ratably over the U.S. Holder’s holding period for the Common Shares;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amount allocated to the U.S. Holder’s taxable year in which the U.S. Holder recognized the gain or received the excess distribution, and to any period in the U.S. Holder’s holding period before the first day of the Company’s first taxable year in which the Company is a PFIC, will be taxed as ordinary income;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amount allocated to other taxable years (or portions thereof) of the U.S. Holder and included in its holding period will be taxed at the highest tax rate in effect for that year and applicable to the U.S. Holder; and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an additional tax equal to the interest charge generally applicable to underpayments of tax will be imposed on the U.S. Holder with respect to the tax attributable to each such other taxable year of the U.S.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PFIC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if the Company is determined to be a PFIC, a U.S. Holder may avoid the adverse PFIC tax consequences described above in respect of Common Shares by making and maintaining a timely and valid QEF election (if eligible to do so) to include in income its pro rata share of the Company’s net capital gains (as long-term capital gain) and other earnings and profits (as ordinary income), on a current basis, in each case whether or not distributed, in the first taxable year of the U.S. Holder in which or with which the Company’s taxable year ends and each subsequent taxable year. A U.S. Holder generally may make a separate election to defer the payment of taxes on undistributed income inclusions under the QEF rules, but if deferred, any such taxes will be subject to an interest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requirements of a QEF election, a U.S. Holder must receive a PFIC Annual Information Statement from us. If the Company determines that it is a PFIC, the Company intends to provide the information necessary for U.S. Holders to make or maintain a QEF election, including information necessary to determine the appropriate income inclusion amounts for purposes of the QEF election. However, there is also no assurance that the Company will have timely knowledge of its status as a PFIC in the future or of the required information to be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if the Company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the Company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the Company will be deemed to have made a distribution to the U.S. Holder of such U.S. Holder’s pro rata share of the Company’s earnings and profits as determined for U.S. federal income tax purposes. In order for the U.S. Holder to make the second election, the Company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PFIC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the Company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the Company’s securities under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backup withholding from a payment to a U.S. Holder will be allowed as a credit against the holder’s U.S. federal income tax liability and may entitle it to a refund, provided that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shd w:fill="FFFFFF" w:val="clear"/>
        </w:rPr>
      </w:pPr>
      <w:bookmarkStart w:id="30" w:name="na_014"/>
      <w:bookmarkEnd w:id="30"/>
      <w:r>
        <w:rPr>
          <w:rFonts w:ascii="Times New Roman;Times;Serif" w:hAnsi="Times New Roman;Times;Serif"/>
          <w:b/>
          <w:i w:val="false"/>
          <w:caps/>
          <w:sz w:val="20"/>
          <w:shd w:fill="FFFFFF" w:val="clear"/>
        </w:rPr>
        <w:t>MATERIAL CANADIAN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as of the date of this prospectus, a summary of the principal Canadian federal income tax considerations pursuant to the </w:t>
      </w:r>
      <w:r>
        <w:rPr>
          <w:rFonts w:ascii="Times New Roman;Times;Serif" w:hAnsi="Times New Roman;Times;Serif"/>
          <w:b w:val="false"/>
          <w:i/>
          <w:caps w:val="false"/>
          <w:smallCaps w:val="false"/>
          <w:sz w:val="20"/>
        </w:rPr>
        <w:t xml:space="preserve">Income Tax Act </w:t>
      </w:r>
      <w:r>
        <w:rPr>
          <w:rFonts w:ascii="Times New Roman;Times;Serif" w:hAnsi="Times New Roman;Times;Serif"/>
          <w:b w:val="false"/>
          <w:i w:val="false"/>
          <w:caps w:val="false"/>
          <w:smallCaps w:val="false"/>
          <w:sz w:val="20"/>
        </w:rPr>
        <w:t>(Canada) and the regulations thereunder, (the “Tax Act”) that generally apply to the acquisition, holding or disposition of Common Shares and public warrants by a person who is neither resident nor deemed to be resident in Canada for purposes of the Tax Act and acquires a beneficial interest in Common Shares or public warrants, (a “Non-Resident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applies only to a Non-Resident Holder who, at all relevant times, for purposes of the Tax Act:</w:t>
      </w:r>
    </w:p>
    <w:p>
      <w:pPr>
        <w:pStyle w:val="TextBody"/>
        <w:bidi w:val="0"/>
        <w:spacing w:before="0" w:after="0"/>
        <w:ind w:left="0" w:right="0" w:hanging="0"/>
        <w:jc w:val="left"/>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125"/>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795" w:type="dxa"/>
            <w:tcBorders/>
            <w:vAlign w:val="center"/>
          </w:tcPr>
          <w:p>
            <w:pPr>
              <w:pStyle w:val="TableContents"/>
              <w:bidi w:val="0"/>
              <w:spacing w:before="0" w:after="283"/>
              <w:jc w:val="both"/>
              <w:rPr/>
            </w:pPr>
            <w:r>
              <w:rPr/>
              <w:t>holds Common Shares or public warrants as capital property;</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does not, and is not deemed to, use or hold Common Shares or public warrants in the course of carrying on a business in Canada; and</w:t>
            </w:r>
          </w:p>
        </w:tc>
      </w:tr>
    </w:tbl>
    <w:tbl>
      <w:tblPr>
        <w:tblW w:w="4803" w:type="dxa"/>
        <w:jc w:val="left"/>
        <w:tblInd w:w="0" w:type="dxa"/>
        <w:tblLayout w:type="fixed"/>
        <w:tblCellMar>
          <w:top w:w="0" w:type="dxa"/>
          <w:left w:w="0" w:type="dxa"/>
          <w:bottom w:w="0" w:type="dxa"/>
          <w:right w:w="0" w:type="dxa"/>
        </w:tblCellMar>
      </w:tblPr>
      <w:tblGrid>
        <w:gridCol w:w="38"/>
        <w:gridCol w:w="125"/>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640" w:type="dxa"/>
            <w:tcBorders/>
            <w:vAlign w:val="center"/>
          </w:tcPr>
          <w:p>
            <w:pPr>
              <w:pStyle w:val="TableContents"/>
              <w:bidi w:val="0"/>
              <w:spacing w:before="0" w:after="283"/>
              <w:jc w:val="both"/>
              <w:rPr/>
            </w:pPr>
            <w:r>
              <w:rPr/>
              <w:t>deals at arm’s length and is not affiliated with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rules, which are not discussed in this summary, may apply to a Non-Resident Holder that is an insurer that carries on an insurance business in Canada and elsewhere.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on the current provisions of the Tax Act, all specific proposals to amend the Tax Act publicly announced by or on behalf of the Minister of Finance (Canada) prior to the date hereof (the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for the purposes of the Tax Act, all amounts relating to the acquisition, holding or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Cost base of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on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Dispositions of Common Shares and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are “taxable Canadian property” of the Non-Resident Holder for purposes of the Tax Act and the Non-Resident Holder is not entitled to relief under the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1.</w:t>
            </w:r>
          </w:p>
        </w:tc>
        <w:tc>
          <w:tcPr>
            <w:tcW w:w="10014" w:type="dxa"/>
            <w:tcBorders/>
            <w:vAlign w:val="center"/>
          </w:tcPr>
          <w:p>
            <w:pPr>
              <w:pStyle w:val="TableContents"/>
              <w:bidi w:val="0"/>
              <w:spacing w:before="0" w:after="283"/>
              <w:jc w:val="both"/>
              <w:rPr/>
            </w:pPr>
            <w:r>
              <w:rPr/>
              <w:t>(a) the Non-Resident Holder, (b) persons with whom the Non-Resident Holder does not deal with at arm’s length, (c) partnerships in which the Non-Resident Holder or a person described in (b) holds an interest directly or indirectly through one or more partnerships, or (d) any combination of (a) to (c), owned 25% or more of the issued shares of any class or series of our capital stock; and</w:t>
            </w:r>
          </w:p>
        </w:tc>
      </w:tr>
    </w:tbl>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2.</w:t>
            </w:r>
          </w:p>
        </w:tc>
        <w:tc>
          <w:tcPr>
            <w:tcW w:w="10015" w:type="dxa"/>
            <w:tcBorders/>
            <w:vAlign w:val="center"/>
          </w:tcPr>
          <w:p>
            <w:pPr>
              <w:pStyle w:val="TableContents"/>
              <w:bidi w:val="0"/>
              <w:spacing w:before="0" w:after="283"/>
              <w:jc w:val="both"/>
              <w:rPr/>
            </w:pPr>
            <w:r>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property in any of the foregoing whether or not the property exists.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na_015"/>
      <w:bookmarkEnd w:id="3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Fasken Martineau DuMoulin LLP, or Fasken, has passed upon the validity of the securities offered by this prospectus and certain other legal matters related to Canadian law. Mintz, Levin, Cohn, Ferris, Glovsky and Popeo, P.C., or Mintz, has passed upon the validity of certain other legal matters. Fasken and Mintz own 14,630 and 36,361 Common Shares,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na_016"/>
      <w:bookmarkEnd w:id="32"/>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TMC the metals company Inc. as of December 31, 2021 and 2020 and for the years then ended have been incorporated by reference herein and in the registration statement in reliance on the report of Ernst &amp; Young LLP, independent registered public accounting firm, incorporated by reference herein, and upon the authority of said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na_017"/>
      <w:bookmarkEnd w:id="3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S-3,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file annual, quarterly and current reports, proxy statements and other information with the SEC. Our SEC filings are available to the public on a website maintained by the SEC located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We also maintain a website at </w:t>
      </w:r>
      <w:r>
        <w:rPr>
          <w:rFonts w:ascii="Times New Roman;Times;Serif" w:hAnsi="Times New Roman;Times;Serif"/>
          <w:b w:val="false"/>
          <w:i/>
          <w:caps w:val="false"/>
          <w:smallCaps w:val="false"/>
          <w:sz w:val="20"/>
        </w:rPr>
        <w:t>www.metals.co</w:t>
      </w:r>
      <w:r>
        <w:rPr>
          <w:rFonts w:ascii="Times New Roman;Times;Serif" w:hAnsi="Times New Roman;Times;Serif"/>
          <w:b w:val="false"/>
          <w:i w:val="false"/>
          <w:caps w:val="false"/>
          <w:smallCaps w:val="false"/>
          <w:sz w:val="20"/>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na_018"/>
      <w:bookmarkEnd w:id="34"/>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hyperlink r:id="rId16">
              <w:r>
                <w:rPr>
                  <w:rStyle w:val="InternetLink"/>
                </w:rPr>
                <w:t>our Annual Report on Form 10-K for the fiscal year ended December 31, 2021 that we filed with the SEC on March 25, 2022;</w:t>
              </w:r>
            </w:hyperlink>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 xml:space="preserve">our Quarterly Reports on Form 10-Q for the quarters ended March 31, 2022 and June 30, 2022 that we filed with the SEC on </w:t>
            </w:r>
            <w:hyperlink r:id="rId17">
              <w:r>
                <w:rPr>
                  <w:rStyle w:val="InternetLink"/>
                </w:rPr>
                <w:t>May 9, 2022</w:t>
              </w:r>
            </w:hyperlink>
            <w:r>
              <w:rPr/>
              <w:t xml:space="preserve"> and </w:t>
            </w:r>
            <w:hyperlink r:id="rId18">
              <w:r>
                <w:rPr>
                  <w:rStyle w:val="InternetLink"/>
                </w:rPr>
                <w:t>August 15, 2022</w:t>
              </w:r>
            </w:hyperlink>
            <w:r>
              <w:rPr/>
              <w:t>;</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 xml:space="preserve">our Current Reports on Form 8-K and amendments thereto that we filed with the SEC on </w:t>
            </w:r>
            <w:hyperlink r:id="rId19">
              <w:r>
                <w:rPr>
                  <w:rStyle w:val="InternetLink"/>
                </w:rPr>
                <w:t>February 10, 2022</w:t>
              </w:r>
            </w:hyperlink>
            <w:r>
              <w:rPr/>
              <w:t xml:space="preserve">, </w:t>
            </w:r>
            <w:hyperlink r:id="rId20">
              <w:r>
                <w:rPr>
                  <w:rStyle w:val="InternetLink"/>
                </w:rPr>
                <w:t>March 17, 2022</w:t>
              </w:r>
            </w:hyperlink>
            <w:r>
              <w:rPr/>
              <w:t xml:space="preserve">, </w:t>
            </w:r>
            <w:hyperlink r:id="rId21">
              <w:r>
                <w:rPr>
                  <w:rStyle w:val="InternetLink"/>
                </w:rPr>
                <w:t>June 2, 2022</w:t>
              </w:r>
            </w:hyperlink>
            <w:r>
              <w:rPr/>
              <w:t xml:space="preserve">, </w:t>
            </w:r>
            <w:hyperlink r:id="rId22">
              <w:r>
                <w:rPr>
                  <w:rStyle w:val="InternetLink"/>
                </w:rPr>
                <w:t>August 15, 2022</w:t>
              </w:r>
            </w:hyperlink>
            <w:r>
              <w:rPr/>
              <w:t xml:space="preserve">, </w:t>
            </w:r>
            <w:hyperlink r:id="rId23">
              <w:r>
                <w:rPr>
                  <w:rStyle w:val="InternetLink"/>
                </w:rPr>
                <w:t>October 3, 2022</w:t>
              </w:r>
            </w:hyperlink>
            <w:r>
              <w:rPr/>
              <w:t xml:space="preserve"> and </w:t>
            </w:r>
            <w:hyperlink r:id="rId24">
              <w:r>
                <w:rPr>
                  <w:rStyle w:val="InternetLink"/>
                </w:rPr>
                <w:t>October 12, 2022</w:t>
              </w:r>
            </w:hyperlink>
            <w:r>
              <w:rPr/>
              <w:t xml:space="preserve"> (other than any portion of such filings that are furnished under applicable SEC rules rather than filed);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 xml:space="preserve">the description of our Common Shares contained in our </w:t>
            </w:r>
            <w:hyperlink r:id="rId25">
              <w:r>
                <w:rPr>
                  <w:rStyle w:val="InternetLink"/>
                </w:rPr>
                <w:t>Registration Statement on Form 8-A filed with the SEC on September 10, 2021</w:t>
              </w:r>
            </w:hyperlink>
            <w:r>
              <w:rPr/>
              <w:t>, including any amendment or report filed for the purpose of updating such description; and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all reports and other documents subsequently filed by us with the SEC (other than any portion of such filings that are furnished under applicable SEC rules rather than filed)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file number for each of the documents listed above is 001-39281.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orally or in writing, a copy of any or all of the documents incorporated herein by reference. These documents will be provided to you at no cost, by contacting: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 Howe Street, 10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Vancouver, British Columbia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V6C 2T5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 252-9333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also access these documents on our website, </w:t>
      </w:r>
      <w:r>
        <w:rPr>
          <w:rFonts w:ascii="Times New Roman;Times;Serif" w:hAnsi="Times New Roman;Times;Serif"/>
          <w:b w:val="false"/>
          <w:i/>
          <w:caps w:val="false"/>
          <w:smallCaps w:val="false"/>
          <w:sz w:val="20"/>
        </w:rPr>
        <w:t>www.metals.co</w:t>
      </w:r>
      <w:r>
        <w:rPr>
          <w:rFonts w:ascii="Times New Roman;Times;Serif" w:hAnsi="Times New Roman;Times;Serif"/>
          <w:b w:val="false"/>
          <w:i w:val="false"/>
          <w:caps w:val="false"/>
          <w:smallCaps w:val="false"/>
          <w:sz w:val="20"/>
        </w:rPr>
        <w:t>. The information contained on, or that can be accessed through, our website is not a part of this prospectus. We have included our website address in this prospectus solely as an inactive textual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pBdr>
          <w:bottom w:val="double" w:sz="2"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40180" cy="5213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6"/>
                    <a:stretch>
                      <a:fillRect/>
                    </a:stretch>
                  </pic:blipFill>
                  <pic:spPr bwMode="auto">
                    <a:xfrm>
                      <a:off x="0" y="0"/>
                      <a:ext cx="1440180" cy="52133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18,961,540 Common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Warrants to Purchase 9,480,770 Common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PROSPECTUS SUPPLEMENT</w:t>
        <w:br/>
      </w:r>
      <w:r>
        <w:rPr>
          <w:rFonts w:ascii="Times New Roman;Times;Serif" w:hAnsi="Times New Roman;Times;Serif"/>
          <w:b/>
          <w:i w:val="false"/>
          <w:caps w:val="false"/>
          <w:smallCaps w:val="false"/>
          <w:sz w:val="20"/>
        </w:rPr>
        <w:t>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2023</w:t>
      </w:r>
    </w:p>
    <w:p>
      <w:pPr>
        <w:pStyle w:val="TextBody"/>
        <w:pBdr>
          <w:bottom w:val="double" w:sz="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98562/000110465923037110/tmc-20221231x10k.htm" TargetMode="External"/><Relationship Id="rId4" Type="http://schemas.openxmlformats.org/officeDocument/2006/relationships/hyperlink" Target="https://www.sec.gov/ix?doc=/Archives/edgar/data/1798562/000110465923059123/tmc-20230331x10q.htm" TargetMode="External"/><Relationship Id="rId5" Type="http://schemas.openxmlformats.org/officeDocument/2006/relationships/hyperlink" Target="https://www.sec.gov/Archives/edgar/data/1798562/000110465923047867/tm2312599-1_def14a.htm" TargetMode="External"/><Relationship Id="rId6" Type="http://schemas.openxmlformats.org/officeDocument/2006/relationships/hyperlink" Target="https://www.sec.gov/ix?doc=/Archives/edgar/data/1798562/000110465923022723/tm237104d2_8k.htm" TargetMode="External"/><Relationship Id="rId7" Type="http://schemas.openxmlformats.org/officeDocument/2006/relationships/hyperlink" Target="https://www.sec.gov/ix?doc=/Archives/edgar/data/1798562/000110465923023295/tm237199d2_8k.htm" TargetMode="External"/><Relationship Id="rId8" Type="http://schemas.openxmlformats.org/officeDocument/2006/relationships/hyperlink" Target="https://www.sec.gov/ix?doc=/Archives/edgar/data/1798562/000110465923024088/tm237472d2_8k.htm" TargetMode="External"/><Relationship Id="rId9" Type="http://schemas.openxmlformats.org/officeDocument/2006/relationships/hyperlink" Target="https://www.sec.gov/ix?doc=/Archives/edgar/data/1798562/000110465923047863/tm2312599d5_8k.htm" TargetMode="External"/><Relationship Id="rId10" Type="http://schemas.openxmlformats.org/officeDocument/2006/relationships/hyperlink" Target="https://www.sec.gov/ix?doc=/Archives/edgar/data/1798562/000110465923066190/tm2317310d1_8k.htm" TargetMode="External"/><Relationship Id="rId11" Type="http://schemas.openxmlformats.org/officeDocument/2006/relationships/hyperlink" Target="https://www.sec.gov/ix?doc=/Archives/edgar/data/1798562/000110465923069479/tm2318023d1_8k.htm" TargetMode="External"/><Relationship Id="rId12" Type="http://schemas.openxmlformats.org/officeDocument/2006/relationships/hyperlink" Target="https://www.sec.gov/ix?doc=/Archives/edgar/data/1798562/000110465923076976/tm2320351d1_8k.htm" TargetMode="External"/><Relationship Id="rId13" Type="http://schemas.openxmlformats.org/officeDocument/2006/relationships/hyperlink" Target="https://www.sec.gov/ix?doc=/Archives/edgar/data/1798562/000110465923086437/tm2322494d1_8k.htm" TargetMode="External"/><Relationship Id="rId14" Type="http://schemas.openxmlformats.org/officeDocument/2006/relationships/hyperlink" Target="https://www.sec.gov/Archives/edgar/data/1798562/000121390021047279/ea146988-8a12b_tmcthemetals.htm" TargetMode="External"/><Relationship Id="rId15" Type="http://schemas.openxmlformats.org/officeDocument/2006/relationships/image" Target="media/image1.jpeg"/><Relationship Id="rId16" Type="http://schemas.openxmlformats.org/officeDocument/2006/relationships/hyperlink" Target="https://www.sec.gov/Archives/edgar/data/1798562/000110465922038029/tmc-20211231x10k.htm" TargetMode="External"/><Relationship Id="rId17" Type="http://schemas.openxmlformats.org/officeDocument/2006/relationships/hyperlink" Target="https://www.sec.gov/Archives/edgar/data/1798562/000110465922057493/tmc-20220331x10q.htm" TargetMode="External"/><Relationship Id="rId18" Type="http://schemas.openxmlformats.org/officeDocument/2006/relationships/hyperlink" Target="https://www.sec.gov/Archives/edgar/data/1798562/000110465922091250/tmc-20220630x10q.htm" TargetMode="External"/><Relationship Id="rId19" Type="http://schemas.openxmlformats.org/officeDocument/2006/relationships/hyperlink" Target="https://www.sec.gov/Archives/edgar/data/1798562/000110465922018674/tm226092d1_8k.htm" TargetMode="External"/><Relationship Id="rId20" Type="http://schemas.openxmlformats.org/officeDocument/2006/relationships/hyperlink" Target="https://www.sec.gov/Archives/edgar/data/1798562/000110465922034803/tm229560d1_8k.htm" TargetMode="External"/><Relationship Id="rId21" Type="http://schemas.openxmlformats.org/officeDocument/2006/relationships/hyperlink" Target="https://www.sec.gov/Archives/edgar/data/1798562/000110465922067358/tm2217495d1_8k.htm" TargetMode="External"/><Relationship Id="rId22" Type="http://schemas.openxmlformats.org/officeDocument/2006/relationships/hyperlink" Target="https://www.sec.gov/ix?doc=/Archives/edgar/data/1798562/000110465922090666/tm2223376d3_8k.htm" TargetMode="External"/><Relationship Id="rId23" Type="http://schemas.openxmlformats.org/officeDocument/2006/relationships/hyperlink" Target="https://www.sec.gov/ix?doc=/Archives/edgar/data/1798562/000110465922104937/tm2227087d2_8k.htm" TargetMode="External"/><Relationship Id="rId24" Type="http://schemas.openxmlformats.org/officeDocument/2006/relationships/hyperlink" Target="https://www.sec.gov/ix?doc=/Archives/edgar/data/0001798562/000110465922107962/tm2227087d4_8k.htm" TargetMode="External"/><Relationship Id="rId25" Type="http://schemas.openxmlformats.org/officeDocument/2006/relationships/hyperlink" Target="https://www.sec.gov/Archives/edgar/data/1798562/000121390021047279/ea146988-8a12b_tmcthemetals.htm" TargetMode="External"/><Relationship Id="rId26" Type="http://schemas.openxmlformats.org/officeDocument/2006/relationships/image" Target="media/image1.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44884</Words>
  <Characters>233817</Characters>
  <CharactersWithSpaces>278624</CharactersWithSpaces>
  <Paragraphs>2652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