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383540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469265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120650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5"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8"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3" w:lineRule="exact"/>
        <w:rPr>
          <w:sz w:val="24"/>
          <w:szCs w:val="24"/>
          <w:color w:val="auto"/>
        </w:rPr>
      </w:pPr>
    </w:p>
    <w:p>
      <w:pPr>
        <w:ind w:left="3890" w:right="3600" w:hanging="3890"/>
        <w:spacing w:after="0" w:line="352" w:lineRule="auto"/>
        <w:tabs>
          <w:tab w:leader="none" w:pos="227"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 For the quarterly period ended June 30, 2023</w:t>
      </w:r>
    </w:p>
    <w:p>
      <w:pPr>
        <w:jc w:val="center"/>
        <w:ind w:right="-9"/>
        <w:spacing w:after="0"/>
        <w:rPr>
          <w:sz w:val="20"/>
          <w:szCs w:val="20"/>
          <w:color w:val="auto"/>
        </w:rPr>
      </w:pPr>
      <w:r>
        <w:rPr>
          <w:rFonts w:ascii="Arial" w:cs="Arial" w:eastAsia="Arial" w:hAnsi="Arial"/>
          <w:sz w:val="13"/>
          <w:szCs w:val="13"/>
          <w:b w:val="1"/>
          <w:bCs w:val="1"/>
          <w:color w:val="auto"/>
        </w:rPr>
        <w:t>or</w:t>
      </w:r>
    </w:p>
    <w:p>
      <w:pPr>
        <w:spacing w:after="0" w:line="67" w:lineRule="exact"/>
        <w:rPr>
          <w:sz w:val="24"/>
          <w:szCs w:val="24"/>
          <w:color w:val="auto"/>
        </w:rPr>
      </w:pPr>
    </w:p>
    <w:p>
      <w:pPr>
        <w:ind w:left="210" w:hanging="210"/>
        <w:spacing w:after="0"/>
        <w:tabs>
          <w:tab w:leader="none" w:pos="21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53" w:lineRule="exact"/>
        <w:rPr>
          <w:sz w:val="24"/>
          <w:szCs w:val="24"/>
          <w:color w:val="auto"/>
        </w:rPr>
      </w:pPr>
    </w:p>
    <w:p>
      <w:pPr>
        <w:ind w:left="4030"/>
        <w:spacing w:after="0"/>
        <w:tabs>
          <w:tab w:leader="none" w:pos="585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-5715</wp:posOffset>
            </wp:positionV>
            <wp:extent cx="120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-5715</wp:posOffset>
            </wp:positionV>
            <wp:extent cx="120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3" w:lineRule="exact"/>
        <w:rPr>
          <w:sz w:val="24"/>
          <w:szCs w:val="24"/>
          <w:color w:val="auto"/>
        </w:rPr>
      </w:pPr>
    </w:p>
    <w:p>
      <w:pPr>
        <w:ind w:left="4110"/>
        <w:spacing w:after="0"/>
        <w:rPr>
          <w:sz w:val="20"/>
          <w:szCs w:val="20"/>
          <w:color w:val="auto"/>
        </w:rPr>
      </w:pPr>
      <w:r>
        <w:rPr>
          <w:rFonts w:ascii="Arial" w:cs="Arial" w:eastAsia="Arial" w:hAnsi="Arial"/>
          <w:sz w:val="13"/>
          <w:szCs w:val="13"/>
          <w:b w:val="1"/>
          <w:bCs w:val="1"/>
          <w:color w:val="auto"/>
        </w:rPr>
        <w:t>Commission File Number: 001-39281</w:t>
      </w:r>
    </w:p>
    <w:p>
      <w:pPr>
        <w:spacing w:after="0" w:line="33" w:lineRule="exact"/>
        <w:rPr>
          <w:sz w:val="24"/>
          <w:szCs w:val="24"/>
          <w:color w:val="auto"/>
        </w:rPr>
      </w:pPr>
    </w:p>
    <w:p>
      <w:pPr>
        <w:jc w:val="center"/>
        <w:ind w:right="-9"/>
        <w:spacing w:after="0"/>
        <w:rPr>
          <w:sz w:val="20"/>
          <w:szCs w:val="20"/>
          <w:color w:val="auto"/>
        </w:rPr>
      </w:pPr>
      <w:r>
        <w:rPr>
          <w:rFonts w:ascii="Arial" w:cs="Arial" w:eastAsia="Arial" w:hAnsi="Arial"/>
          <w:sz w:val="36"/>
          <w:szCs w:val="36"/>
          <w:b w:val="1"/>
          <w:bCs w:val="1"/>
          <w:color w:val="auto"/>
        </w:rPr>
        <w:t>TMC THE METALS COMPANY INC.</w:t>
      </w:r>
    </w:p>
    <w:p>
      <w:pPr>
        <w:spacing w:after="0" w:line="39" w:lineRule="exact"/>
        <w:rPr>
          <w:sz w:val="24"/>
          <w:szCs w:val="24"/>
          <w:color w:val="auto"/>
        </w:rPr>
      </w:pPr>
    </w:p>
    <w:p>
      <w:pPr>
        <w:jc w:val="center"/>
        <w:ind w:right="-2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426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95"/>
              </w:rPr>
              <w:t>British Columbia, Canada</w:t>
            </w: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tcPr>
          <w:p>
            <w:pPr>
              <w:jc w:val="center"/>
              <w:ind w:right="1408"/>
              <w:spacing w:after="0"/>
              <w:rPr>
                <w:sz w:val="20"/>
                <w:szCs w:val="20"/>
                <w:color w:val="auto"/>
              </w:rPr>
            </w:pPr>
            <w:r>
              <w:rPr>
                <w:rFonts w:ascii="Arial" w:cs="Arial" w:eastAsia="Arial" w:hAnsi="Arial"/>
                <w:sz w:val="14"/>
                <w:szCs w:val="14"/>
                <w:b w:val="1"/>
                <w:bCs w:val="1"/>
                <w:color w:val="auto"/>
                <w:w w:val="95"/>
              </w:rPr>
              <w:t>Not Applicable</w:t>
            </w:r>
          </w:p>
        </w:tc>
        <w:tc>
          <w:tcPr>
            <w:tcW w:w="0" w:type="dxa"/>
            <w:vAlign w:val="bottom"/>
          </w:tcPr>
          <w:p>
            <w:pPr>
              <w:spacing w:after="0"/>
              <w:rPr>
                <w:sz w:val="1"/>
                <w:szCs w:val="1"/>
                <w:color w:val="auto"/>
              </w:rPr>
            </w:pPr>
          </w:p>
        </w:tc>
      </w:tr>
      <w:tr>
        <w:trPr>
          <w:trHeight w:val="229"/>
        </w:trPr>
        <w:tc>
          <w:tcPr>
            <w:tcW w:w="4260" w:type="dxa"/>
            <w:vAlign w:val="bottom"/>
            <w:gridSpan w:val="2"/>
          </w:tcPr>
          <w:p>
            <w:pPr>
              <w:jc w:val="center"/>
              <w:ind w:left="6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40" w:type="dxa"/>
            <w:vAlign w:val="bottom"/>
          </w:tcPr>
          <w:p>
            <w:pPr>
              <w:jc w:val="center"/>
              <w:ind w:right="1408"/>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340"/>
        </w:trPr>
        <w:tc>
          <w:tcPr>
            <w:tcW w:w="426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w w:val="93"/>
              </w:rPr>
              <w:t>595 Howe Street, 10th Floor</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vMerge w:val="restart"/>
          </w:tcPr>
          <w:p>
            <w:pPr>
              <w:jc w:val="center"/>
              <w:ind w:right="1428"/>
              <w:spacing w:after="0"/>
              <w:rPr>
                <w:sz w:val="20"/>
                <w:szCs w:val="20"/>
                <w:color w:val="auto"/>
              </w:rPr>
            </w:pPr>
            <w:r>
              <w:rPr>
                <w:rFonts w:ascii="Arial" w:cs="Arial" w:eastAsia="Arial" w:hAnsi="Arial"/>
                <w:sz w:val="14"/>
                <w:szCs w:val="14"/>
                <w:b w:val="1"/>
                <w:bCs w:val="1"/>
                <w:color w:val="auto"/>
              </w:rPr>
              <w:t>V6C 2T5</w:t>
            </w:r>
          </w:p>
        </w:tc>
        <w:tc>
          <w:tcPr>
            <w:tcW w:w="0" w:type="dxa"/>
            <w:vAlign w:val="bottom"/>
          </w:tcPr>
          <w:p>
            <w:pPr>
              <w:spacing w:after="0"/>
              <w:rPr>
                <w:sz w:val="1"/>
                <w:szCs w:val="1"/>
                <w:color w:val="auto"/>
              </w:rPr>
            </w:pPr>
          </w:p>
        </w:tc>
      </w:tr>
      <w:tr>
        <w:trPr>
          <w:trHeight w:val="186"/>
        </w:trPr>
        <w:tc>
          <w:tcPr>
            <w:tcW w:w="426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w w:val="94"/>
              </w:rPr>
              <w:t>Vancouver, British Columbia</w:t>
            </w: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60" w:type="dxa"/>
            <w:vAlign w:val="bottom"/>
            <w:gridSpan w:val="2"/>
          </w:tcPr>
          <w:p>
            <w:pPr>
              <w:jc w:val="center"/>
              <w:ind w:left="668"/>
              <w:spacing w:after="0"/>
              <w:rPr>
                <w:sz w:val="20"/>
                <w:szCs w:val="20"/>
                <w:color w:val="auto"/>
              </w:rPr>
            </w:pPr>
            <w:r>
              <w:rPr>
                <w:rFonts w:ascii="Arial" w:cs="Arial" w:eastAsia="Arial" w:hAnsi="Arial"/>
                <w:sz w:val="14"/>
                <w:szCs w:val="14"/>
                <w:color w:val="auto"/>
                <w:w w:val="95"/>
              </w:rPr>
              <w:t>(Address of principal executive offices)</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40" w:type="dxa"/>
            <w:vAlign w:val="bottom"/>
          </w:tcPr>
          <w:p>
            <w:pPr>
              <w:jc w:val="center"/>
              <w:ind w:right="142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(574) 252-9333</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80" w:type="dxa"/>
            <w:vAlign w:val="bottom"/>
            <w:gridSpan w:val="5"/>
          </w:tcPr>
          <w:p>
            <w:pPr>
              <w:jc w:val="center"/>
              <w:ind w:left="3448"/>
              <w:spacing w:after="0"/>
              <w:rPr>
                <w:sz w:val="20"/>
                <w:szCs w:val="20"/>
                <w:color w:val="auto"/>
              </w:rPr>
            </w:pPr>
            <w:r>
              <w:rPr>
                <w:rFonts w:ascii="Arial" w:cs="Arial" w:eastAsia="Arial" w:hAnsi="Arial"/>
                <w:sz w:val="14"/>
                <w:szCs w:val="14"/>
                <w:color w:val="auto"/>
                <w:w w:val="92"/>
              </w:rPr>
              <w:t>(Registrant’s telephone number, including area code)</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Not applicable</w:t>
            </w: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20" w:type="dxa"/>
            <w:vAlign w:val="bottom"/>
            <w:gridSpan w:val="6"/>
          </w:tcPr>
          <w:p>
            <w:pPr>
              <w:jc w:val="center"/>
              <w:spacing w:after="0"/>
              <w:rPr>
                <w:sz w:val="20"/>
                <w:szCs w:val="20"/>
                <w:color w:val="auto"/>
              </w:rPr>
            </w:pPr>
            <w:r>
              <w:rPr>
                <w:rFonts w:ascii="Arial" w:cs="Arial" w:eastAsia="Arial" w:hAnsi="Arial"/>
                <w:sz w:val="14"/>
                <w:szCs w:val="14"/>
                <w:color w:val="auto"/>
                <w:w w:val="92"/>
              </w:rPr>
              <w:t>(Former name, former address and former fiscal year, if changed since last report)</w:t>
            </w:r>
          </w:p>
        </w:tc>
        <w:tc>
          <w:tcPr>
            <w:tcW w:w="0" w:type="dxa"/>
            <w:vAlign w:val="bottom"/>
          </w:tcPr>
          <w:p>
            <w:pPr>
              <w:spacing w:after="0"/>
              <w:rPr>
                <w:sz w:val="1"/>
                <w:szCs w:val="1"/>
                <w:color w:val="auto"/>
              </w:rPr>
            </w:pPr>
          </w:p>
        </w:tc>
      </w:tr>
      <w:tr>
        <w:trPr>
          <w:trHeight w:val="216"/>
        </w:trPr>
        <w:tc>
          <w:tcPr>
            <w:tcW w:w="10220" w:type="dxa"/>
            <w:vAlign w:val="bottom"/>
            <w:gridSpan w:val="6"/>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282"/>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38"/>
        </w:trPr>
        <w:tc>
          <w:tcPr>
            <w:tcW w:w="42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Common Shares, without par value</w:t>
            </w:r>
          </w:p>
        </w:tc>
        <w:tc>
          <w:tcPr>
            <w:tcW w:w="2420" w:type="dxa"/>
            <w:vAlign w:val="bottom"/>
            <w:gridSpan w:val="3"/>
          </w:tcPr>
          <w:p>
            <w:pPr>
              <w:jc w:val="center"/>
              <w:ind w:right="660"/>
              <w:spacing w:after="0"/>
              <w:rPr>
                <w:sz w:val="20"/>
                <w:szCs w:val="20"/>
                <w:color w:val="auto"/>
              </w:rPr>
            </w:pPr>
            <w:r>
              <w:rPr>
                <w:rFonts w:ascii="Arial" w:cs="Arial" w:eastAsia="Arial" w:hAnsi="Arial"/>
                <w:sz w:val="14"/>
                <w:szCs w:val="14"/>
                <w:color w:val="auto"/>
              </w:rPr>
              <w:t>TMC</w:t>
            </w:r>
          </w:p>
        </w:tc>
        <w:tc>
          <w:tcPr>
            <w:tcW w:w="3540" w:type="dxa"/>
            <w:vAlign w:val="bottom"/>
          </w:tcPr>
          <w:p>
            <w:pPr>
              <w:jc w:val="center"/>
              <w:ind w:right="388"/>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96"/>
        </w:trPr>
        <w:tc>
          <w:tcPr>
            <w:tcW w:w="426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Redeemable warrants, each whole warrant exercisable for one</w:t>
            </w:r>
          </w:p>
        </w:tc>
        <w:tc>
          <w:tcPr>
            <w:tcW w:w="2420" w:type="dxa"/>
            <w:vAlign w:val="bottom"/>
            <w:gridSpan w:val="3"/>
          </w:tcPr>
          <w:p>
            <w:pPr>
              <w:jc w:val="center"/>
              <w:ind w:right="680"/>
              <w:spacing w:after="0"/>
              <w:rPr>
                <w:sz w:val="20"/>
                <w:szCs w:val="20"/>
                <w:color w:val="auto"/>
              </w:rPr>
            </w:pPr>
            <w:r>
              <w:rPr>
                <w:rFonts w:ascii="Arial" w:cs="Arial" w:eastAsia="Arial" w:hAnsi="Arial"/>
                <w:sz w:val="14"/>
                <w:szCs w:val="14"/>
                <w:color w:val="auto"/>
              </w:rPr>
              <w:t>TMCWW</w:t>
            </w:r>
          </w:p>
        </w:tc>
        <w:tc>
          <w:tcPr>
            <w:tcW w:w="3540" w:type="dxa"/>
            <w:vAlign w:val="bottom"/>
          </w:tcPr>
          <w:p>
            <w:pPr>
              <w:jc w:val="center"/>
              <w:ind w:right="388"/>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2"/>
        </w:trPr>
        <w:tc>
          <w:tcPr>
            <w:tcW w:w="4260" w:type="dxa"/>
            <w:vAlign w:val="bottom"/>
            <w:gridSpan w:val="2"/>
          </w:tcPr>
          <w:p>
            <w:pPr>
              <w:ind w:left="320"/>
              <w:spacing w:after="0"/>
              <w:rPr>
                <w:sz w:val="20"/>
                <w:szCs w:val="20"/>
                <w:color w:val="auto"/>
              </w:rPr>
            </w:pPr>
            <w:r>
              <w:rPr>
                <w:rFonts w:ascii="Arial" w:cs="Arial" w:eastAsia="Arial" w:hAnsi="Arial"/>
                <w:sz w:val="14"/>
                <w:szCs w:val="14"/>
                <w:color w:val="auto"/>
              </w:rPr>
              <w:t>Common Share, each at an exercise price of $11.50 per share</w:t>
            </w: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ind w:left="10" w:right="20"/>
        <w:spacing w:after="0" w:line="18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jc w:val="both"/>
        <w:ind w:left="10" w:right="2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jc w:val="both"/>
        <w:ind w:left="10"/>
        <w:spacing w:after="0" w:line="28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050" w:type="dxa"/>
        <w:tblCellMar>
          <w:top w:w="0" w:type="dxa"/>
          <w:left w:w="0" w:type="dxa"/>
          <w:bottom w:w="0" w:type="dxa"/>
          <w:right w:w="0" w:type="dxa"/>
        </w:tblCellMar>
      </w:tblPr>
      <w:tr>
        <w:trPr>
          <w:trHeight w:val="189"/>
        </w:trPr>
        <w:tc>
          <w:tcPr>
            <w:tcW w:w="224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4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080" w:type="dxa"/>
            <w:vAlign w:val="bottom"/>
          </w:tcPr>
          <w:p>
            <w:pPr>
              <w:ind w:left="78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3080" w:type="dxa"/>
            <w:vAlign w:val="bottom"/>
          </w:tcPr>
          <w:p>
            <w:pPr>
              <w:ind w:left="78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 w:lineRule="exact"/>
        <w:rPr>
          <w:sz w:val="24"/>
          <w:szCs w:val="24"/>
          <w:color w:val="auto"/>
        </w:rPr>
      </w:pPr>
    </w:p>
    <w:p>
      <w:pPr>
        <w:ind w:left="1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left="10" w:right="2900"/>
        <w:spacing w:after="0" w:line="22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11, 2023, the registrant had 292,921,670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590550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33655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67945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8"/>
              </w:rPr>
              <w:t>Table of Contents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gridSpan w:val="11"/>
          </w:tcPr>
          <w:p>
            <w:pPr>
              <w:jc w:val="center"/>
              <w:ind w:right="2720"/>
              <w:spacing w:after="0"/>
              <w:rPr>
                <w:sz w:val="20"/>
                <w:szCs w:val="20"/>
                <w:color w:val="auto"/>
              </w:rPr>
            </w:pPr>
            <w:r>
              <w:rPr>
                <w:rFonts w:ascii="Arial" w:cs="Arial" w:eastAsia="Arial" w:hAnsi="Arial"/>
                <w:sz w:val="18"/>
                <w:szCs w:val="18"/>
                <w:b w:val="1"/>
                <w:bCs w:val="1"/>
                <w:color w:val="auto"/>
              </w:rPr>
              <w:t>TMC THE METALS COMPANY INC.</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80" w:type="dxa"/>
            <w:vAlign w:val="bottom"/>
            <w:gridSpan w:val="9"/>
          </w:tcPr>
          <w:p>
            <w:pPr>
              <w:jc w:val="center"/>
              <w:ind w:right="3360"/>
              <w:spacing w:after="0"/>
              <w:rPr>
                <w:sz w:val="20"/>
                <w:szCs w:val="20"/>
                <w:color w:val="auto"/>
              </w:rPr>
            </w:pPr>
            <w:r>
              <w:rPr>
                <w:rFonts w:ascii="Arial" w:cs="Arial" w:eastAsia="Arial" w:hAnsi="Arial"/>
                <w:sz w:val="18"/>
                <w:szCs w:val="18"/>
                <w:b w:val="1"/>
                <w:bCs w:val="1"/>
                <w:color w:val="auto"/>
                <w:w w:val="99"/>
              </w:rPr>
              <w:t>FORM 10-Q</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40" w:type="dxa"/>
            <w:vAlign w:val="bottom"/>
            <w:gridSpan w:val="12"/>
          </w:tcPr>
          <w:p>
            <w:pPr>
              <w:jc w:val="center"/>
              <w:ind w:right="2520"/>
              <w:spacing w:after="0"/>
              <w:rPr>
                <w:sz w:val="20"/>
                <w:szCs w:val="20"/>
                <w:color w:val="auto"/>
              </w:rPr>
            </w:pPr>
            <w:r>
              <w:rPr>
                <w:rFonts w:ascii="Arial" w:cs="Arial" w:eastAsia="Arial" w:hAnsi="Arial"/>
                <w:sz w:val="18"/>
                <w:szCs w:val="18"/>
                <w:color w:val="auto"/>
                <w:w w:val="89"/>
              </w:rPr>
              <w:t>For the quarterly period ended June 30, 2023</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gridSpan w:val="10"/>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Cautionary Note Regarding Forward-Looking Statements</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Financial Information</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8"/>
              </w:rPr>
              <w:t>Condensed Consolidated Balance Sheets as of June 30, 2023 and December 31, 2022 (Unaudited)</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2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Loss and Comprehensive Loss for the three and six months ended</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2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June 30, 2023 and 2022 (Unaudited)</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4"/>
              </w:rPr>
              <w:t>Condensed Consolidated Statements of Changes in Equity for the three and six months ended June 30,</w:t>
            </w: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380" w:type="dxa"/>
            <w:vAlign w:val="bottom"/>
            <w:tcBorders>
              <w:top w:val="single" w:sz="8" w:color="0000EE"/>
            </w:tcBorders>
            <w:gridSpan w:val="18"/>
            <w:shd w:val="clear" w:color="auto" w:fill="CCEEFF"/>
          </w:tcPr>
          <w:p>
            <w:pPr>
              <w:spacing w:after="0" w:line="196" w:lineRule="exact"/>
              <w:rPr>
                <w:sz w:val="20"/>
                <w:szCs w:val="20"/>
                <w:color w:val="auto"/>
              </w:rPr>
            </w:pPr>
            <w:r>
              <w:rPr>
                <w:rFonts w:ascii="Arial" w:cs="Arial" w:eastAsia="Arial" w:hAnsi="Arial"/>
                <w:sz w:val="18"/>
                <w:szCs w:val="18"/>
                <w:color w:val="0000EE"/>
              </w:rPr>
              <w:t>2023 and 2022 (Unaudited)</w:t>
            </w:r>
          </w:p>
        </w:tc>
        <w:tc>
          <w:tcPr>
            <w:tcW w:w="440" w:type="dxa"/>
            <w:vAlign w:val="bottom"/>
            <w:tcBorders>
              <w:top w:val="single" w:sz="8" w:color="CCEEFF"/>
            </w:tcBorders>
            <w:gridSpan w:val="3"/>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1"/>
              </w:rPr>
              <w:t>Condensed Consolidated Statements of Cash Flows for the three and six months ended June 30, 2023 and</w:t>
            </w: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0000EE"/>
            </w:tcBorders>
            <w:gridSpan w:val="19"/>
            <w:shd w:val="clear" w:color="auto" w:fill="CCEEFF"/>
          </w:tcPr>
          <w:p>
            <w:pPr>
              <w:spacing w:after="0" w:line="196" w:lineRule="exact"/>
              <w:rPr>
                <w:sz w:val="20"/>
                <w:szCs w:val="20"/>
                <w:color w:val="auto"/>
              </w:rPr>
            </w:pPr>
            <w:r>
              <w:rPr>
                <w:rFonts w:ascii="Arial" w:cs="Arial" w:eastAsia="Arial" w:hAnsi="Arial"/>
                <w:sz w:val="18"/>
                <w:szCs w:val="18"/>
                <w:color w:val="0000EE"/>
              </w:rPr>
              <w:t>2022 (Unaudited)</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Other Information</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140" w:type="dxa"/>
            <w:vAlign w:val="bottom"/>
            <w:shd w:val="clear" w:color="auto" w:fill="CCEEFF"/>
          </w:tcPr>
          <w:p>
            <w:pPr>
              <w:spacing w:after="0"/>
              <w:rPr>
                <w:sz w:val="17"/>
                <w:szCs w:val="17"/>
                <w:color w:val="auto"/>
              </w:rPr>
            </w:pPr>
          </w:p>
        </w:tc>
        <w:tc>
          <w:tcPr>
            <w:tcW w:w="78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this Quarterly Report on Form 10-Q, the terms “we,” “us,” “our,” the “Company” and “TMC” mean TMC the metals company Inc. (formerly Sustainable Opportunities Acquisition Corp.) and our subsidiaries. On September 9, 2021, Sustainable Opportunities Acquisition Corp. (“SOAC” and after the Business Combination described herein, the “Company”) consummated a business combination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(“DeepGreen”). In connection with the Business Combination, SOAC changed its name to “TMC the metals company Inc”. The combined company’s common shares and warrants to purchase common shares commenced trading on the Nasdaq Global Select Market (“Nasdaq”) on September 10, 2021, under the symbols “TMC” and “TMCWW,” respectively.</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used in this Quarterly Report on Form 10-Q, “Mtpa” refers to millions of tonnes per year.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86"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 and technical feasibility of seafloor polymetallic nodule collection and processing;</w:t>
      </w:r>
    </w:p>
    <w:p>
      <w:pPr>
        <w:spacing w:after="0" w:line="23"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battery metals and battery cathode feedstocks, copper cathode and manganese ores;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prices of battery metals and battery cathode feedstocks, copper cathode and manganese ores;</w:t>
      </w:r>
    </w:p>
    <w:p>
      <w:pPr>
        <w:spacing w:after="0" w:line="9" w:lineRule="exact"/>
        <w:rPr>
          <w:rFonts w:ascii="Arial" w:cs="Arial" w:eastAsia="Arial" w:hAnsi="Arial"/>
          <w:sz w:val="18"/>
          <w:szCs w:val="18"/>
          <w:color w:val="auto"/>
        </w:rPr>
      </w:pPr>
    </w:p>
    <w:p>
      <w:pPr>
        <w:ind w:left="680" w:right="20" w:hanging="321"/>
        <w:spacing w:after="0" w:line="265"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of mineral extraction from the deep seafloor and changes in mining laws and regulations;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technical, operational, environmental, social and governance risks of developing and deploying equipment to collect and ship polymetallic nodules at sea, and to process such nodules on land;</w:t>
      </w: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sources and timing of potential revenue as well as the timing and amount of estimated future production, costs of production, other expenses, capital expenditures and requirements for additional capital;</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activities of our partners under our key strategic relationships;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on hand to meet our working capital and capital expenditure requirements, the need for additional financing and our ability to continue as a going concern;</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 the nature of any such financing and our plans with respect thereto;</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litigation to which we are a party;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restatement of our financial statements;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geological, metallurgical and geotechnical studies and opinions;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mineral resource estimates;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status as an emerging growth company, non-reporting Canadian issuer and passive foreign investment company;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market conditions beyond our control;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pandemics (including from COVID-19) on our business;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2022 as filed with the Securities and Exchange Commission (“SEC”), on March 27, 2023 (the “2022 Annual Report on Form 10-K”), as updated and/or supplemented in subsequent filings we make with the SEC, including in this Quarterly Report on Form 10-Q.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at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82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118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89"/>
              </w:rPr>
              <w:t>Note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Cash</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20,006</w:t>
            </w:r>
          </w:p>
        </w:tc>
        <w:tc>
          <w:tcPr>
            <w:tcW w:w="10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Receivables and prepayments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Exploration contracts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Equipment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Investment</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94,777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Deferred tax liability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 liability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31,102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i w:val="1"/>
                <w:iCs w:val="1"/>
                <w:color w:val="auto"/>
              </w:rPr>
              <w:t>Common shares (unlimited shares, no par value – issued: 281,136,415</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(December 31, 2022 – 266,812,131))</w:t>
            </w: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345,775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Special Shares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Additional paid in capital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8"/>
                <w:szCs w:val="18"/>
                <w:color w:val="auto"/>
              </w:rPr>
              <w:t>Accumulated other comprehensive loss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Deficit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(489,226)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(475,121)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EQUITY</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94,777</w:t>
            </w:r>
          </w:p>
        </w:tc>
        <w:tc>
          <w:tcPr>
            <w:tcW w:w="0" w:type="dxa"/>
            <w:vAlign w:val="bottom"/>
          </w:tcPr>
          <w:p>
            <w:pPr>
              <w:spacing w:after="0"/>
              <w:rPr>
                <w:sz w:val="1"/>
                <w:szCs w:val="1"/>
                <w:color w:val="auto"/>
              </w:rPr>
            </w:pPr>
          </w:p>
        </w:tc>
      </w:tr>
      <w:tr>
        <w:trPr>
          <w:trHeight w:val="425"/>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 xml:space="preserve">Contingent Liabilities </w:t>
      </w:r>
      <w:r>
        <w:rPr>
          <w:rFonts w:ascii="Arial" w:cs="Arial" w:eastAsia="Arial" w:hAnsi="Arial"/>
          <w:sz w:val="18"/>
          <w:szCs w:val="18"/>
          <w:i w:val="1"/>
          <w:iCs w:val="1"/>
          <w:color w:val="auto"/>
        </w:rPr>
        <w:t>(Note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(Note 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40" w:type="dxa"/>
            <w:vAlign w:val="bottom"/>
            <w:gridSpan w:val="5"/>
          </w:tcPr>
          <w:p>
            <w:pPr>
              <w:jc w:val="right"/>
              <w:ind w:right="5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1080"/>
              <w:spacing w:after="0" w:line="157"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852"/>
              <w:spacing w:after="0" w:line="157"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89"/>
              </w:rPr>
              <w:t>Note</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2"/>
                <w:szCs w:val="12"/>
                <w:b w:val="1"/>
                <w:bCs w:val="1"/>
                <w:color w:val="auto"/>
              </w:rPr>
              <w:t>2022</w:t>
            </w:r>
            <w:r>
              <w:rPr>
                <w:rFonts w:ascii="Arial" w:cs="Arial" w:eastAsia="Arial" w:hAnsi="Arial"/>
                <w:sz w:val="17"/>
                <w:szCs w:val="17"/>
                <w:b w:val="1"/>
                <w:bCs w:val="1"/>
                <w:color w:val="auto"/>
                <w:vertAlign w:val="superscript"/>
              </w:rPr>
              <w:t>(1)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2"/>
                <w:szCs w:val="12"/>
                <w:b w:val="1"/>
                <w:bCs w:val="1"/>
                <w:color w:val="auto"/>
              </w:rPr>
              <w:t>2022</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Exploration and evaluation expenses</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8,098</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10,241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15,267</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13,229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18,328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26,612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Other items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Equity-accounted investment loss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Gain on disposition of asset</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(13,750)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warrants liability</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Foreign exchange loss (gain)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Fees and interest on credit facility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Net Loss and comprehensive loss for the period</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14,107</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12,384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14,105</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33,501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2"/>
              </w:rPr>
              <w:t>Weighted average number of common shares outstanding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 basic and diluted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281,323,151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227,119,216</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276,702,050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226,600,186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07" w:lineRule="auto"/>
        <w:tabs>
          <w:tab w:leader="none" w:pos="34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The comparative figures in exploration and evaluation expenses and general and administrative expenses have been adjusted to conform to the current period’s presentation.</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5"/>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2023</w:t>
            </w:r>
          </w:p>
        </w:tc>
        <w:tc>
          <w:tcPr>
            <w:tcW w:w="9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7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2"/>
                <w:szCs w:val="12"/>
                <w:color w:val="auto"/>
              </w:rPr>
            </w:pPr>
          </w:p>
        </w:tc>
        <w:tc>
          <w:tcPr>
            <w:tcW w:w="5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7"/>
              </w:rPr>
              <w:t>Special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100"/>
              <w:spacing w:after="0" w:line="147" w:lineRule="exact"/>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right"/>
              <w:ind w:right="200"/>
              <w:spacing w:after="0" w:line="147" w:lineRule="exact"/>
              <w:rPr>
                <w:sz w:val="20"/>
                <w:szCs w:val="20"/>
                <w:color w:val="auto"/>
              </w:rPr>
            </w:pPr>
            <w:r>
              <w:rPr>
                <w:rFonts w:ascii="Arial" w:cs="Arial" w:eastAsia="Arial" w:hAnsi="Arial"/>
                <w:sz w:val="14"/>
                <w:szCs w:val="14"/>
                <w:b w:val="1"/>
                <w:bCs w:val="1"/>
                <w:color w:val="auto"/>
                <w:w w:val="87"/>
              </w:rPr>
              <w:t>Comprehensive</w:t>
            </w:r>
          </w:p>
        </w:tc>
        <w:tc>
          <w:tcPr>
            <w:tcW w:w="20" w:type="dxa"/>
            <w:vAlign w:val="bottom"/>
          </w:tcPr>
          <w:p>
            <w:pPr>
              <w:spacing w:after="0"/>
              <w:rPr>
                <w:sz w:val="12"/>
                <w:szCs w:val="12"/>
                <w:color w:val="auto"/>
              </w:rPr>
            </w:pPr>
          </w:p>
        </w:tc>
        <w:tc>
          <w:tcPr>
            <w:tcW w:w="8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2023</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280,618,285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345,090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186,796</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 (475,119)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55,551</w:t>
            </w:r>
          </w:p>
        </w:tc>
        <w:tc>
          <w:tcPr>
            <w:tcW w:w="0" w:type="dxa"/>
            <w:vAlign w:val="bottom"/>
          </w:tcPr>
          <w:p>
            <w:pPr>
              <w:spacing w:after="0"/>
              <w:rPr>
                <w:sz w:val="1"/>
                <w:szCs w:val="1"/>
                <w:color w:val="auto"/>
              </w:rPr>
            </w:pPr>
          </w:p>
        </w:tc>
      </w:tr>
      <w:tr>
        <w:trPr>
          <w:trHeight w:val="130"/>
        </w:trPr>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Conversion of restricted share units, net of shares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gridSpan w:val="2"/>
          </w:tcPr>
          <w:p>
            <w:pPr>
              <w:ind w:left="140"/>
              <w:spacing w:after="0"/>
              <w:rPr>
                <w:sz w:val="20"/>
                <w:szCs w:val="20"/>
                <w:color w:val="auto"/>
              </w:rPr>
            </w:pPr>
            <w:r>
              <w:rPr>
                <w:rFonts w:ascii="Arial" w:cs="Arial" w:eastAsia="Arial" w:hAnsi="Arial"/>
                <w:sz w:val="14"/>
                <w:szCs w:val="14"/>
                <w:color w:val="auto"/>
              </w:rPr>
              <w:t>withheld for taxes (Note 9)</w:t>
            </w:r>
          </w:p>
        </w:tc>
        <w:tc>
          <w:tcPr>
            <w:tcW w:w="820" w:type="dxa"/>
            <w:vAlign w:val="bottom"/>
          </w:tcPr>
          <w:p>
            <w:pPr>
              <w:jc w:val="right"/>
              <w:spacing w:after="0"/>
              <w:rPr>
                <w:sz w:val="20"/>
                <w:szCs w:val="20"/>
                <w:color w:val="auto"/>
              </w:rPr>
            </w:pPr>
            <w:r>
              <w:rPr>
                <w:rFonts w:ascii="Arial" w:cs="Arial" w:eastAsia="Arial" w:hAnsi="Arial"/>
                <w:sz w:val="14"/>
                <w:szCs w:val="14"/>
                <w:color w:val="auto"/>
              </w:rPr>
              <w:t>434,558</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591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(561)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0"/>
        </w:trPr>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Share purchase under Employee Share Purchase</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Plan (Note 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83,572</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Share-based compensation (Note 9)</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2,532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2,532</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(14,107)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(14,107)</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June 30, 2023</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281,136,415</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$ 345,775</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188,722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 (489,226)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44,055</w:t>
            </w:r>
          </w:p>
        </w:tc>
        <w:tc>
          <w:tcPr>
            <w:tcW w:w="0" w:type="dxa"/>
            <w:vAlign w:val="bottom"/>
          </w:tcPr>
          <w:p>
            <w:pPr>
              <w:spacing w:after="0"/>
              <w:rPr>
                <w:sz w:val="1"/>
                <w:szCs w:val="1"/>
                <w:color w:val="auto"/>
              </w:rPr>
            </w:pPr>
          </w:p>
        </w:tc>
      </w:tr>
      <w:tr>
        <w:trPr>
          <w:trHeight w:val="403"/>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2022</w:t>
            </w:r>
          </w:p>
        </w:tc>
        <w:tc>
          <w:tcPr>
            <w:tcW w:w="9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78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Special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4"/>
          </w:tcPr>
          <w:p>
            <w:pPr>
              <w:jc w:val="right"/>
              <w:ind w:right="18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1"/>
                <w:szCs w:val="11"/>
                <w:color w:val="auto"/>
              </w:rPr>
            </w:pPr>
          </w:p>
        </w:tc>
        <w:tc>
          <w:tcPr>
            <w:tcW w:w="8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2022</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226,780,843</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$ 298,263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gridSpan w:val="2"/>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107,952</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 (325,274)</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79,725</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Exercise of stock options (Note 9)</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18,461</w:t>
            </w: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Conversion of restricted share units, net of shares</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withheld for taxes (Note 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316,725</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(705)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Share purchase under Employee Share Purchase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gridSpan w:val="2"/>
          </w:tcPr>
          <w:p>
            <w:pPr>
              <w:ind w:left="140"/>
              <w:spacing w:after="0"/>
              <w:rPr>
                <w:sz w:val="20"/>
                <w:szCs w:val="20"/>
                <w:color w:val="auto"/>
              </w:rPr>
            </w:pPr>
            <w:r>
              <w:rPr>
                <w:rFonts w:ascii="Arial" w:cs="Arial" w:eastAsia="Arial" w:hAnsi="Arial"/>
                <w:sz w:val="14"/>
                <w:szCs w:val="14"/>
                <w:color w:val="auto"/>
              </w:rPr>
              <w:t>Plan (Note 9)</w:t>
            </w:r>
          </w:p>
        </w:tc>
        <w:tc>
          <w:tcPr>
            <w:tcW w:w="820" w:type="dxa"/>
            <w:vAlign w:val="bottom"/>
          </w:tcPr>
          <w:p>
            <w:pPr>
              <w:jc w:val="right"/>
              <w:spacing w:after="0"/>
              <w:rPr>
                <w:sz w:val="20"/>
                <w:szCs w:val="20"/>
                <w:color w:val="auto"/>
              </w:rPr>
            </w:pPr>
            <w:r>
              <w:rPr>
                <w:rFonts w:ascii="Arial" w:cs="Arial" w:eastAsia="Arial" w:hAnsi="Arial"/>
                <w:sz w:val="14"/>
                <w:szCs w:val="14"/>
                <w:color w:val="auto"/>
              </w:rPr>
              <w:t>42,426</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(Note 9)</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148"/>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Expenses to be settled in share-based payments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8"/>
        </w:trPr>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for the period</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(12,384)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(12,384)</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June 30, 2022</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227,158,455</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$ 299,056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113,487</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 (337,658)</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73,669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7"/>
            <w:vMerge w:val="restart"/>
          </w:tcPr>
          <w:p>
            <w:pPr>
              <w:ind w:left="220"/>
              <w:spacing w:after="0"/>
              <w:rPr>
                <w:sz w:val="20"/>
                <w:szCs w:val="20"/>
                <w:color w:val="auto"/>
              </w:rPr>
            </w:pPr>
            <w:r>
              <w:rPr>
                <w:rFonts w:ascii="Arial" w:cs="Arial" w:eastAsia="Arial" w:hAnsi="Arial"/>
                <w:sz w:val="14"/>
                <w:szCs w:val="14"/>
                <w:b w:val="1"/>
                <w:bCs w:val="1"/>
                <w:color w:val="auto"/>
              </w:rPr>
              <w:t>Common Shares</w:t>
            </w: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Preferred</w:t>
            </w: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Special</w:t>
            </w:r>
          </w:p>
        </w:tc>
        <w:tc>
          <w:tcPr>
            <w:tcW w:w="40" w:type="dxa"/>
            <w:vAlign w:val="bottom"/>
          </w:tcPr>
          <w:p>
            <w:pPr>
              <w:spacing w:after="0"/>
              <w:rPr>
                <w:sz w:val="12"/>
                <w:szCs w:val="12"/>
                <w:color w:val="auto"/>
              </w:rPr>
            </w:pPr>
          </w:p>
        </w:tc>
        <w:tc>
          <w:tcPr>
            <w:tcW w:w="94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2023</w:t>
            </w:r>
          </w:p>
        </w:tc>
        <w:tc>
          <w:tcPr>
            <w:tcW w:w="80" w:type="dxa"/>
            <w:vAlign w:val="bottom"/>
          </w:tcPr>
          <w:p>
            <w:pPr>
              <w:spacing w:after="0"/>
              <w:rPr>
                <w:sz w:val="14"/>
                <w:szCs w:val="14"/>
                <w:color w:val="auto"/>
              </w:rPr>
            </w:pPr>
          </w:p>
        </w:tc>
        <w:tc>
          <w:tcPr>
            <w:tcW w:w="1700" w:type="dxa"/>
            <w:vAlign w:val="bottom"/>
            <w:gridSpan w:val="7"/>
            <w:vMerge w:val="continue"/>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Loss</w:t>
            </w: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2022</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266,812,131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$ 332,882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184,960</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(475,121)</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41,505</w:t>
            </w:r>
          </w:p>
        </w:tc>
        <w:tc>
          <w:tcPr>
            <w:tcW w:w="0" w:type="dxa"/>
            <w:vAlign w:val="bottom"/>
          </w:tcPr>
          <w:p>
            <w:pPr>
              <w:spacing w:after="0"/>
              <w:rPr>
                <w:sz w:val="1"/>
                <w:szCs w:val="1"/>
                <w:color w:val="auto"/>
              </w:rPr>
            </w:pPr>
          </w:p>
        </w:tc>
      </w:tr>
      <w:tr>
        <w:trPr>
          <w:trHeight w:val="130"/>
        </w:trPr>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w w:val="99"/>
              </w:rPr>
              <w:t>Conversion of restricted share units, net of shares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80" w:type="dxa"/>
            <w:vAlign w:val="bottom"/>
            <w:gridSpan w:val="3"/>
          </w:tcPr>
          <w:p>
            <w:pPr>
              <w:ind w:left="140"/>
              <w:spacing w:after="0"/>
              <w:rPr>
                <w:sz w:val="20"/>
                <w:szCs w:val="20"/>
                <w:color w:val="auto"/>
              </w:rPr>
            </w:pPr>
            <w:r>
              <w:rPr>
                <w:rFonts w:ascii="Arial" w:cs="Arial" w:eastAsia="Arial" w:hAnsi="Arial"/>
                <w:sz w:val="14"/>
                <w:szCs w:val="14"/>
                <w:color w:val="auto"/>
              </w:rPr>
              <w:t>withheld for taxes (Note 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3,390,712</w:t>
            </w:r>
          </w:p>
        </w:tc>
        <w:tc>
          <w:tcPr>
            <w:tcW w:w="8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3,405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(3,375)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0"/>
        </w:trPr>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9"/>
              </w:rPr>
              <w:t>Share purchase under Employee Share Purchase</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Plan (Note 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83,572</w:t>
            </w: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8"/>
        </w:trPr>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Expenses settled with share-based payments</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2,875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2,875</w:t>
            </w:r>
          </w:p>
        </w:tc>
        <w:tc>
          <w:tcPr>
            <w:tcW w:w="0" w:type="dxa"/>
            <w:vAlign w:val="bottom"/>
          </w:tcPr>
          <w:p>
            <w:pPr>
              <w:spacing w:after="0"/>
              <w:rPr>
                <w:sz w:val="1"/>
                <w:szCs w:val="1"/>
                <w:color w:val="auto"/>
              </w:rPr>
            </w:pPr>
          </w:p>
        </w:tc>
      </w:tr>
      <w:tr>
        <w:trPr>
          <w:trHeight w:val="148"/>
        </w:trPr>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Shares issued to Allseas (Note 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10,850,000</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9,394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9,394</w:t>
            </w:r>
          </w:p>
        </w:tc>
        <w:tc>
          <w:tcPr>
            <w:tcW w:w="0" w:type="dxa"/>
            <w:vAlign w:val="bottom"/>
          </w:tcPr>
          <w:p>
            <w:pPr>
              <w:spacing w:after="0"/>
              <w:rPr>
                <w:sz w:val="1"/>
                <w:szCs w:val="1"/>
                <w:color w:val="auto"/>
              </w:rPr>
            </w:pPr>
          </w:p>
        </w:tc>
      </w:tr>
      <w:tr>
        <w:trPr>
          <w:trHeight w:val="148"/>
        </w:trPr>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Share-based compensation (Note 9)</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4,307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4,307</w:t>
            </w:r>
          </w:p>
        </w:tc>
        <w:tc>
          <w:tcPr>
            <w:tcW w:w="0" w:type="dxa"/>
            <w:vAlign w:val="bottom"/>
          </w:tcPr>
          <w:p>
            <w:pPr>
              <w:spacing w:after="0"/>
              <w:rPr>
                <w:sz w:val="1"/>
                <w:szCs w:val="1"/>
                <w:color w:val="auto"/>
              </w:rPr>
            </w:pPr>
          </w:p>
        </w:tc>
      </w:tr>
      <w:tr>
        <w:trPr>
          <w:trHeight w:val="148"/>
        </w:trPr>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 for the period</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(14,105)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(14,105)</w:t>
            </w:r>
          </w:p>
        </w:tc>
        <w:tc>
          <w:tcPr>
            <w:tcW w:w="0" w:type="dxa"/>
            <w:vAlign w:val="bottom"/>
          </w:tcPr>
          <w:p>
            <w:pPr>
              <w:spacing w:after="0"/>
              <w:rPr>
                <w:sz w:val="1"/>
                <w:szCs w:val="1"/>
                <w:color w:val="auto"/>
              </w:rPr>
            </w:pPr>
          </w:p>
        </w:tc>
      </w:tr>
      <w:tr>
        <w:trPr>
          <w:trHeight w:val="142"/>
        </w:trPr>
        <w:tc>
          <w:tcPr>
            <w:tcW w:w="3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2023</w:t>
            </w: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281,136,415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$ 345,775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188,722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(489,226)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44,055</w:t>
            </w:r>
          </w:p>
        </w:tc>
        <w:tc>
          <w:tcPr>
            <w:tcW w:w="0" w:type="dxa"/>
            <w:vAlign w:val="bottom"/>
          </w:tcPr>
          <w:p>
            <w:pPr>
              <w:spacing w:after="0"/>
              <w:rPr>
                <w:sz w:val="1"/>
                <w:szCs w:val="1"/>
                <w:color w:val="auto"/>
              </w:rPr>
            </w:pPr>
          </w:p>
        </w:tc>
      </w:tr>
      <w:tr>
        <w:trPr>
          <w:trHeight w:val="349"/>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4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Special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2022</w:t>
            </w:r>
          </w:p>
        </w:tc>
        <w:tc>
          <w:tcPr>
            <w:tcW w:w="80" w:type="dxa"/>
            <w:vAlign w:val="bottom"/>
          </w:tcPr>
          <w:p>
            <w:pPr>
              <w:spacing w:after="0"/>
              <w:rPr>
                <w:sz w:val="14"/>
                <w:szCs w:val="14"/>
                <w:color w:val="auto"/>
              </w:rPr>
            </w:pPr>
          </w:p>
        </w:tc>
        <w:tc>
          <w:tcPr>
            <w:tcW w:w="1620" w:type="dxa"/>
            <w:vAlign w:val="bottom"/>
            <w:tcBorders>
              <w:bottom w:val="single" w:sz="8" w:color="auto"/>
            </w:tcBorders>
            <w:gridSpan w:val="6"/>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Loss</w:t>
            </w:r>
          </w:p>
        </w:tc>
        <w:tc>
          <w:tcPr>
            <w:tcW w:w="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225,432,493</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3"/>
              </w:rPr>
              <w:t>$ 296,051</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102,073</w:t>
            </w: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(304,157)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92,751</w:t>
            </w:r>
          </w:p>
        </w:tc>
        <w:tc>
          <w:tcPr>
            <w:tcW w:w="0" w:type="dxa"/>
            <w:vAlign w:val="bottom"/>
          </w:tcPr>
          <w:p>
            <w:pPr>
              <w:spacing w:after="0"/>
              <w:rPr>
                <w:sz w:val="1"/>
                <w:szCs w:val="1"/>
                <w:color w:val="auto"/>
              </w:rPr>
            </w:pPr>
          </w:p>
        </w:tc>
      </w:tr>
      <w:tr>
        <w:trPr>
          <w:trHeight w:val="148"/>
        </w:trPr>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Exercise of stock options (Note 9)</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18,461</w:t>
            </w:r>
          </w:p>
        </w:tc>
        <w:tc>
          <w:tcPr>
            <w:tcW w:w="7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30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w w:val="99"/>
              </w:rPr>
              <w:t>Conversion of restricted share units, net of shares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withheld for taxes (Note 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1,665,075</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2,917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(2,995)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0"/>
        </w:trPr>
        <w:tc>
          <w:tcPr>
            <w:tcW w:w="3080" w:type="dxa"/>
            <w:vAlign w:val="bottom"/>
            <w:gridSpan w:val="3"/>
          </w:tcPr>
          <w:p>
            <w:pPr>
              <w:spacing w:after="0" w:line="130" w:lineRule="exact"/>
              <w:rPr>
                <w:sz w:val="20"/>
                <w:szCs w:val="20"/>
                <w:color w:val="auto"/>
              </w:rPr>
            </w:pPr>
            <w:r>
              <w:rPr>
                <w:rFonts w:ascii="Arial" w:cs="Arial" w:eastAsia="Arial" w:hAnsi="Arial"/>
                <w:sz w:val="14"/>
                <w:szCs w:val="14"/>
                <w:color w:val="auto"/>
                <w:w w:val="99"/>
              </w:rPr>
              <w:t>Share purchase under Employee Share Purchase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80" w:type="dxa"/>
            <w:vAlign w:val="bottom"/>
            <w:gridSpan w:val="3"/>
          </w:tcPr>
          <w:p>
            <w:pPr>
              <w:ind w:left="140"/>
              <w:spacing w:after="0"/>
              <w:rPr>
                <w:sz w:val="20"/>
                <w:szCs w:val="20"/>
                <w:color w:val="auto"/>
              </w:rPr>
            </w:pPr>
            <w:r>
              <w:rPr>
                <w:rFonts w:ascii="Arial" w:cs="Arial" w:eastAsia="Arial" w:hAnsi="Arial"/>
                <w:sz w:val="14"/>
                <w:szCs w:val="14"/>
                <w:color w:val="auto"/>
              </w:rPr>
              <w:t>Plan (Note 9)</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42,426</w:t>
            </w:r>
          </w:p>
        </w:tc>
        <w:tc>
          <w:tcPr>
            <w:tcW w:w="780" w:type="dxa"/>
            <w:vAlign w:val="bottom"/>
            <w:gridSpan w:val="4"/>
          </w:tcPr>
          <w:p>
            <w:pPr>
              <w:jc w:val="right"/>
              <w:ind w:right="60"/>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30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(Note 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14,429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14,429</w:t>
            </w:r>
          </w:p>
        </w:tc>
        <w:tc>
          <w:tcPr>
            <w:tcW w:w="0" w:type="dxa"/>
            <w:vAlign w:val="bottom"/>
          </w:tcPr>
          <w:p>
            <w:pPr>
              <w:spacing w:after="0"/>
              <w:rPr>
                <w:sz w:val="1"/>
                <w:szCs w:val="1"/>
                <w:color w:val="auto"/>
              </w:rPr>
            </w:pPr>
          </w:p>
        </w:tc>
      </w:tr>
      <w:tr>
        <w:trPr>
          <w:trHeight w:val="148"/>
        </w:trPr>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Loss for the period</w:t>
            </w: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(33,501)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5"/>
              </w:rPr>
              <w:t>(33,501)</w:t>
            </w:r>
          </w:p>
        </w:tc>
        <w:tc>
          <w:tcPr>
            <w:tcW w:w="0" w:type="dxa"/>
            <w:vAlign w:val="bottom"/>
          </w:tcPr>
          <w:p>
            <w:pPr>
              <w:spacing w:after="0"/>
              <w:rPr>
                <w:sz w:val="1"/>
                <w:szCs w:val="1"/>
                <w:color w:val="auto"/>
              </w:rPr>
            </w:pPr>
          </w:p>
        </w:tc>
      </w:tr>
      <w:tr>
        <w:trPr>
          <w:trHeight w:val="142"/>
        </w:trPr>
        <w:tc>
          <w:tcPr>
            <w:tcW w:w="30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2022</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7"/>
              </w:rPr>
              <w:t>227,158,455</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3"/>
              </w:rPr>
              <w:t>$ 299,056</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113,487</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(337,658)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73,669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Six months ended</w:t>
            </w:r>
          </w:p>
        </w:tc>
        <w:tc>
          <w:tcPr>
            <w:tcW w:w="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Six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for the period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(14,105)</w:t>
            </w:r>
          </w:p>
        </w:tc>
        <w:tc>
          <w:tcPr>
            <w:tcW w:w="320" w:type="dxa"/>
            <w:vAlign w:val="bottom"/>
            <w:gridSpan w:val="2"/>
          </w:tcPr>
          <w:p>
            <w:pPr>
              <w:jc w:val="right"/>
              <w:ind w:right="17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Items not affecting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 settled with share-based payments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Equity-accounted investment loss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warrants liability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Gain on disposition of asset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(13,750)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Changes in working capital:</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Receivables and prepayments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(11,277)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(31,857)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received from investment in Low Carbon Royalties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equipment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Taxes withheld and paid on share-based compensation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(26,853)</w:t>
            </w:r>
          </w:p>
        </w:tc>
        <w:tc>
          <w:tcPr>
            <w:tcW w:w="32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Impact of exchange rate changes on cash</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period</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TMC the metals company Inc. (“TMC” or the “Company”)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595 Howe Street, Vancouver, British Columbia, Canada, V6C 2T5. The Company’s common shares and warrants to purchase common shares are listed for trading on the Nasdaq Global Select Market (“Nasdaq”) under tickers “TMC” and “TMCWW”, respectively.</w:t>
      </w:r>
    </w:p>
    <w:p>
      <w:pPr>
        <w:spacing w:after="0" w:line="206"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and cobalt sulfates, or intermediate nickel-copper-cobalt matte) for electric vehicles (“EV”) and renewable energy storage markets, (ii) copper cathode for EV wiring, clean energy transmission and other applications and (iii) manganese silicate for manganese alloy production required for steel production.</w:t>
      </w:r>
    </w:p>
    <w:p>
      <w:pPr>
        <w:spacing w:after="0" w:line="164"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7"/>
          <w:szCs w:val="17"/>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 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6).</w:t>
      </w:r>
    </w:p>
    <w:p>
      <w:pPr>
        <w:spacing w:after="0" w:line="212"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2023 or for any other period. These unaudited condensed consolidated interim financial statements should be read in conjunction with the audited annual consolidated financial statements for the year ended December 31, 2022. The Company has applied the same accounting policies as in the prior year, except as disclosed below.</w:t>
      </w:r>
    </w:p>
    <w:p>
      <w:pPr>
        <w:spacing w:after="0" w:line="185"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Certain comparative figures for exploration and evaluation expenses (Note 7) and general and administrative expenses have been reclassified to conform to the current period’s presentation.</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evaluation of going concern, the valuation of share-based payments, including valuation of incentive stock options (Note 9), as well as the valuation of warrants liability (Note 8) and valuation of the investment in Low Carbon Royalties Inc. (“Low Carbon Royalties”) (Note 6). Actual results could differ materially from those estimates.</w:t>
      </w:r>
    </w:p>
    <w:p>
      <w:pPr>
        <w:spacing w:after="0" w:line="188"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jc w:val="both"/>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48"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83" w:lineRule="exact"/>
        <w:rPr>
          <w:rFonts w:ascii="Arial" w:cs="Arial" w:eastAsia="Arial" w:hAnsi="Arial"/>
          <w:sz w:val="18"/>
          <w:szCs w:val="18"/>
          <w:b w:val="1"/>
          <w:bCs w:val="1"/>
          <w:color w:val="auto"/>
        </w:rPr>
      </w:pPr>
    </w:p>
    <w:p>
      <w:pPr>
        <w:ind w:left="680" w:hanging="321"/>
        <w:spacing w:after="0" w:line="277"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 xml:space="preserve"> - Valuations based on quoted prices in active markets for identical assets or liabilities that an entity has the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w:t>
      </w:r>
    </w:p>
    <w:p>
      <w:pPr>
        <w:spacing w:after="0" w:line="170"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 xml:space="preserve"> - Valuations based on quoted prices for similar assets or liabilities, quoted prices for identical assets or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data for substantially the full term of the assets or liabilities.</w:t>
      </w:r>
    </w:p>
    <w:p>
      <w:pPr>
        <w:spacing w:after="0" w:line="183" w:lineRule="exact"/>
        <w:rPr>
          <w:rFonts w:ascii="Arial" w:cs="Arial" w:eastAsia="Arial" w:hAnsi="Arial"/>
          <w:sz w:val="18"/>
          <w:szCs w:val="18"/>
          <w:color w:val="auto"/>
        </w:rPr>
      </w:pPr>
    </w:p>
    <w:p>
      <w:pPr>
        <w:ind w:left="680" w:hanging="321"/>
        <w:spacing w:after="0" w:line="277"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 xml:space="preserve"> - Valuations based on inputs that are supported by little or no market activity and that are significant to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assets or liabilities.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transfers between fair value measurement levels during the three and six months ended June 30, 2023, and 2022.</w:t>
      </w:r>
    </w:p>
    <w:p>
      <w:pPr>
        <w:spacing w:after="0" w:line="248"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As at June 30, 2023, and December 31, 2022, the carrying values of cash, receivables, and accounts payable and accrued liabilities approximate their fair values due to the short-term nature of these instruments. The financial instruments also include public and private warrants issued by the Company. These warrants are valued at fair value, which is disclosed in Note 8.</w:t>
      </w:r>
    </w:p>
    <w:p>
      <w:pPr>
        <w:spacing w:after="0" w:line="161" w:lineRule="exact"/>
        <w:rPr>
          <w:sz w:val="20"/>
          <w:szCs w:val="20"/>
          <w:color w:val="auto"/>
        </w:rPr>
      </w:pPr>
    </w:p>
    <w:p>
      <w:pPr>
        <w:ind w:left="340" w:right="5060" w:hanging="332"/>
        <w:spacing w:after="0" w:line="503"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Adopted During the Period </w:t>
      </w:r>
      <w:r>
        <w:rPr>
          <w:rFonts w:ascii="Arial" w:cs="Arial" w:eastAsia="Arial" w:hAnsi="Arial"/>
          <w:sz w:val="18"/>
          <w:szCs w:val="18"/>
          <w:b w:val="1"/>
          <w:bCs w:val="1"/>
          <w:i w:val="1"/>
          <w:iCs w:val="1"/>
          <w:color w:val="auto"/>
        </w:rPr>
        <w:t>Investments</w:t>
      </w:r>
    </w:p>
    <w:p>
      <w:pPr>
        <w:jc w:val="both"/>
        <w:ind w:left="340" w:firstLine="324"/>
        <w:spacing w:after="0" w:line="254" w:lineRule="auto"/>
        <w:rPr>
          <w:sz w:val="20"/>
          <w:szCs w:val="20"/>
          <w:color w:val="auto"/>
        </w:rPr>
      </w:pPr>
      <w:r>
        <w:rPr>
          <w:rFonts w:ascii="Arial" w:cs="Arial" w:eastAsia="Arial" w:hAnsi="Arial"/>
          <w:sz w:val="18"/>
          <w:szCs w:val="18"/>
          <w:color w:val="auto"/>
        </w:rPr>
        <w:t xml:space="preserve">The Company consolidates investments over which it has control in accordance with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Where the Company does not have control over the investment, but has significant influence, the Company records the investment in accordance with ASC 323,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xml:space="preserve"> (“ASC 323”) whereby, after recording the initial investment, the Company recognizes its proportional share of results of operations of the affiliate in its consolidated financial statements. The value of the equity method investments is impaired if it is determined that there is an other-than-temporary decline in value. Investments over which the Company does not have control nor significant influence are recorded at cost.</w:t>
      </w:r>
    </w:p>
    <w:p>
      <w:pPr>
        <w:spacing w:after="0" w:line="191" w:lineRule="exact"/>
        <w:rPr>
          <w:sz w:val="20"/>
          <w:szCs w:val="20"/>
          <w:color w:val="auto"/>
        </w:rPr>
      </w:pPr>
    </w:p>
    <w:p>
      <w:pPr>
        <w:ind w:left="340" w:right="7320" w:hanging="332"/>
        <w:spacing w:after="0" w:line="603" w:lineRule="auto"/>
        <w:tabs>
          <w:tab w:leader="none" w:pos="34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Strategic Partnerships </w:t>
      </w:r>
      <w:r>
        <w:rPr>
          <w:rFonts w:ascii="Arial" w:cs="Arial" w:eastAsia="Arial" w:hAnsi="Arial"/>
          <w:sz w:val="15"/>
          <w:szCs w:val="15"/>
          <w:b w:val="1"/>
          <w:bCs w:val="1"/>
          <w:i w:val="1"/>
          <w:iCs w:val="1"/>
          <w:color w:val="auto"/>
        </w:rPr>
        <w:t>Strategic Alliance with Allseas</w:t>
      </w:r>
    </w:p>
    <w:p>
      <w:pPr>
        <w:spacing w:after="0" w:line="1" w:lineRule="exact"/>
        <w:rPr>
          <w:rFonts w:ascii="Arial" w:cs="Arial" w:eastAsia="Arial" w:hAnsi="Arial"/>
          <w:sz w:val="15"/>
          <w:szCs w:val="15"/>
          <w:b w:val="1"/>
          <w:bCs w:val="1"/>
          <w:color w:val="auto"/>
        </w:rPr>
      </w:pPr>
    </w:p>
    <w:p>
      <w:pPr>
        <w:jc w:val="both"/>
        <w:ind w:left="340"/>
        <w:spacing w:after="0" w:line="272" w:lineRule="auto"/>
        <w:rPr>
          <w:rFonts w:ascii="Arial" w:cs="Arial" w:eastAsia="Arial" w:hAnsi="Arial"/>
          <w:sz w:val="15"/>
          <w:szCs w:val="15"/>
          <w:b w:val="1"/>
          <w:bCs w:val="1"/>
          <w:color w:val="auto"/>
        </w:rPr>
      </w:pPr>
      <w:r>
        <w:rPr>
          <w:rFonts w:ascii="Arial" w:cs="Arial" w:eastAsia="Arial" w:hAnsi="Arial"/>
          <w:sz w:val="17"/>
          <w:szCs w:val="17"/>
          <w:color w:val="auto"/>
        </w:rPr>
        <w:t>On February 13, 2023, the Company entered into a Fifth Amendment to the Pilot Mining Test Agreement (the “PMTA”) and Third Amendment to SAA (“Fifth Amendment”), which was effective as of February 8, 2023, with DGE, DeepGreen Metals Inc. and Allseas. The Fifth Amendment relates to the Company’s settlement of the third and final payment of $10 million due to Allseas upon successful completion of the trial of the pilot mining test system (the “PMTS”) in NORI Area D and certain other costs due to Allseas under the PMTA through the issuance of 10,850,000 common shares to Allseas, priced at $1.00 per share. On February 23, 2023, the Company settled the third milestone payment of $10 million and additional PMTS overage charges amounting to $0.9 million by issuing 10.9 million of its common shares to Allseas.</w:t>
      </w:r>
    </w:p>
    <w:p>
      <w:pPr>
        <w:spacing w:after="0" w:line="177" w:lineRule="exact"/>
        <w:rPr>
          <w:rFonts w:ascii="Arial" w:cs="Arial" w:eastAsia="Arial" w:hAnsi="Arial"/>
          <w:sz w:val="15"/>
          <w:szCs w:val="15"/>
          <w:b w:val="1"/>
          <w:bCs w:val="1"/>
          <w:color w:val="auto"/>
        </w:rPr>
      </w:pPr>
    </w:p>
    <w:p>
      <w:pPr>
        <w:ind w:left="340"/>
        <w:spacing w:after="0"/>
        <w:rPr>
          <w:rFonts w:ascii="Arial" w:cs="Arial" w:eastAsia="Arial" w:hAnsi="Arial"/>
          <w:sz w:val="15"/>
          <w:szCs w:val="15"/>
          <w:b w:val="1"/>
          <w:bCs w:val="1"/>
          <w:color w:val="auto"/>
        </w:rPr>
      </w:pPr>
      <w:r>
        <w:rPr>
          <w:rFonts w:ascii="Arial" w:cs="Arial" w:eastAsia="Arial" w:hAnsi="Arial"/>
          <w:sz w:val="16"/>
          <w:szCs w:val="16"/>
          <w:color w:val="auto"/>
        </w:rPr>
        <w:t>As at June 30, 2023, Allseas owned 33.5 million TMC common shares (2022: 23.7 million TMC common shares) which constituted</w:t>
      </w:r>
    </w:p>
    <w:p>
      <w:pPr>
        <w:spacing w:after="0" w:line="46" w:lineRule="exact"/>
        <w:rPr>
          <w:rFonts w:ascii="Arial" w:cs="Arial" w:eastAsia="Arial" w:hAnsi="Arial"/>
          <w:sz w:val="15"/>
          <w:szCs w:val="15"/>
          <w:b w:val="1"/>
          <w:bCs w:val="1"/>
          <w:color w:val="auto"/>
        </w:rPr>
      </w:pPr>
    </w:p>
    <w:p>
      <w:pPr>
        <w:jc w:val="both"/>
        <w:ind w:left="340"/>
        <w:spacing w:after="0" w:line="253" w:lineRule="auto"/>
        <w:rPr>
          <w:rFonts w:ascii="Arial" w:cs="Arial" w:eastAsia="Arial" w:hAnsi="Arial"/>
          <w:sz w:val="15"/>
          <w:szCs w:val="15"/>
          <w:b w:val="1"/>
          <w:bCs w:val="1"/>
          <w:color w:val="auto"/>
        </w:rPr>
      </w:pPr>
      <w:r>
        <w:rPr>
          <w:rFonts w:ascii="Arial" w:cs="Arial" w:eastAsia="Arial" w:hAnsi="Arial"/>
          <w:sz w:val="18"/>
          <w:szCs w:val="18"/>
          <w:color w:val="auto"/>
        </w:rPr>
        <w:t>12% (2022: 8.9%) of total common shares outstanding. The above-mentioned shareholding excludes 11,578,620 common shares which were issued to Allseas on August 9, 2023, upon the exercise of the warrant and receipt of the exercise fee of $115.8 thousand. The warrant vested and became exercisable on successful completion of the PMTS in November 2022 (refer “Allseas Warrant”, Note 8). The above shareholding also excludes 4.15 million common shares which will be issued to Allseas, as consideration on the closing of the Exclusive Vessel Use Agreement (Note 15).</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Low Carbon Royalties</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On February 21, 2023 (the “Closing Date”), the Company and its wholly-owned subsidiary, NORI, entered into an investment agreement (the “Agreement”) with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In connection with the Agreement, NORI contributed a 2% gross overriding royalty (the “NORI Royalty”) on the Company’s NORI project area in the Clarion Clipperton Zone of the Pacific Ocean in which NORI currently holds exclusive exploration rights for polymetallic nodules from the ISA to Low Carbon Royalties. The Company retained the right to repurchase up to 75% of the NORI Royalty at an agreed capped return, exercisable in two transactions, between the second and the tenth anniversaries of the Partnership. If both repurchase transactions are executed, the NORI Royalty will be reduced to 0.5%. At the Closing Date, Low Carbon Royalties also owned a 1.6% gross overriding royalty on a producing natural gas field in Latin America. In consideration of the NORI Royalty, TMC received 35.0% of the common shares issued by Low Carbon Royalties and $5 million in cash, as of the Closing Date. In connection with the Agreement the Company entered into an Investor Rights Agreement with Low Carbon Royalties and a shareholder of Low Carbon Royalties, pursuant to which the Company and this shareholder each has a right, subject to certain percentage maintenance, to nominate a director to Low Carbon Royalties’ board of directors, along with registration and information rights.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has accounted for the investment in Low Carbon Royalties in accordance with ASC 323-10 and has thus applied the equity method of accounting to this investment. When considering the royalty liability instrument as well as the embedded repurchase features, management has elected to account for the royalty liability under the fair value option in accordance with ASC 825-10.</w:t>
      </w:r>
    </w:p>
    <w:p>
      <w:pPr>
        <w:spacing w:after="0" w:line="18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March 21, 2023, Low Carbon Royalties acquired additional gross overriding royalties on natural gas fields in Latin America, increasing its total gross overriding royalty on the existing first license block from 1.56% to 3.13% and acquiring a gross overriding royalty of 1.44% on a new second license block. The royalty acquisitions were financed through the issuance of Low Carbon Royalties common shares to the third-party vendor of such royalties, thereby reducing the Company’s ownership in the Partnership to 32% from 35%.</w:t>
      </w:r>
    </w:p>
    <w:p>
      <w:pPr>
        <w:spacing w:after="0" w:line="18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Based on the fair value of the NORI Royalty and the cash received on the Closing Date, the Company recorded $9 million as investment in Low Carbon Royalties. For the three and six months ended June 30, 2023, the Company’s share of the net loss generated by the Low Carbon Royalties was $0.1 million and $0.4 million, respectively.</w:t>
      </w:r>
    </w:p>
    <w:p>
      <w:pPr>
        <w:sectPr>
          <w:pgSz w:w="11900" w:h="16838" w:orient="portrait"/>
          <w:cols w:equalWidth="0" w:num="1">
            <w:col w:w="9920"/>
          </w:cols>
          <w:pgMar w:left="980" w:top="517" w:right="999" w:bottom="1440" w:gutter="0" w:footer="0" w:header="0"/>
        </w:sectPr>
      </w:pP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 of NORI Royalty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-130175</wp:posOffset>
            </wp:positionV>
            <wp:extent cx="58978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9788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5715</wp:posOffset>
            </wp:positionV>
            <wp:extent cx="58978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9788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Cost of Investment on Closing Date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Equity-accounted investment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20320</wp:posOffset>
            </wp:positionV>
            <wp:extent cx="58978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97880" cy="154305"/>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 as at June 30, 2023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32"/>
        <w:spacing w:after="0"/>
        <w:rPr>
          <w:sz w:val="20"/>
          <w:szCs w:val="20"/>
          <w:color w:val="auto"/>
        </w:rPr>
      </w:pPr>
      <w:r>
        <w:rPr>
          <w:rFonts w:ascii="Arial" w:cs="Arial" w:eastAsia="Arial" w:hAnsi="Arial"/>
          <w:sz w:val="12"/>
          <w:szCs w:val="12"/>
          <w:b w:val="1"/>
          <w:bCs w:val="1"/>
          <w:color w:val="auto"/>
        </w:rPr>
        <w:t>Investment</w:t>
      </w:r>
    </w:p>
    <w:p>
      <w:pPr>
        <w:spacing w:after="0" w:line="48" w:lineRule="exact"/>
        <w:rPr>
          <w:sz w:val="20"/>
          <w:szCs w:val="20"/>
          <w:color w:val="auto"/>
        </w:rPr>
      </w:pPr>
    </w:p>
    <w:p>
      <w:pPr>
        <w:ind w:left="472" w:hanging="472"/>
        <w:spacing w:after="0"/>
        <w:tabs>
          <w:tab w:leader="none" w:pos="472" w:val="left"/>
        </w:tabs>
        <w:numPr>
          <w:ilvl w:val="0"/>
          <w:numId w:val="10"/>
        </w:numPr>
        <w:rPr>
          <w:rFonts w:ascii="Arial" w:cs="Arial" w:eastAsia="Arial" w:hAnsi="Arial"/>
          <w:sz w:val="17"/>
          <w:szCs w:val="17"/>
          <w:color w:val="auto"/>
        </w:rPr>
      </w:pPr>
      <w:r>
        <w:rPr>
          <w:rFonts w:ascii="Arial" w:cs="Arial" w:eastAsia="Arial" w:hAnsi="Arial"/>
          <w:sz w:val="17"/>
          <w:szCs w:val="17"/>
          <w:color w:val="auto"/>
        </w:rPr>
        <w:t>14,000</w:t>
      </w:r>
    </w:p>
    <w:p>
      <w:pPr>
        <w:spacing w:after="0" w:line="19" w:lineRule="exact"/>
        <w:rPr>
          <w:sz w:val="20"/>
          <w:szCs w:val="20"/>
          <w:color w:val="auto"/>
        </w:rPr>
      </w:pPr>
    </w:p>
    <w:p>
      <w:pPr>
        <w:ind w:left="492" w:hanging="492"/>
        <w:spacing w:after="0"/>
        <w:tabs>
          <w:tab w:leader="none" w:pos="4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(5,000)</w:t>
      </w:r>
    </w:p>
    <w:p>
      <w:pPr>
        <w:spacing w:after="0" w:line="32" w:lineRule="exact"/>
        <w:rPr>
          <w:rFonts w:ascii="Arial" w:cs="Arial" w:eastAsia="Arial" w:hAnsi="Arial"/>
          <w:sz w:val="16"/>
          <w:szCs w:val="16"/>
          <w:color w:val="auto"/>
        </w:rPr>
      </w:pPr>
    </w:p>
    <w:p>
      <w:pPr>
        <w:ind w:left="552" w:hanging="552"/>
        <w:spacing w:after="0"/>
        <w:tabs>
          <w:tab w:leader="none" w:pos="5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9,000</w:t>
      </w:r>
    </w:p>
    <w:p>
      <w:pPr>
        <w:spacing w:after="0" w:line="9" w:lineRule="exact"/>
        <w:rPr>
          <w:rFonts w:ascii="Arial" w:cs="Arial" w:eastAsia="Arial" w:hAnsi="Arial"/>
          <w:sz w:val="18"/>
          <w:szCs w:val="18"/>
          <w:color w:val="auto"/>
        </w:rPr>
      </w:pPr>
    </w:p>
    <w:p>
      <w:pPr>
        <w:ind w:left="632"/>
        <w:spacing w:after="0"/>
        <w:rPr>
          <w:rFonts w:ascii="Arial" w:cs="Arial" w:eastAsia="Arial" w:hAnsi="Arial"/>
          <w:sz w:val="18"/>
          <w:szCs w:val="18"/>
          <w:color w:val="auto"/>
        </w:rPr>
      </w:pPr>
      <w:r>
        <w:rPr>
          <w:rFonts w:ascii="Arial" w:cs="Arial" w:eastAsia="Arial" w:hAnsi="Arial"/>
          <w:sz w:val="16"/>
          <w:szCs w:val="16"/>
          <w:color w:val="auto"/>
        </w:rPr>
        <w:t>(356)</w:t>
      </w:r>
    </w:p>
    <w:p>
      <w:pPr>
        <w:spacing w:after="0" w:line="32" w:lineRule="exact"/>
        <w:rPr>
          <w:rFonts w:ascii="Arial" w:cs="Arial" w:eastAsia="Arial" w:hAnsi="Arial"/>
          <w:sz w:val="18"/>
          <w:szCs w:val="18"/>
          <w:color w:val="auto"/>
        </w:rPr>
      </w:pPr>
    </w:p>
    <w:p>
      <w:pPr>
        <w:ind w:left="552" w:hanging="552"/>
        <w:spacing w:after="0"/>
        <w:tabs>
          <w:tab w:leader="none" w:pos="552"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8,644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643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888" w:space="720"/>
            <w:col w:w="1312"/>
          </w:cols>
          <w:pgMar w:left="980" w:top="517" w:right="999" w:bottom="1440" w:gutter="0" w:footer="0" w:header="0"/>
          <w:type w:val="continuous"/>
        </w:sectPr>
      </w:pPr>
    </w:p>
    <w:p>
      <w:pPr>
        <w:spacing w:after="0" w:line="5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net consideration received of $14 million exceeded the NORI Exploration Contract’s carrying value of $0.25 million, resulting in a gain on disposition of asset of $13.75 million recorded in the Company’s first quarter of 2023 Statements of Loss (Income) and Comprehensive Loss (Income). NORI is in the exploration phase of the project and under the Company’s policy, exploration spending is expensed.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and Evaluation Expenses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detail of exploration and evaluation expenses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NORI</w:t>
            </w:r>
          </w:p>
        </w:tc>
        <w:tc>
          <w:tcPr>
            <w:tcW w:w="16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Marawa</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TOML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For the three months ended June 30, 2023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Exploration</w:t>
            </w:r>
          </w:p>
        </w:tc>
        <w:tc>
          <w:tcPr>
            <w:tcW w:w="160" w:type="dxa"/>
            <w:vAlign w:val="bottom"/>
          </w:tcPr>
          <w:p>
            <w:pPr>
              <w:spacing w:after="0"/>
              <w:rPr>
                <w:sz w:val="12"/>
                <w:szCs w:val="12"/>
                <w:color w:val="auto"/>
              </w:rPr>
            </w:pP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Exploration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Agreement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Contract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Environmental Studies</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1,909</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Exploration Labor</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1,167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1,260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Mining, Technological and Process Development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1,969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Prefeasibility Studies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w w:val="97"/>
              </w:rPr>
              <w:t>Sponsorship, Training and Stakeholder Engagement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7,282</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129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687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8,098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NORI</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Marawa</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TOML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Exploration</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6"/>
              </w:rPr>
              <w:t>Exploration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40" w:type="dxa"/>
            <w:vAlign w:val="bottom"/>
            <w:gridSpan w:val="2"/>
          </w:tcPr>
          <w:p>
            <w:pPr>
              <w:ind w:left="340"/>
              <w:spacing w:after="0"/>
              <w:rPr>
                <w:sz w:val="20"/>
                <w:szCs w:val="20"/>
                <w:color w:val="auto"/>
              </w:rPr>
            </w:pPr>
            <w:r>
              <w:rPr>
                <w:rFonts w:ascii="Arial" w:cs="Arial" w:eastAsia="Arial" w:hAnsi="Arial"/>
                <w:sz w:val="14"/>
                <w:szCs w:val="14"/>
                <w:b w:val="1"/>
                <w:bCs w:val="1"/>
                <w:color w:val="auto"/>
              </w:rPr>
              <w:t>For the three months ended June 30, 2022</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Contract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Agreement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Contract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Environmental Studies</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Exploration Labor</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Mining, Technological and Process Development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PMTS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w w:val="97"/>
              </w:rPr>
              <w:t>Sponsorship, Training and Stakeholder Engagement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8,417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837</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10,241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NORI</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Marawa</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TOML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For the six months ended June 30, 2023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3"/>
              </w:rPr>
              <w:t>Exploration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Exploration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Contract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Agreement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Contract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Environmental Studies</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Exploration Labor</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Mining, Technological and Process Development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2,987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Prefeasibility Studies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w w:val="97"/>
              </w:rPr>
              <w:t>Sponsorship, Training and Stakeholder Engagement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13,746</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276</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15,267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NORI</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Marawa</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TOML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For the six months ended June 30, 2022</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4"/>
          </w:tcPr>
          <w:p>
            <w:pPr>
              <w:jc w:val="right"/>
              <w:ind w:right="7"/>
              <w:spacing w:after="0" w:line="149" w:lineRule="exact"/>
              <w:rPr>
                <w:sz w:val="20"/>
                <w:szCs w:val="20"/>
                <w:color w:val="auto"/>
              </w:rPr>
            </w:pPr>
            <w:r>
              <w:rPr>
                <w:rFonts w:ascii="Arial" w:cs="Arial" w:eastAsia="Arial" w:hAnsi="Arial"/>
                <w:sz w:val="14"/>
                <w:szCs w:val="14"/>
                <w:b w:val="1"/>
                <w:bCs w:val="1"/>
                <w:color w:val="auto"/>
              </w:rPr>
              <w:t>Exploration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5"/>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Exploration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Contract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Agreement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Contract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Environmental Studies</w:t>
            </w: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Exploration Labor</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 (Note 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Mining, Technological and Process Development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PMTS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w w:val="97"/>
              </w:rPr>
              <w:t>Sponsorship, Training and Stakeholder Engagement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14,177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1,668</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17,678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the initial public offering (“Private Warrants”) as part of the Business Combination.</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Warrants</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at June 30, 2023, 15,000,000 (June 30, 2022 - 15,000,000) Public Warrants were outstanding. Public Warrants may only be exercised for a whole number of shares.</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at June 30, 2023, the value of outstanding Public Warrants of $19.5 million was recorded in additional paid in capital.</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Private Warrants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at June 30, 2023, 9,500,000 Private Warrants were outstanding (December 31, 2022 - 9,500,000).</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92"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at June 30, 2023, the fair value of outstanding Private Warrants of $2.3 million is recorded as warrants liability. The following table presents the changes in the fair value of warrants liability:</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Private</w:t>
            </w:r>
          </w:p>
        </w:tc>
      </w:tr>
      <w:tr>
        <w:trPr>
          <w:trHeight w:val="171"/>
        </w:trPr>
        <w:tc>
          <w:tcPr>
            <w:tcW w:w="79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Warrants</w:t>
            </w: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 liability as at December 31, 2022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16"/>
        </w:trPr>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Increase in fair value of warrants liability</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r>
      <w:tr>
        <w:trPr>
          <w:trHeight w:val="210"/>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Warrants liability as at June 30, 2023</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at June 30, 2023 and December 31, 2022, the fair value of the Private Warrants was estimated using the following assumptions:</w:t>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02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Share price</w:t>
            </w:r>
          </w:p>
        </w:tc>
        <w:tc>
          <w:tcPr>
            <w:tcW w:w="3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320" w:type="dxa"/>
            <w:vAlign w:val="bottom"/>
            <w:gridSpan w:val="2"/>
          </w:tcPr>
          <w:p>
            <w:pPr>
              <w:jc w:val="right"/>
              <w:ind w:right="11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80.83 %</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88.05 %</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Term (years)</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4.33 %</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4.04 %</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Dividend yield</w:t>
            </w: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r>
    </w:tbl>
    <w:p>
      <w:pPr>
        <w:spacing w:after="0" w:line="18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There were no exercises or redemptions of the Public Warrants or Private Warrants during the three and six months ended June 30, 2023.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Allseas Warrant</w:t>
      </w:r>
    </w:p>
    <w:p>
      <w:pPr>
        <w:spacing w:after="0" w:line="225"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Allseas warrant vested and became exercisable upon the successful completion of the PMTS in November 2022. On July 26, 2023, the Allseas warrant was exercised resulting in the issuance of 11,578,620 common shares of the Company on August 9, 2023, once the payment of $115.8 thousand warrant fee was received from Allseas.</w:t>
      </w:r>
    </w:p>
    <w:p>
      <w:pPr>
        <w:spacing w:after="0" w:line="19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Company’s 2021 Incentive Equity Plan (the “Plan”) provides that the aggregate number of common shares reserved for future issuance under the Plan as of June 30, 2023, is 44,372,170 common shares, including 10,672,485 shares added to the Plan in January 2023 pursuant to the Plan’s automatic annual increase provision,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options</w:t>
      </w:r>
    </w:p>
    <w:p>
      <w:pPr>
        <w:spacing w:after="0" w:line="225"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at June 30, 2023, there were 15,356,340 stock options outstanding under the Company’s Short-Term Incentive Plan (“STIP”) and 9,783,922 stock options outstanding under the Company’s Long-Term Incentive Plan (“LTIP”). No stock options were exercised or granted during the three and six months ended June 30, 2023.</w:t>
      </w:r>
    </w:p>
    <w:p>
      <w:pPr>
        <w:spacing w:after="0" w:line="183"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the three and six months ended June 30, 2023, the Company recognized $0.1 million and $0.3 million, respectively (three and six months ended June 30, 2022 - $3.6 million and $7.4 million, respectively), of share-based compensation expense for stock options in the statement of loss and comprehensive loss. For the three and six months ended June 30, 2023, a total of $56 thousand and $138 thousand, respectively, of this share-based compensation expense recognized was related to exploration and evaluation activities (three and six months ended June 30, 2022 - $1.9 million and $3.9 million, respectively). The amount of this share-based compensation expense recognized related to general and administration matters for three and six months ended June 30, 2023 was $60 thousand and $176 thousand, respectively (three and six months ended June 30, 2022 - $1.7 million and $3.5 million, respectively).</w:t>
      </w:r>
    </w:p>
    <w:p>
      <w:pPr>
        <w:spacing w:after="0" w:line="19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Restricted Share Units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details of restricted share units (“RSUs”) granted during the three and six months ended June 30, 2023 are described below.</w:t>
      </w: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Three months</w:t>
            </w:r>
          </w:p>
        </w:tc>
        <w:tc>
          <w:tcPr>
            <w:tcW w:w="178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ended June 30,</w:t>
            </w:r>
          </w:p>
        </w:tc>
        <w:tc>
          <w:tcPr>
            <w:tcW w:w="178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ended June 30,</w:t>
            </w:r>
          </w:p>
        </w:tc>
      </w:tr>
      <w:tr>
        <w:trPr>
          <w:trHeight w:val="169"/>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Vesting Period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10"/>
        </w:trPr>
        <w:tc>
          <w:tcPr>
            <w:tcW w:w="54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Vesting immediately</w:t>
            </w:r>
            <w:r>
              <w:rPr>
                <w:rFonts w:ascii="Arial" w:cs="Arial" w:eastAsia="Arial" w:hAnsi="Arial"/>
                <w:sz w:val="24"/>
                <w:szCs w:val="24"/>
                <w:color w:val="auto"/>
                <w:vertAlign w:val="superscript"/>
              </w:rPr>
              <w:t>(1)(2)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255,749</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3,237,710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1,713,153</w:t>
            </w:r>
          </w:p>
        </w:tc>
      </w:tr>
      <w:tr>
        <w:trPr>
          <w:trHeight w:val="216"/>
        </w:trPr>
        <w:tc>
          <w:tcPr>
            <w:tcW w:w="5580" w:type="dxa"/>
            <w:vAlign w:val="bottom"/>
            <w:gridSpan w:val="2"/>
          </w:tcPr>
          <w:p>
            <w:pPr>
              <w:spacing w:after="0" w:line="216" w:lineRule="exact"/>
              <w:rPr>
                <w:sz w:val="20"/>
                <w:szCs w:val="20"/>
                <w:color w:val="auto"/>
              </w:rPr>
            </w:pPr>
            <w:r>
              <w:rPr>
                <w:rFonts w:ascii="Arial" w:cs="Arial" w:eastAsia="Arial" w:hAnsi="Arial"/>
                <w:sz w:val="17"/>
                <w:szCs w:val="17"/>
                <w:color w:val="auto"/>
              </w:rPr>
              <w:t>Vesting fully on the anniversary of the grant date</w:t>
            </w:r>
            <w:r>
              <w:rPr>
                <w:rFonts w:ascii="Arial" w:cs="Arial" w:eastAsia="Arial" w:hAnsi="Arial"/>
                <w:sz w:val="25"/>
                <w:szCs w:val="25"/>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1,014,349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476,189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1,014,349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476,189</w:t>
            </w:r>
          </w:p>
        </w:tc>
      </w:tr>
      <w:tr>
        <w:trPr>
          <w:trHeight w:val="216"/>
        </w:trPr>
        <w:tc>
          <w:tcPr>
            <w:tcW w:w="55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Vesting in thirds on each anniversary of the grant date</w:t>
            </w:r>
            <w:r>
              <w:rPr>
                <w:rFonts w:ascii="Arial" w:cs="Arial" w:eastAsia="Arial" w:hAnsi="Arial"/>
                <w:sz w:val="25"/>
                <w:szCs w:val="25"/>
                <w:color w:val="auto"/>
                <w:vertAlign w:val="superscript"/>
              </w:rPr>
              <w:t>(4)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8,683,486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369,394</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Vesting in fourths on each anniversary of the grant date</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343,750</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7" w:lineRule="exact"/>
        <w:rPr>
          <w:sz w:val="20"/>
          <w:szCs w:val="20"/>
          <w:color w:val="auto"/>
        </w:rPr>
      </w:pPr>
    </w:p>
    <w:p>
      <w:pPr>
        <w:ind w:left="720" w:hanging="334"/>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the 3,237,710 units vesting immediately granted during the first quarter of 2023, 3,222,086 units were issued to settle liabilities with a carrying amount of $2.9 million, at a weighted average grant date fair value of $0.89 per RSU.</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720" w:hanging="334"/>
        <w:spacing w:after="0" w:line="29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Of the 3,237,710 units vesting immediately granted during the first quarter of 2023, 23,438 units granted to consultants, (three and six months ended June 30, 2022: 255,749 units and 640,581 units, respectively) resulting in $23 thousand (three and six months ended June 30, 2022: $0.6 million and $1.2 million, respectively) charged to professional and consulting fees under general and administration expenses. The Company also granted 15,625 immediately vesting units to consultants during the first quarter of 2023 as a prepayment for the services (three and six months ended June 30, 2022: nil). The amortization of the prepayment amounting to $15 thousand was recorded in second quarter of 2023 as professional and consulting fees under general and administration expenses (three and six months ended June 30, 2022: nil).</w:t>
      </w:r>
    </w:p>
    <w:p>
      <w:pPr>
        <w:spacing w:after="0" w:line="166" w:lineRule="exact"/>
        <w:rPr>
          <w:rFonts w:ascii="Arial" w:cs="Arial" w:eastAsia="Arial" w:hAnsi="Arial"/>
          <w:sz w:val="16"/>
          <w:szCs w:val="16"/>
          <w:color w:val="auto"/>
        </w:rPr>
      </w:pPr>
    </w:p>
    <w:p>
      <w:pPr>
        <w:jc w:val="both"/>
        <w:ind w:left="720" w:hanging="334"/>
        <w:spacing w:after="0" w:line="259"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three and six months ended June 30, 2023, an aggregate of 1,014,349 RSUs were granted to the Company’s non-employee directors under the Company’s Non-employee Director Compensation Policy, which vest upon the Company’s 2024 annual shareholders meeting. The total fair value of units granted as annual grants to the non-employee directors amounted to $700,000.</w:t>
      </w:r>
    </w:p>
    <w:p>
      <w:pPr>
        <w:spacing w:after="0" w:line="186" w:lineRule="exact"/>
        <w:rPr>
          <w:rFonts w:ascii="Arial" w:cs="Arial" w:eastAsia="Arial" w:hAnsi="Arial"/>
          <w:sz w:val="18"/>
          <w:szCs w:val="18"/>
          <w:color w:val="auto"/>
        </w:rPr>
      </w:pPr>
    </w:p>
    <w:p>
      <w:pPr>
        <w:jc w:val="both"/>
        <w:ind w:left="720" w:hanging="334"/>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three and six months ended June 30, 2023, the Company granted nil and 8,645,465 units, respectively, as payment for the 2022 LTIP awards and 38,021 units as a sign-on grant. The 2021 LTIP awards were granted in the fourth quarter of 2021 and totaled 3,500,000 units.</w:t>
      </w:r>
    </w:p>
    <w:p>
      <w:pPr>
        <w:spacing w:after="0" w:line="184" w:lineRule="exact"/>
        <w:rPr>
          <w:sz w:val="20"/>
          <w:szCs w:val="20"/>
          <w:color w:val="auto"/>
        </w:rPr>
      </w:pPr>
    </w:p>
    <w:p>
      <w:pPr>
        <w:jc w:val="both"/>
        <w:ind w:left="380"/>
        <w:spacing w:after="0" w:line="253" w:lineRule="auto"/>
        <w:rPr>
          <w:sz w:val="20"/>
          <w:szCs w:val="20"/>
          <w:color w:val="auto"/>
        </w:rPr>
      </w:pPr>
      <w:r>
        <w:rPr>
          <w:rFonts w:ascii="Arial" w:cs="Arial" w:eastAsia="Arial" w:hAnsi="Arial"/>
          <w:sz w:val="18"/>
          <w:szCs w:val="18"/>
          <w:color w:val="auto"/>
        </w:rPr>
        <w:t>During the three and six months ended June 30, 2023, a total of $2.4 million and $4.0 million, respectively (three and six months ended June 30, 2022 - $2.1 million and $4.0 million, respectively), was charged to the statement of loss and comprehensive loss as share-based compensation expense for RSUs. For the three and six months ended June 30, 2023, a total of $1.4 million and $2.3 million, respectively, of this share-based compensation expense recognized was related to exploration and evaluation activities (three and six months ended June 30, 2022 - $1 million and $1.9 million respectively). The amount of this share-based compensation expense recognized related to general and administration matters for three and six months ended June 30, 2023 was $1 million and $1.7 million, respectively (three and six months ended June 30, 2022 - $1.1 million and $2.1 million, respectively). As at June 30, 2023, total unrecognized share-based compensation expense for RSUs was $11.5 million (December 31, 2022 - $6.1 million).</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at June 30, 2023, an aggregate of 551,075 vested units were outstanding and due to be converted into common shares.</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Employee Share Purchase Plan</w:t>
      </w:r>
    </w:p>
    <w:p>
      <w:pPr>
        <w:spacing w:after="0" w:line="225" w:lineRule="exact"/>
        <w:rPr>
          <w:sz w:val="20"/>
          <w:szCs w:val="20"/>
          <w:color w:val="auto"/>
        </w:rPr>
      </w:pPr>
    </w:p>
    <w:p>
      <w:pPr>
        <w:jc w:val="both"/>
        <w:ind w:left="380"/>
        <w:spacing w:after="0" w:line="254" w:lineRule="auto"/>
        <w:rPr>
          <w:sz w:val="20"/>
          <w:szCs w:val="20"/>
          <w:color w:val="auto"/>
        </w:rPr>
      </w:pPr>
      <w:r>
        <w:rPr>
          <w:rFonts w:ascii="Arial" w:cs="Arial" w:eastAsia="Arial" w:hAnsi="Arial"/>
          <w:sz w:val="18"/>
          <w:szCs w:val="18"/>
          <w:color w:val="auto"/>
        </w:rPr>
        <w:t>As of June 30, 2023, there were 7,922,445 common shares reserved for issuance under the Employee Stock Purchase Plan (the “ESPP”), including 2,668,121 shares added to the ESPP in January 2023 pursuant to the ESPP’s automatic annual increase provision. An aggregate of 201,501 of the reserved common shares have been issued under the ESPP.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95" w:lineRule="exact"/>
        <w:rPr>
          <w:sz w:val="20"/>
          <w:szCs w:val="20"/>
          <w:color w:val="auto"/>
        </w:rPr>
      </w:pPr>
    </w:p>
    <w:p>
      <w:pPr>
        <w:jc w:val="both"/>
        <w:ind w:left="340" w:firstLine="324"/>
        <w:spacing w:after="0" w:line="289" w:lineRule="auto"/>
        <w:rPr>
          <w:sz w:val="20"/>
          <w:szCs w:val="20"/>
          <w:color w:val="auto"/>
        </w:rPr>
      </w:pPr>
      <w:r>
        <w:rPr>
          <w:rFonts w:ascii="Arial" w:cs="Arial" w:eastAsia="Arial" w:hAnsi="Arial"/>
          <w:sz w:val="16"/>
          <w:szCs w:val="16"/>
          <w:color w:val="auto"/>
        </w:rPr>
        <w:t>During the three and six months ended June 30, 2023, a total of $28 thousand and $47 thousand, respectively, was charged to the condensed consolidated statement of loss and comprehensive loss (for three and six months ended June 30, 2022: $23 thousand) as share-based compensation expense for ESPP issuances. For the three and six months ended June 30, 2023, a total of $19 thousand and $26 thousand, respectively, of this recognized share-based compensation expense was related to exploration and evaluation activities (three and six months ended June 30, 2022 - $8 thousand). The amount of this share-based compensation expense related to general and administration matters for three and six months ended June 30, 2023 was $9 thousand and $21 thousand, respectively (three and six months ended June 30, 2022 - $15 thousand). On May 31, 2023, the Company issued 83,572 common shares to its employees, thereby converting employee payroll contributions over the previous six months into shares, as prescribed in its ESPP program (in the three and six months ended June 30, 2022, 42,426 common shares were issued).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Basic and diluted loss per share was the same for each period presented as the inclusion of all common share equivalents would have been anti-dilutive. Anti-dilutive equivalent common shares were as follows: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7"/>
              </w:rPr>
              <w:t>Six months ended</w:t>
            </w:r>
          </w:p>
        </w:tc>
      </w:tr>
      <w:tr>
        <w:trPr>
          <w:trHeight w:val="148"/>
        </w:trPr>
        <w:tc>
          <w:tcPr>
            <w:tcW w:w="6820" w:type="dxa"/>
            <w:vAlign w:val="bottom"/>
          </w:tcPr>
          <w:p>
            <w:pPr>
              <w:spacing w:after="0"/>
              <w:rPr>
                <w:sz w:val="12"/>
                <w:szCs w:val="12"/>
                <w:color w:val="auto"/>
              </w:rPr>
            </w:pPr>
          </w:p>
        </w:tc>
        <w:tc>
          <w:tcPr>
            <w:tcW w:w="132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June 30,</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68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25,140,262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25,259,560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Outstanding RSUs</w:t>
            </w:r>
          </w:p>
        </w:tc>
        <w:tc>
          <w:tcPr>
            <w:tcW w:w="1140" w:type="dxa"/>
            <w:vAlign w:val="bottom"/>
          </w:tcPr>
          <w:p>
            <w:pPr>
              <w:jc w:val="right"/>
              <w:spacing w:after="0"/>
              <w:rPr>
                <w:sz w:val="20"/>
                <w:szCs w:val="20"/>
                <w:color w:val="auto"/>
              </w:rPr>
            </w:pPr>
            <w:r>
              <w:rPr>
                <w:rFonts w:ascii="Arial" w:cs="Arial" w:eastAsia="Arial" w:hAnsi="Arial"/>
                <w:sz w:val="18"/>
                <w:szCs w:val="18"/>
                <w:color w:val="auto"/>
              </w:rPr>
              <w:t>13,661,066</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5,262,330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under ESPP</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Outstanding warrants</w:t>
            </w:r>
          </w:p>
        </w:tc>
        <w:tc>
          <w:tcPr>
            <w:tcW w:w="1140" w:type="dxa"/>
            <w:vAlign w:val="bottom"/>
          </w:tcPr>
          <w:p>
            <w:pPr>
              <w:jc w:val="right"/>
              <w:spacing w:after="0"/>
              <w:rPr>
                <w:sz w:val="20"/>
                <w:szCs w:val="20"/>
                <w:color w:val="auto"/>
              </w:rPr>
            </w:pPr>
            <w:r>
              <w:rPr>
                <w:rFonts w:ascii="Arial" w:cs="Arial" w:eastAsia="Arial" w:hAnsi="Arial"/>
                <w:sz w:val="18"/>
                <w:szCs w:val="18"/>
                <w:color w:val="auto"/>
              </w:rPr>
              <w:t>36,078,620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36,078,620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Outstanding Special Shares and options to purchase Special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136,239,964</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136,239,964</w:t>
            </w:r>
          </w:p>
        </w:tc>
      </w:tr>
      <w:tr>
        <w:trPr>
          <w:trHeight w:val="210"/>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anti-dilutive common equivalent shares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211,165,923</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202,854,359</w:t>
            </w:r>
          </w:p>
        </w:tc>
      </w:tr>
    </w:tbl>
    <w:p>
      <w:pPr>
        <w:spacing w:after="0" w:line="21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with Allseas Affiliate</w:t>
      </w:r>
    </w:p>
    <w:p>
      <w:pPr>
        <w:spacing w:after="0" w:line="229"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March 22, 2023, the Company entered into an Unsecured Credit Facility Agreement, which was amended on July 31, 2023 (“Credit Facility”), with Argentum Credit Virtuti GCV (the “Lender”), the parent of Allseas Investments S.A. and an affiliate of Allseas, pursuant to which, the Company may borrow from the Lender up to $25 million in the aggregate, from time to time, subject to certain conditions. All amounts drawn under the Credit Facility will bear interest based on the 6-month Secured Overnight Financing Rate, 180-day average plus a margin of 4.0% per annum payable in cash semi-annually (or plus 5% if paid-in-kind at maturity, at the Company’s election) on the first business day of each of June and January. The Company will pay an underutilization fee equal to 4.0% per annum payable semi-annually for any amounts that remain undrawn under the Credit Facility. The Company has the right to pre-pay the entire amount outstanding under the Credit Facility at any time before the Credit Facility’s maturity. On July 31, 2023, the maturity date of this Credit Facility was extended to November 30, 2024. The Credit Facility also contains customary events of default.</w:t>
      </w:r>
    </w:p>
    <w:p>
      <w:pPr>
        <w:spacing w:after="0" w:line="194"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During the three and six months ended June 30, 2023, the Company had not drawn any amount from the Credit Facility and has incurred $0.3 million as underutilization fees, which would be payable only in the event the Credit Facility is not drawn down upon at the time such fees are payable.</w:t>
      </w:r>
    </w:p>
    <w:p>
      <w:pPr>
        <w:spacing w:after="0" w:line="18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Company’s subsidiary, DeepGreen Engineering Pte. Ltd., is engaged in a consulting agreement with SSCS Pte. Ltd. (“SSCS”) to manage offshore engineering studies. A director of DGE is employed through SSCS. Consulting services during the three and six months ended June 30, 2023 totaled $69 thousand and $138 thousand, respectively (three and six months ended June 30, 2022 - $69 thousand and $138 thousand, respectively), out of which for three and six months ended June 30, 2023 a total of $55 thousand $110 thousand, respectively (three and six months ended June 30, 2022 - $55 thousand and $110 thousand, respectively), is disclosed as exploration labor within exploration and evaluation expenses (Note 7) and $14 thousand and $28 thousand, respectively, for three and six months ended June 30, 2023 is disclosed as general and administration expenses (three and six months ended June 30, 2022 - $14 thousand and $28 thousand, respectively). As at June 30, 2023, the amount payable to SSCS was $nil (December 31, 2022 - $23 thousand).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The Company’s Chief Ocean Scientist provides consulting services to the Company through Ocean Renaissance LLC (“Ocean Renaissance”) where he is a principal. Consulting services during the three and six months ended June 30, 2023 amounted to $94 thousand and $188 thousand, respectively (three and six months ended June 30, 2022 -$94 thousand and $188 thousand, respectively), out of which for three and six months ended June 30, 2023 a total of $42 thousand $84 thousand, respectively (three and six months ended June 30, 2022 - $47 thousand and $94 thousand, respectively), is disclosed as exploration labor within exploration and evaluation expenses (Note 7) and $52 thousand and $103 thousand, respectively, for three and six months ended June 30, 2023 is disclosed as general and administration expenses (three and six months ended June 30, 2022 - $47 thousand and $94 thousand, respectively). As at June 30, 2023, the amount payable to Ocean Renaissance was $nil (December 31, 2022 - $nil).</w:t>
      </w:r>
    </w:p>
    <w:p>
      <w:pPr>
        <w:spacing w:after="0" w:line="16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During the three and six months ended June 30, 2023, Allseas provided the Company with engineering and project management services totaling $1.9 million and $2.9 million respectively, recorded as mining, technological and process development within exploration and evaluation expenses (Note 7). For the three and six months ended June 30, 2022, Allseas managed and delivered the PMTS project, with services totaling $1.3 million and $2.6 million, respectively, recorded as PMTS within exploration and evaluation expenses (Note 7). As at June 30, 2023, the amount payable to Allseas was $3.7 million (June 30, 2022 – prepaid amount of $3.1 million).</w:t>
      </w:r>
    </w:p>
    <w:p>
      <w:pPr>
        <w:spacing w:after="0" w:line="1"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During the three and six months ended June 30, 2023, the Company had not drawn from the Credit Facility with the affiliate of Allseas, and has incurred $0.3 million as underutilization fees which would be payable only in the event the Credit Facility is not drawn down at the time such fees are payable (Note 11),</w:t>
      </w:r>
    </w:p>
    <w:p>
      <w:pPr>
        <w:spacing w:after="0" w:line="186" w:lineRule="exact"/>
        <w:rPr>
          <w:sz w:val="20"/>
          <w:szCs w:val="20"/>
          <w:color w:val="auto"/>
        </w:rPr>
      </w:pPr>
    </w:p>
    <w:p>
      <w:pPr>
        <w:ind w:left="340" w:right="6440" w:hanging="332"/>
        <w:spacing w:after="0" w:line="532" w:lineRule="auto"/>
        <w:tabs>
          <w:tab w:leader="none" w:pos="34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Contingent Liabilities </w:t>
      </w:r>
      <w:r>
        <w:rPr>
          <w:rFonts w:ascii="Arial" w:cs="Arial" w:eastAsia="Arial" w:hAnsi="Arial"/>
          <w:sz w:val="17"/>
          <w:szCs w:val="17"/>
          <w:b w:val="1"/>
          <w:bCs w:val="1"/>
          <w:i w:val="1"/>
          <w:iCs w:val="1"/>
          <w:color w:val="auto"/>
        </w:rPr>
        <w:t>NORI Exploration Contract</w:t>
      </w:r>
    </w:p>
    <w:p>
      <w:pPr>
        <w:spacing w:after="0" w:line="1" w:lineRule="exact"/>
        <w:rPr>
          <w:rFonts w:ascii="Arial" w:cs="Arial" w:eastAsia="Arial" w:hAnsi="Arial"/>
          <w:sz w:val="17"/>
          <w:szCs w:val="17"/>
          <w:b w:val="1"/>
          <w:bCs w:val="1"/>
          <w:color w:val="auto"/>
        </w:rPr>
      </w:pPr>
    </w:p>
    <w:p>
      <w:pPr>
        <w:jc w:val="both"/>
        <w:ind w:left="3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the next five-year plan. NORI has estimated its work plan for 2023 to be approximately $25 million, which may be settled in cash or equity with its various vendors. The cost of the estimated work plan for 2024 onwards is dependent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7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rFonts w:ascii="Arial" w:cs="Arial" w:eastAsia="Arial" w:hAnsi="Arial"/>
          <w:sz w:val="17"/>
          <w:szCs w:val="17"/>
          <w:b w:val="1"/>
          <w:bCs w:val="1"/>
          <w:color w:val="auto"/>
        </w:rPr>
      </w:pPr>
    </w:p>
    <w:p>
      <w:pPr>
        <w:jc w:val="both"/>
        <w:ind w:left="340"/>
        <w:spacing w:after="0" w:line="291" w:lineRule="auto"/>
        <w:rPr>
          <w:rFonts w:ascii="Arial" w:cs="Arial" w:eastAsia="Arial" w:hAnsi="Arial"/>
          <w:sz w:val="17"/>
          <w:szCs w:val="17"/>
          <w:b w:val="1"/>
          <w:bCs w:val="1"/>
          <w:color w:val="auto"/>
        </w:rPr>
      </w:pPr>
      <w:r>
        <w:rPr>
          <w:rFonts w:ascii="Arial" w:cs="Arial" w:eastAsia="Arial" w:hAnsi="Arial"/>
          <w:sz w:val="16"/>
          <w:szCs w:val="16"/>
          <w:color w:val="auto"/>
        </w:rPr>
        <w:t>Through DGE’s Marawa Option Agreement and separate Services Agreement with Marawa with respect to the Marawa Area, Marawa and DGE committed to spend a defined amount of funds on exploration activities on an annual basis. The commitment for fiscal 2023 and 2024 is Australian dollar (“AUD”) $3 million and AUD $2 million, respectively. Such commitment is negotiated with the ISA for a five-year plan and is subject to regular periodic reviews. To date, limited offshore marine resource definition activities in the Marawa Contract Area have occurred. The Company expects to collaborate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Liability</w:t>
      </w:r>
    </w:p>
    <w:p>
      <w:pPr>
        <w:spacing w:after="0" w:line="225" w:lineRule="exact"/>
        <w:rPr>
          <w:sz w:val="20"/>
          <w:szCs w:val="20"/>
          <w:color w:val="auto"/>
        </w:rPr>
      </w:pPr>
    </w:p>
    <w:p>
      <w:pPr>
        <w:jc w:val="both"/>
        <w:ind w:left="340"/>
        <w:spacing w:after="0" w:line="285" w:lineRule="auto"/>
        <w:rPr>
          <w:sz w:val="20"/>
          <w:szCs w:val="20"/>
          <w:color w:val="auto"/>
        </w:rPr>
      </w:pPr>
      <w:r>
        <w:rPr>
          <w:rFonts w:ascii="Arial" w:cs="Arial" w:eastAsia="Arial" w:hAnsi="Arial"/>
          <w:sz w:val="16"/>
          <w:szCs w:val="16"/>
          <w:color w:val="auto"/>
        </w:rPr>
        <w:t>On October 28, 2021, a shareholder filed a putative class action against the Company, one of our executives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The Plaintiff is seeking to recover compensable damages caused by the alleged wrongdoings. The Company denies any allegations of wrongdoing and have filed and served the plaintiff a motion to dismiss on July 12, 2022 and intend to defend against this lawsuit. On September 26, 2022, the motion to dismiss was fully briefed and on July 12, 2023, an oral hearing on the motion to dismiss was held. The parties are currently awaiting a ruling. There is no assurance, however, that the Company or the other defendants will be successful in our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74"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On January 23, 2023, an investor in the 2021 private placement from the Business Combination filed a lawsuit against the Company in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 and breached the covenant of good faith and fair dealing. The Plaintiffs are seeking to recover compensable damages caused by the alleged wrongdoings. The Company denies any allegations of wrongdoing and filed a motion to dismiss the amended complaint on July 28, 2023. There is no assurance, however, that the Company will be successful in our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cannot be reliably estimated.</w:t>
      </w:r>
    </w:p>
    <w:p>
      <w:pPr>
        <w:spacing w:after="0" w:line="17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Segmented Information</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TMC the metals company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of US Dollars, except share and per share amounts and unless otherwise stated)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1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jc w:val="both"/>
        <w:ind w:left="3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August 14, 2023, the Company entered into a securities purchase agreement for a registered direct offering of 13,461,540 common shares and the issuance of Class A warrants to purchase 6,730,770 common shares for expected gross proceeds received of approximately $26.9 million and expected net proceeds received of approximately $25.9 million, after deducting underwriting discounts and commissions and other offering expenses payable. In addition, certain investors may purchase up to an aggregate of 5,500,000 additional common shares and accompanying Class A warrants to purchase up to an aggregate of 2,750,000 additional common shares upon notice to the Company on or before September 15, 2023, if the closing price of the common shares on the trading day before such investor’s notice is $3.00 or less for an aggregate of up to an additional $11 million.</w:t>
      </w:r>
    </w:p>
    <w:p>
      <w:pPr>
        <w:spacing w:after="0" w:line="166" w:lineRule="exact"/>
        <w:rPr>
          <w:rFonts w:ascii="Arial" w:cs="Arial" w:eastAsia="Arial" w:hAnsi="Arial"/>
          <w:sz w:val="18"/>
          <w:szCs w:val="18"/>
          <w:b w:val="1"/>
          <w:bCs w:val="1"/>
          <w:color w:val="auto"/>
        </w:rPr>
      </w:pPr>
    </w:p>
    <w:p>
      <w:pPr>
        <w:jc w:val="both"/>
        <w:ind w:left="34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On August 1, 2023, the Company entered into an Exclusive Vessel Use Agreement with Allseas pursuant to which Allseas will give exclusive use of the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to the Company in support of the development of the Project Zero Offshore System until the system is completed or December 31, 2026, whichever is earlier. In consideration of the exclusivity term, the Company will issue 4.15 million common shares to Allseas.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2022 contained in our 2022 Annual Report on Form 10-K. This discussion contains forward looking statements and involves numerous risks and uncertainties, including, but not limited to, those described in “Risk Factors” in Item 1A of Part I of the 2022 Annual Report on Form 10-K, as updated and/or supplemented in subsequent filings with the SEC, including this Quarterly Report on Form 10-Q.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and six months ended June 30, 2023 and 2022, respectively, present the financial position and results of operations of TMC the metals company Inc. and its consolidated subsidiaries.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deep-sea minerals exploration company focused on the collection, processing and refining of polymetallic nodules found on the seafloor in international waters of the Clarion Clipperton Zone (“CCZ”), about 1,300 nautical miles (1,500 miles or 2,400 kilometers)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These four metals contained in the polymetallic nodules are critical for the transition to low-carbon energy. Our resource definition work to date shows that nodules in our contract areas represent the world’s largest undeveloped resource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Exploration and exploitation of seabed minerals in international waters is regulated by the International Seabed Authority,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ISA has issued a total of 19 polymetallic nodule exploration contracts covering approximately 1.28 million km</w:t>
      </w:r>
      <w:r>
        <w:rPr>
          <w:rFonts w:ascii="Arial" w:cs="Arial" w:eastAsia="Arial" w:hAnsi="Arial"/>
          <w:sz w:val="25"/>
          <w:szCs w:val="25"/>
          <w:color w:val="auto"/>
          <w:vertAlign w:val="superscript"/>
        </w:rPr>
        <w:t>2</w:t>
      </w:r>
      <w:r>
        <w:rPr>
          <w:rFonts w:ascii="Arial" w:cs="Arial" w:eastAsia="Arial" w:hAnsi="Arial"/>
          <w:sz w:val="17"/>
          <w:szCs w:val="17"/>
          <w:color w:val="auto"/>
        </w:rPr>
        <w:t>,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still in the exploration phase and have not yet obtained any exploitation contracts from the ISA to commence commercial scale polymetallic nodule collection in the CCZ nor do we have the applicable environmental and other permits required to build and operate commercial-scale polymetallic nodule processing and refining plants on land.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have key strategic alliances with (i) Allseas Group S.A. (“Allseas”), a leading global offshore contractor, which has developed and successfully tested the pilot nodule collection system in the NORI Area D, completed in the fourth quarter of 2022, with experience from this testing program informing the design of upgrades and modifications of the pilot system for conversion into the initial smaller scale commercial production system which is expected to serve as the basis for the design of a full-scale commercial production system, and (ii) Glencore International AG (“Glencore”) which holds offtake rights to 50% of nickel and copper production from the NORI area processed through a TMC owned and operated production facility. In addition, we have worked with engineering firm Hatch Ltd. and consultants Kingston Process Metallurgy Inc. to develop a near-zero solid waste flowsheet. The primary processing stages of the flowsheet from nodule to NiCuCo matte intermediate were tested as part of our pilot plant program at FLSmidth &amp; Co A/S’s and Xpert Process Solutions’ (“XPS”, a Glencore company) facilities. The matte refining stages are being tested at SGS Lakefield. The near-zero solid waste flowsheet is expected to serve as the basis for our onshore processing facilities. In November 2022, we entered into a non-binding memorandum of understanding (“MoU”) with Pacific Metals Co Ltd (PAMCO) of Japan, to evaluate the toll treatment of an initial quantity of 1.3 million tonnes of wet polymetallic nodules per year at PAMCO’s Hachinohe smelting facility starting in 2025. Subject to entering into a binding arrangement with PAMCO, the toll treatment is intended to take place on a dedicated rotary kiln-electric arc furnace (“RKEF”) processing line and produce two products: nickel-copper-cobalt alloy — an intermediate product used as feedstock to produce Li-ion battery cathodes — and a manganese silicate product used to make silico-manganese alloy, a critical input into steel manufacturing. PAMCO’s Hachinohe facility is located on the coast in northern Japan and is equipped with suitable port and processing infrastructure required to receive and process polymetallic nodules and to ship products to customers.</w:t>
      </w:r>
    </w:p>
    <w:p>
      <w:pPr>
        <w:spacing w:after="0" w:line="1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currently focused on preparing to submit our application to the ISA for our first exploitation contract for the NORI Area D contract area following the July 2024 meetings of the ISA’s twenty-ninth session. Assuming a one-year review process, we expect to be in production in the fourth quarter of 2025 if the application is approved. To reach our objective and initiate commercial production, we are: (i) defining our resource and project economics, (ii) developing a commercial offshore nodule collection system, (iii) assessing the ESG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after the Second Quarter 2023</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Below are some of the major developments that occurred up to the date of filing of this second quarter 2023 Report on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Timeline to Finalization of Application to the ISA for an Exploitation Contract for NORI Area D:</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July 2023, the ISA Council announced reaching a consensus decision agreeing on a roadmap towards adopting final rules, regulations, and procedures (RRPs, also known as the Mining Code) to allow for the exploitation of seafloor resources. The ISA intends to adopt the Mining Code during its thirtieth session in 2025, or earlier if ready.</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NORI intends to submit an application to the ISA for an exploitation contract for NORI Area D following the conclusion of the July 2024 meeting of the ISA’s twenty-ninth session. Assuming a one-year review process, we expect to be in production in the fourth quarter of 2025, if the application is approved. After consideration of feedback received from the ISA’s Legal and Technical Commission (LTC) following the pilot nodule collection tests, we plan to further add to our growing body of environmental data by conducting a post-collection test monitoring campaign this year in NORI Area D and use the findings thereof as part of the initial application. This campaign was originally planned to be part of NORI’s Environmental Management and Monitoring Plan (EMMP) that will be submitted to the ISA following the initial application. We believe the findings of this campaign will strengthen the quality of the required Environmental Impact Statement and EMMP by providing additional information on the environmental regeneration of the collection test area. Based on observations during the 2022 post-collection test monitoring campaign as well as information shared by other contractors, we expect that the findings of this additional campaign will further enhance the quality of the application.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TMC Announces Registered Direct Offering for $26.9 million: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14, 2023, we announced that we entered into a securities purchase agreement for a registered direct offering of 13,461,540 of our common shares and Class A warrants to purchase 6,730,770 common shares for expected gross proceeds to us of $26.9 million and expected net proceeds to us of $25.9 million, after deducting underwriting discounts and commissions and other offering expenses payable by us. In addition, certain investors may purchase up to an aggregate of 5,500,000 additional common shares and accompanying Class A warrants to purchase up to an aggregate of 2,750,000 additional common shares upon notice to the Company on or before September 15, 2023, if the closing price of the common shares on the trading day before such investor’s notice is $3.00 or less for an aggregate of up to an additional $11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of Credit Facility with Allseas Affiliate: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31, 2023, the Company entered into the Amendment to the Unsecured Credit Facility with Argentum Credit Virtuti GCV (the “Lender”), the parent of Allseas Investments S.A. and an affiliate of Allseas, to extend the credit facility to November 30, 2024 (as amended, the “Credit Facility”). Under the Credit Facility, we may borrow from the Lender up to $25,000,000 in the aggregate through November 30,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with our Allseas Partnership:</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fourth quarter of 2022, we successfully tested the pilot nodule collection system in NORI Area D. As a result of lifting to the production vessel,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of more than 3,000 tonnes of wet nodules during these tests, Allseas and NORI believe that they can upgrade the pilot nodule collection system, including the </w:t>
      </w:r>
      <w:r>
        <w:rPr>
          <w:rFonts w:ascii="Arial" w:cs="Arial" w:eastAsia="Arial" w:hAnsi="Arial"/>
          <w:sz w:val="18"/>
          <w:szCs w:val="18"/>
          <w:i w:val="1"/>
          <w:iCs w:val="1"/>
          <w:color w:val="auto"/>
        </w:rPr>
        <w:t>Hidden Gem</w:t>
      </w:r>
      <w:r>
        <w:rPr>
          <w:rFonts w:ascii="Arial" w:cs="Arial" w:eastAsia="Arial" w:hAnsi="Arial"/>
          <w:sz w:val="18"/>
          <w:szCs w:val="18"/>
          <w:color w:val="auto"/>
        </w:rPr>
        <w:t>, into the first production system, which we refer to as the Project Zero Offshore System.</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August 2023, we announced that Allseas and NORI are now executing on a plan designed to increase the maximum production capacity of the Project Zero Offshore System from the previous estimate of 1.3 million wet tonnes per annum to an estimated 3.0 million wet tonnes per annum in stepped increments based on Allseas’ estimates – a potential increase of 130%. The upgrades are expected to include the addition of a second 15-meter collector vehicle, the use of a wider diameter riser pipe from the seafloor to the surface, implementation of a larger compressor spread and improvements to the system designed to further mitigate its environmental impacts. Capacity is expected to be increased over time as production and experience milestones are met, which we believe will help manage operational risk, minimize up-front capital expenditure requirements and allow for staged increases in capacity as environmental review thresholds are met. Most of these capacity improvements are expected to occur after NORI’s application for an exploitation contract over NORI Area D is ready for submission to the ISA.</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furtherance of our non-binding term sheet entered into in March 2022 with Allseas, we continue our discussions with Allseas regarding these upgrades and the development of the Project Zero Offshore System and anticipate reaching a definitive agreement with Allseas before the end of 2023. The definitive agreement is expected to include further detail on pre-production system development and post-production costs. There can be no assurances, however, that we will enter into a definitive agreement(s) with Allseas in a particular time period, or at all, or on terms similar to those currently expected, or that if such definitive agreement(s) is entered into that the Project Zero Offshore System will be successfully developed or operated.</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In addition, on August 1, 2023, we entered into an Exclusive Vessel Use Agreement with Allseas pursuant to which Allseas will give exclusive use of the </w:t>
      </w:r>
      <w:r>
        <w:rPr>
          <w:rFonts w:ascii="Arial" w:cs="Arial" w:eastAsia="Arial" w:hAnsi="Arial"/>
          <w:sz w:val="16"/>
          <w:szCs w:val="16"/>
          <w:i w:val="1"/>
          <w:iCs w:val="1"/>
          <w:color w:val="auto"/>
        </w:rPr>
        <w:t>Hidden Gem</w:t>
      </w:r>
      <w:r>
        <w:rPr>
          <w:rFonts w:ascii="Arial" w:cs="Arial" w:eastAsia="Arial" w:hAnsi="Arial"/>
          <w:sz w:val="16"/>
          <w:szCs w:val="16"/>
          <w:color w:val="auto"/>
        </w:rPr>
        <w:t xml:space="preserve"> to us in support of the development of the Project Zero Offshore System until the system is completed or December 31, 2026, whichever is earlier. In consideration of the exclusivity term, we will issue 4.15 million common shares to Allseas. We expect that the definitive agreement with Allseas discussed above will extend the exclusive use of the </w:t>
      </w:r>
      <w:r>
        <w:rPr>
          <w:rFonts w:ascii="Arial" w:cs="Arial" w:eastAsia="Arial" w:hAnsi="Arial"/>
          <w:sz w:val="16"/>
          <w:szCs w:val="16"/>
          <w:i w:val="1"/>
          <w:iCs w:val="1"/>
          <w:color w:val="auto"/>
        </w:rPr>
        <w:t>Hidden Gem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Publishes Biodiversity Data:</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July 2023, NORI published the first wave of its research data collected from the NORI Area D exploration area to UNESCO’s Ocean Biodiversity Information System (OBIS). With this publication, NORI is now the single largest contributor of biological occurrence data to the OBIS ISA-node, increasing biodiversity records available for the CCZ by about 150%.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ISA Developments: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we previously disclosed, the ISA did not provisionally adopt and approve the final rules, regulations and procedures (“RRPs” or the “Mining Code”) for the exploitation of seafloor resources by the July 9, 2023 deadline. At its July 2023 session, the ISA released a road map to continue the elaboration of the Mining Code with a view to its adoption during the thirtieth session of the ISA in 2025, with the potential for earlier adoption during the twenty-ninth session of the ISA in 2024 if the Mining Code is ready for adoption. The road map includes three scheduled ISA Council meetings through July 2024 to progress the Mining Code. There can be no assurances, however, that the Mining Code will be adopted within these timelines, or at all.</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Consistent with Nauru’s rights, as the sponsoring state of NORI, under UNCLOS and the 1994 agreement relating to the implementation of Part XI of UNCLOS, NORI reserves its right to submit a plan of work for exploitation, in the absence of the adoption of the final Mining Code pursuant to Section 1, Paragraph 15(c) of the Annex to the 1994 agreement relating to the implementation of Part XI of UNCLOS, the possibility of which was recognized in ISA Council decisions ISBA/28/C/24 and ISBA/28/C/25. There can be no assurances, however, that the ISA will provisionally approve our plan of work or that such provisional approval would lead to the issuance of an exploitation contract by the ISA.</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Assuming submission of an application for a plan of work for exploitation following the July 2024 meeting of the ISA and the ISA’s timely review and approval thereof, the Company expects its first production of nodules from NORI Area D to be in the fourth quarter of 2025. There can be no assurances, however, if the ISA will approve an application, or the plan of work included therein, and/or issue an exploitation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September 9, 2021, we completed the Business Combination with SOAC. The transaction resulted in the combined company being renamed “TMC the metals company Inc.” and the combined company’s common shares and public warrants to purchase common shares (the “Public Warrants”) commenced trading on Nasdaq on September 10, 2021, under the symbols “TMC” and “TMCWW,” respectively. As a result of the Business Combination, we received gross proceeds of approximately $137.6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currently hold exclusive exploration rights to certain polymetallic nodule areas in the CCZ through our subsidiaries NORI and TOML, sponsored by the Republic of Nauru and Kingdom of Tonga, respectively, and exclusive commercial rights through our subsidiary’s (DGE) arrangement with Marawa, a company owned and sponsored by the Republic of Kiribati.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8"/>
          <w:szCs w:val="18"/>
          <w:color w:val="auto"/>
        </w:rPr>
        <w:t>NORI, our wholly-owned subsidiary, was granted a polymetallic nodule exploration contract in the CCZ by the ISA on July 22, 2011 under the sponsorship of Nauru. This Exploration Contract provides NORI with exclusive rights to explore for polymetallic nodules in an area covering 74,830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8"/>
          <w:szCs w:val="18"/>
          <w:color w:val="auto"/>
        </w:rPr>
        <w:t>TOML, our wholly owned subsidiary, was granted an exploration contract on January 11, 2012 by the ISA and sponsored by Tonga pursuant to the TOML Exploration Contract. The TOML Exploration Contract provides TOML with exclusive rights to explore for polymetallic nodules in an area covering 74,713 km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in the CCZ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7"/>
          <w:szCs w:val="17"/>
          <w:color w:val="auto"/>
        </w:rPr>
        <w:t>Marawa, an entity owned and sponsored by Kiribati, was granted the Marawa Exploration Contract on May 30, 2012. DGE, our wholly owned subsidiary, entered into agreements with Marawa and Kiribati which provide DGE with exclusive exploration and exploitation (if awarded) rights to an area covering 74,990 km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in the CCZ (the “Marawa Contract Area”). The exploration contract between Marawa and the ISA was signed on January 19, 2015. To date, limited offshore marine resource definition activities in the Marawa Contract Area have occurred. We expect to collaborate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 Item 1A of Part I of the 2022 Annual Report on Form 10-K, as further updated and/or supplemented in subsequent filings with the SEC, including under Item 1A of Part II of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Global Inflation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2022, the global inflation rate rose sharply and higher inflation is continuing in 2023. Marine fuel prices and vessel day rates were higher year-over-year and have increased our exploration expenses beyond what we had originally expected. Additionally, we are experiencing higher offshore labor costs through our contractors.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pre-revenue company, persistent inflation may affect our ultimate cash requirements prior to our ability to begin commercial production.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Climate Change</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committed to adopting the Task Force on Climate-Related Financial Disclosures recommendations. In our inaugural Impact Report published in May 2022, we provided climate-related disclosure and shared how we believe our mission is aligned with supporting the global energy transition and contributing to a circular metals economy. We recognize that climate change may have a meaningful impact on our financial performance over time, and we have begun the process of consolidating key risks and corresponding action plans to mitigate the negative impact of climate change on our operations.</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climate related transition risks and opportunities are likely to be driven by changes in regulation, public policy, and technology, as disclosed in our 2022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currently conduct our business through one operating segment. As a pre-revenue company with no commercial operations, our activities to date have been limited. Our historical results are reported under U.S. Generally Accepted Accounting Principles (“U.S. GAAP”) and in U.S. dollars. All share and per share amounts have been adjusted to reflect the impact of the Business Combination.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an exploration-stage company with no revenue to date and a net loss of approximately $14.1 million for both the three and six months ended June 30, 2023, compared to a net loss of $12.4 million and $33.5 million in the same periods of 2022, respectively. We have an accumulated deficit of approximately $489.2 million from inception through June 30,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date, we have not generated any revenue. We expect to generate revenue once NORI receives an exploitation contract from the ISA, anticipated within one year from our expected submission to the ISA, following the July 2024 meeting of the ISA. The application for an exploitation contract will include a plan of work for exploitation for NORI Area D, with first revenue anticipated once we are able to successfully collect and process polymetallic nodules into saleable products on a commercial scale. Any revenue from initial production is difficult to predict.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(“G&amp;A”) expenses consist primarily of compensation for employees, consultants and directors, including wages and salaries,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consists primarily of interest income earned on our cash and cash equivalents. The Credit Facility with Allseas remains undrawn as at June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foreign exchange income or loss for the periods reported primarily relates to our cash held in Canadian dollars and to the settlement of costs incurred in foreign currencies, depending on either the strengthening or weakening of the U.S. dollar.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is a discussion of our results of operations for the three and six months ended June 30, 2023 and 2022. Our accounting policies are described in Note 3 “Significant Accounting Policies” in our financial statements filed as part of the 2022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as noted)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center"/>
              <w:ind w:right="248"/>
              <w:spacing w:after="0"/>
              <w:rPr>
                <w:sz w:val="20"/>
                <w:szCs w:val="20"/>
                <w:color w:val="auto"/>
              </w:rPr>
            </w:pPr>
            <w:r>
              <w:rPr>
                <w:rFonts w:ascii="Arial" w:cs="Arial" w:eastAsia="Arial" w:hAnsi="Arial"/>
                <w:sz w:val="14"/>
                <w:szCs w:val="14"/>
                <w:b w:val="1"/>
                <w:bCs w:val="1"/>
                <w:color w:val="auto"/>
                <w:w w:val="94"/>
              </w:rPr>
              <w:t>For the 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2022</w:t>
            </w: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 Change</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evaluation expenses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$ 10,241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$ 17,678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8,087</w:t>
            </w:r>
          </w:p>
        </w:tc>
        <w:tc>
          <w:tcPr>
            <w:tcW w:w="140" w:type="dxa"/>
            <w:vAlign w:val="bottom"/>
          </w:tcPr>
          <w:p>
            <w:pPr>
              <w:spacing w:after="0"/>
              <w:rPr>
                <w:sz w:val="18"/>
                <w:szCs w:val="18"/>
                <w:color w:val="auto"/>
              </w:rPr>
            </w:pPr>
          </w:p>
        </w:tc>
        <w:tc>
          <w:tcPr>
            <w:tcW w:w="920" w:type="dxa"/>
            <w:vAlign w:val="bottom"/>
            <w:gridSpan w:val="2"/>
          </w:tcPr>
          <w:p>
            <w:pPr>
              <w:jc w:val="right"/>
              <w:ind w:right="8"/>
              <w:spacing w:after="0" w:line="216" w:lineRule="exact"/>
              <w:rPr>
                <w:sz w:val="20"/>
                <w:szCs w:val="20"/>
                <w:color w:val="auto"/>
              </w:rPr>
            </w:pPr>
            <w:r>
              <w:rPr>
                <w:rFonts w:ascii="Arial" w:cs="Arial" w:eastAsia="Arial" w:hAnsi="Arial"/>
                <w:sz w:val="16"/>
                <w:szCs w:val="16"/>
                <w:color w:val="auto"/>
              </w:rPr>
              <w:t>(37)</w:t>
            </w:r>
            <w:r>
              <w:rPr>
                <w:rFonts w:ascii="Arial" w:cs="Arial" w:eastAsia="Arial" w:hAnsi="Arial"/>
                <w:sz w:val="25"/>
                <w:szCs w:val="25"/>
                <w:color w:val="auto"/>
                <w:vertAlign w:val="subscript"/>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11,345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16,557</w:t>
            </w:r>
          </w:p>
        </w:tc>
        <w:tc>
          <w:tcPr>
            <w:tcW w:w="140" w:type="dxa"/>
            <w:vAlign w:val="bottom"/>
          </w:tcPr>
          <w:p>
            <w:pPr>
              <w:spacing w:after="0"/>
              <w:rPr>
                <w:sz w:val="18"/>
                <w:szCs w:val="18"/>
                <w:color w:val="auto"/>
              </w:rPr>
            </w:pPr>
          </w:p>
        </w:tc>
        <w:tc>
          <w:tcPr>
            <w:tcW w:w="860" w:type="dxa"/>
            <w:vAlign w:val="bottom"/>
            <w:gridSpan w:val="2"/>
          </w:tcPr>
          <w:p>
            <w:pPr>
              <w:jc w:val="right"/>
              <w:spacing w:after="0" w:line="216" w:lineRule="exact"/>
              <w:rPr>
                <w:sz w:val="20"/>
                <w:szCs w:val="20"/>
                <w:color w:val="auto"/>
              </w:rPr>
            </w:pPr>
            <w:r>
              <w:rPr>
                <w:rFonts w:ascii="Arial" w:cs="Arial" w:eastAsia="Arial" w:hAnsi="Arial"/>
                <w:sz w:val="16"/>
                <w:szCs w:val="16"/>
                <w:color w:val="auto"/>
              </w:rPr>
              <w:t>(31)</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Equity-accounted investment loss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Gain on disposition of asset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(13,750)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liability</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(5,730)</w:t>
            </w:r>
          </w:p>
        </w:tc>
        <w:tc>
          <w:tcPr>
            <w:tcW w:w="920" w:type="dxa"/>
            <w:vAlign w:val="bottom"/>
            <w:gridSpan w:val="2"/>
            <w:shd w:val="clear" w:color="auto" w:fill="CCEEFF"/>
          </w:tcPr>
          <w:p>
            <w:pPr>
              <w:jc w:val="right"/>
              <w:ind w:right="8"/>
              <w:spacing w:after="0" w:line="216" w:lineRule="exact"/>
              <w:rPr>
                <w:sz w:val="20"/>
                <w:szCs w:val="20"/>
                <w:color w:val="auto"/>
              </w:rPr>
            </w:pPr>
            <w:r>
              <w:rPr>
                <w:rFonts w:ascii="Arial" w:cs="Arial" w:eastAsia="Arial" w:hAnsi="Arial"/>
                <w:sz w:val="16"/>
                <w:szCs w:val="16"/>
                <w:color w:val="auto"/>
              </w:rPr>
              <w:t xml:space="preserve">114 </w:t>
            </w:r>
            <w:r>
              <w:rPr>
                <w:rFonts w:ascii="Arial" w:cs="Arial" w:eastAsia="Arial" w:hAnsi="Arial"/>
                <w:sz w:val="25"/>
                <w:szCs w:val="25"/>
                <w:color w:val="auto"/>
                <w:vertAlign w:val="subscript"/>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8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 xml:space="preserve">346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920" w:type="dxa"/>
            <w:vAlign w:val="bottom"/>
            <w:gridSpan w:val="2"/>
          </w:tcPr>
          <w:p>
            <w:pPr>
              <w:jc w:val="right"/>
              <w:ind w:right="8"/>
              <w:spacing w:after="0" w:line="216" w:lineRule="exact"/>
              <w:rPr>
                <w:sz w:val="20"/>
                <w:szCs w:val="20"/>
                <w:color w:val="auto"/>
              </w:rPr>
            </w:pPr>
            <w:r>
              <w:rPr>
                <w:rFonts w:ascii="Arial" w:cs="Arial" w:eastAsia="Arial" w:hAnsi="Arial"/>
                <w:sz w:val="16"/>
                <w:szCs w:val="16"/>
                <w:color w:val="auto"/>
              </w:rPr>
              <w:t xml:space="preserve">205 </w:t>
            </w:r>
            <w:r>
              <w:rPr>
                <w:rFonts w:ascii="Arial" w:cs="Arial" w:eastAsia="Arial" w:hAnsi="Arial"/>
                <w:sz w:val="25"/>
                <w:szCs w:val="25"/>
                <w:color w:val="auto"/>
                <w:vertAlign w:val="subscript"/>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920" w:type="dxa"/>
            <w:vAlign w:val="bottom"/>
            <w:gridSpan w:val="2"/>
            <w:shd w:val="clear" w:color="auto" w:fill="CCEEFF"/>
          </w:tcPr>
          <w:p>
            <w:pPr>
              <w:jc w:val="right"/>
              <w:ind w:right="8"/>
              <w:spacing w:after="0" w:line="216" w:lineRule="exact"/>
              <w:rPr>
                <w:sz w:val="20"/>
                <w:szCs w:val="20"/>
                <w:color w:val="auto"/>
              </w:rPr>
            </w:pPr>
            <w:r>
              <w:rPr>
                <w:rFonts w:ascii="Arial" w:cs="Arial" w:eastAsia="Arial" w:hAnsi="Arial"/>
                <w:sz w:val="16"/>
                <w:szCs w:val="16"/>
                <w:color w:val="auto"/>
              </w:rPr>
              <w:t xml:space="preserve">66 </w:t>
            </w:r>
            <w:r>
              <w:rPr>
                <w:rFonts w:ascii="Arial" w:cs="Arial" w:eastAsia="Arial" w:hAnsi="Arial"/>
                <w:sz w:val="25"/>
                <w:szCs w:val="25"/>
                <w:color w:val="auto"/>
                <w:vertAlign w:val="subscript"/>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86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 xml:space="preserve">303 </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Fees and interest on credit facility</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14,107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$ 12,384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$ 33,501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reported a net loss of approximately $14.1 million in the second quarter of 2023, compared to a net loss of $12.4 million in the same period of 2022. The following explains the major reasons for the net loss reported in the second quarters of both 2023 and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Exploration and evaluation expenses for the three months ended June 30, 2023 were $8.1 million, compared to $10.2 million for the same period in 2022. The decrease of $2.1 million was primarily due to a reduction in share-based compensation of $1.5 million in the second quarter of 2023, as the cost of the long-term incentive plan (LTIP) options with specific market capitalization vesting conditions was fully amortized in 2022 in addition to the decrease in the amortization cost of short-term incentive plan (STIP) sign-up options granted in 2021, a reduction of $1.4 million on the PMTS and $1.9 million on environmental studies, as the collector test was completed in November 2022 and reduced exploration activities in 2023. This was offset by $0.4 million spent in the 2023 period on prefeasibility studies ($nil in 2022) and an increase in mining, technological and process development of $1.9 million due to engineering work which commenced in the fourth quarter of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G&amp;A expenses for the three months ended June 30, 2023 were $5.1 million, compared to $8.1 million for the same period in 2022. The decrease of $3.0 million in G&amp;A expenses was mainly the result of lower share-based compensation in the 2023 period as the cost of the LTIP options with specific market capitalization vesting conditions was fully amortized in 2022 in addition to the decrease in the amortization cost of STIP sign-up options granted in 2021 and a decrease in insurance costs incurred during the second quarter of 2023. This decrease was partially offset by higher G&amp;A expenses in the second quarter of 2023, reflecting an increase in personnel, travel and other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fair value of our Private Warrants liability during the second quarter of 2023 resulted in a charge of $0.8 million, reflecting an increase of 67% in the price of our Public Warrants in the second quarter of 2023. This compares to a credit of $5.7 million in the comparative quarter of 2022, reflecting a decrease of 67% in the price of our Public Warrants in this period. The warrants liability was initially recorded as part of the Business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reported a net loss of $14.1 million in the first half of 2023, compared to a net loss of $33.5 million in the same period of 2022.</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explains the major reasons for the reduction in the net loss in the first half of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and Evaluation Expenses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Exploration and evaluation expenses for the six months ended June 30, 2023 were $15.3 million, compared to $17.7 million for the same period in 2022. The decrease of $2.4 million was primarily due to a reduction in share-based compensation of $3.4 million in the first half of 2023, as the cost of the LTIP options with specific market capitalization vesting conditions was fully amortized in 2022 in addition to the decrease in the amortization cost of STIP sign-up options granted in 2021, a reduction of $2.8 million on the PMTS and $0.6 million on environmental studies, as the collector test was completed in November 2022 and reduced exploration activities in 2023. This was offset by an increase in mining, technological and process development of $2.7 million due to engineering work which commenced in the fourth quarter of 2022, spending in the first half of 2023 of $0.8 million on prefeasibility studies ($nil in 2022) and an increase in sponsorship and training activities in 2023 of $0.8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G&amp;A expenses for the six months ended June 30, 2023 were $11.3 million, compared to $16.6 million for the same period in 2022. The decrease of $5.3 million in G&amp;A expenses in the first half of 2023 was mainly the result of lower share-based compensation in the 2023 period as the cost of the LTIP options with specific market capitalization vesting conditions was fully amortized in 2022 in addition to the decrease in the amortization cost of STIP sign-up options granted in 2021 and a decrease in insurance costs incurred during the first half of 2023. This decrease was partially offset by higher G&amp;A expenses in the first half of 2023, reflecting an increase in personnel, travel and other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Asset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first half of 2023, we reported a gain of $13.75 million on NORI’s contribution in February 2023 of a 2% gross overriding royalty on the NORI project area to Low Carbon Royalties, reflecting the excess of the consideration received from Low Carbon Royalties of $14 million and NORI’s exploration contract carrying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Liability</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change in fair value of our Private Warrants liability during the first half of 2023 resulted in a charge of $1.3 million. The charge was primarily due to an increase of 150% in the price of our Public Warrants in the first half of 2023. This compares to a credit of $0.5 million in the first half of 2022, reflecting an decrease of 28% in the price of our Public Warrants in this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which were converted into common shares as part of the Business Combination. In addition, on September 9, 2021, we completed the Business Combination with SOAC, and as a result we received gross cash proceeds of approximately $137.6 million (approximately $104.5 million net of transaction fees). On August 12, 2022, we completed a private placement raising gross cash proceeds of $30.4 million (approximately $30 million net of transaction fees). As of June 30, 2023, we had cash on hand of $20.0 million.</w:t>
      </w:r>
    </w:p>
    <w:p>
      <w:pPr>
        <w:spacing w:after="0" w:line="16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received lower than expected cash proceeds upon closing of the Business Combination resulting from higher-than-expected redemptions of SOAC’s Class A ordinary shares and the default by certain private placement investors in their funding obligations in connection with the closing of the Business Combination. As a result, we revised our work plan to focus on activities necessary to submit an application to the ISA for an exploitation contract, which will include a plan of work for exploitation, for the NORI Area D following the July 2024 meeting of the ISA and stopped and/or deferred work and expenses associated with other activities.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a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provisional approvals and/or exploitation contracts. While we have obtained financing in the past, there is no assurance that such financing will continue to be available on favorable terms, in sufficient amounts, or at all.</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to incur significant expenses and operating losses for the foreseeable future, particularly as we advance towards our application to the ISA for an exploitation contract and preparation for potential commercialization. Based on our cash balance, including the expected net proceeds from the registered direct offering in August 2023, and availability of borrowing under our Credit Facility with an affiliate of Allseas,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estimate that we will require approximately $34 to $44 million of cash in addition to $20 million cash on hand as of June 30, 2023 and the $25.9 million of expected net proceeds from our recently announced registered direct offering assuming no exercise of the Class A warrants issued in the offering and excluding up to $11 million of the securities that may be purchased upon notice to us on or before September 15, 2023 (but not including potential drawdown on the Credit Facility) to submit a high-quality application for an exploitation contract for NORI Area D following the July 2024 meeting of the ISA. This estimate includes, among other things, the expected costs of:</w:t>
      </w:r>
    </w:p>
    <w:p>
      <w:pPr>
        <w:spacing w:after="0" w:line="192" w:lineRule="exact"/>
        <w:rPr>
          <w:sz w:val="20"/>
          <w:szCs w:val="20"/>
          <w:color w:val="auto"/>
        </w:rPr>
      </w:pPr>
    </w:p>
    <w:p>
      <w:pPr>
        <w:ind w:left="1000" w:hanging="317"/>
        <w:spacing w:after="0" w:line="25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environmental and social impact assessment (ESIA), including the post-collection test monitoring campaign described above;</w:t>
      </w:r>
    </w:p>
    <w:p>
      <w:pPr>
        <w:spacing w:after="0" w:line="1"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pre-feasibility studies;</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layup costs for the </w:t>
      </w:r>
      <w:r>
        <w:rPr>
          <w:rFonts w:ascii="Arial" w:cs="Arial" w:eastAsia="Arial" w:hAnsi="Arial"/>
          <w:sz w:val="18"/>
          <w:szCs w:val="18"/>
          <w:i w:val="1"/>
          <w:iCs w:val="1"/>
          <w:color w:val="auto"/>
        </w:rPr>
        <w:t>Hidden Gem</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non-recurring engineering and project management on the Project Zero Offshore System;</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and legal, and</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payroll and other general corporate matters.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estimate is exclusive of costs expected to be spent subsequent to the submission of the application for an exploitation contract, on more detailed feasibility estimates and to progress the Project Zero Offshore System development as described above. We expect to refine our expected cash needs to prepare for potential commercialization following the time we submit our application to the ISA for an exploitation contract and after we finalize our planned definitive agreement with Allseas discussed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16, 2022, we filed a registration statement on Form S-3 with the SEC, which the SEC declared effective on October 14, 2022, to sell up to $100 million of securities, before any fees or expenses of the offering, which includes the $30 million that may be sold under the At-the-Market Equity Distribution Agreement and the securities issuable in the recently announced registered direct offering discussed below. Securities that may be sold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December 22, 2022, we entered into an At-the-Market Equity Distribution Agreement with Stifel, Nicolaus &amp; Company, Incorporated and Wedbush Securities Inc., as sales agents, allowing us, from time to time, to issue and sell common shares with an aggregate offering price of up to $30 million. The offer and sales of the shares are made under our effective “shelf” registration statement on Form S-3 filed with the SEC on September 16, 2022, which the SEC declared effective on October 14, 2022. As of the date of this Quarterly Report on Form 10-Q, no sales of common shares have been made under this offering.</w:t>
      </w:r>
    </w:p>
    <w:p>
      <w:pPr>
        <w:spacing w:after="0" w:line="1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March 22, 2023, we entered into the Credit Facility with Argentum Credit Virtuti GCV (the “Lender”), the parent of Allseas Investments S.A. and an affiliate of Allseas, which was amended on July 31, 2023 to extend the maturity date, pursuant to which, we may borrow from the Lender up to $25 million in the aggregate, from time to time, subject to certain conditions. All amounts drawn under the Credit Facility will bear interest at the 6-month Secured Overnight Funding Rate (“SOFR”), 180-day average plus 4.0% per annum payable in cash semi-annually (or plus 5% if paid-in-kind at maturity,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November 30, 2024. The Credit Facility also contains customary events of default. As of the date of this Quarterly Report on Form 10-Q, no amounts have been drawn under this Credit Facility.</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August 14, 2023, we entered into a securities purchase agreement for a registered direct offering of 13,461,540 of our common shares and Class A warrants to purchase 6,730,770 common shares for expected gross proceeds to us of $26.9 million and expected net proceeds to us of $25.9 million, after deducting underwriting discounts and commissions and other offering expenses payable by us. In addition, certain investors may purchase up to an aggregate of 5,500,000 additional common shares and accompanying Class A warrants to purchase up to an aggregate of 2,750,000 additional common shares upon notice to us on or before September 15, 2023, if the closing price of the common shares on the trading day before such investor’s notice is $3.00 or less for an aggregate of up to an additional $11 million. The purchase price for each common share and Class A warrant to purchase 0.5 common shares is $2.00. The exercise price of the Class A warrants is $3.00, subject to adjustment as provided in the warrant agreement.</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26, 2023, the Allseas Warrant was exercised resulting in our issuance of 11.6 million common shares to Allseas in return for the payment of the exercise price of $115.8 thousand. The Allseas Warrant vested and became exercisable upon the successful completion of the PMTS in November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Six Months Ended June 30, 2023 and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summary of our operating, investing and financing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For the Three Months Ended</w:t>
            </w:r>
          </w:p>
        </w:tc>
        <w:tc>
          <w:tcPr>
            <w:tcW w:w="180" w:type="dxa"/>
            <w:vAlign w:val="bottom"/>
          </w:tcPr>
          <w:p>
            <w:pPr>
              <w:spacing w:after="0"/>
              <w:rPr>
                <w:sz w:val="15"/>
                <w:szCs w:val="15"/>
                <w:color w:val="auto"/>
              </w:rPr>
            </w:pPr>
          </w:p>
        </w:tc>
        <w:tc>
          <w:tcPr>
            <w:tcW w:w="204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w w:val="99"/>
              </w:rPr>
              <w:t>For the Six Months Ended</w:t>
            </w:r>
          </w:p>
        </w:tc>
      </w:tr>
      <w:tr>
        <w:trPr>
          <w:trHeight w:val="171"/>
        </w:trPr>
        <w:tc>
          <w:tcPr>
            <w:tcW w:w="532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4,925</w:t>
            </w:r>
          </w:p>
        </w:tc>
        <w:tc>
          <w:tcPr>
            <w:tcW w:w="1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Decrease in cash</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(22,768)</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(26,853)</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(38,585)</w:t>
            </w: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cash used in operating activities for the six months ended June 30, 2023 was $31.9 million, attributable to a loss of $14.1 million in the period, a net change in net operating assets and liabilities of $10.2 million and non-cash adjustments of $7.6 million. Non-cash adjustments primarily consisted of a $13.75 million gain on disposition of assets, partially offset by $4.3 million of expenses settled with share-based payments and $1.3 million related to the increase in the fair value of the Private Warrants, mainly as a result of the increase in the price of our Public Warrants during the first half of 2023. The change in our net operating assets and liabilities was primarily due to a $11.3 million decrease in accounts payable and accrued liabilities in the first half of 2023 due to the timing of supplier payments and an increase in receivables and prepayments of $1.1 million.</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operating activities for the six months ended June 30,2022 was $38.1 million, attributable to a loss of $33.5 million in the period, a decrease in net operating assets and liabilities of $17.0 million (of which $16.0 million was due to a decrease in accounts payable and accrued liabilities) and non-cash adjustments of $12.4 million, primarily from the settlement of expenses with share-based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investing activities for the six months ended June 30, 2023 was $4.9 million, primarily reflecting the cash received of $5 million on closing of our investment in Low Carbon Royalties. In the comparative first half of 2022, cash used in investing activities was $0.5 million for the purchase of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2023 was $0.1 million, compared to nil in the first half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the next five-year plan. NORI has estimated its work plan for 2023 to be approximately $25 million,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us, agreed with the ISA and may be subject to change depending on our progress to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DGE’s Marawa Option Agreement and Services Agreement with Marawa with respect to the Marawa Area, Marawa committed to spend a defined amount of funds on exploration activities on an annual basis. The commitment for fiscal 2023 and 2024 is Australian dollar (“AUD”) $3 million and AUD $2 million, respectively. Such commitment is negotiated with the ISA for a five-year plan and is subject to regular periodic reviews. To date, limited offshore marine resource definition activities in the Marawa Contract Area have occurred. We expect to collaborate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7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an estimated 3.0 million tonnes of wet nodules per year, to be delivered in stepped increments, with expected production readiness in the fourth quarter of 2025. NORI and Allseas intend to equally finance all costs related to developing and getting the first commercial system into production. Once in production, NORI is expected to pay Allseas a nodule collection and transshipment fee and, as Allseas scales up production to an estimated 3.0 million wet tonnes of nodules per year, it is expected that unit costs will be reduced. Following the successful completion of the NORI Area D pilot collection system trials in November 2022 and subsequent analysis of pilot data, the parties are reviewing Project Zero System production targets, system design and cost estimates and intend to enter into a binding Heads of Terms by the end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w:t>
      </w:r>
      <w:r>
        <w:rPr>
          <w:rFonts w:ascii="Arial" w:cs="Arial" w:eastAsia="Arial" w:hAnsi="Arial"/>
          <w:sz w:val="16"/>
          <w:szCs w:val="16"/>
          <w:i w:val="1"/>
          <w:iCs w:val="1"/>
          <w:color w:val="auto"/>
        </w:rPr>
        <w:t>Hidden Gem</w:t>
      </w:r>
      <w:r>
        <w:rPr>
          <w:rFonts w:ascii="Arial" w:cs="Arial" w:eastAsia="Arial" w:hAnsi="Arial"/>
          <w:sz w:val="16"/>
          <w:szCs w:val="16"/>
          <w:color w:val="auto"/>
        </w:rPr>
        <w:t>, another Samsung 10000, with the potential for an additional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Through June 30, 2023,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as described below. On July 26, 2023, Allseas exercised its warrant and received 11.6 million TMC common shares for the payment of the exercise price of $115.8 thousand.</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11, 2022, the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described above, on March 22, 2023 we entered into the Credit Facility with Argentum Credit Virtuti GCV, an affiliate of Allseas, under which we may borrow up to $25 million pursuant to the terms and conditions of the Credit Facility, which was amended on July 31, 2023 to extend the maturity date to November 30, 2024.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condensed consolidated interim financial statements, which have been prepared in accordance with U.S. GAAP. The preparation of these condensed consolidated interim financial statements requires us to make estimates and assumptions that affect the reported amounts of assets and liabilities and the disclosure of contingent assets and liabilities at the date of these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described in Note 5 to our condensed consolidated interim financial statements included in this Quarterly Report on Form 10-Q, there have been no material changes to our critical accounting policies and estimates as compared to the critical accounting policies and estimates disclosed in our 2022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2023 fiscal year and we expect to continue to take advantage of the benefits of the extended transition period at least through to the end of the 2023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NORI Initial Assessment and TOML Mineral Resource Statement do not include the conversion of mineral resources to mineral reserves.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Likewise, you are cautioned not to assume that all or any part of measured or indicated mineral resources will ever be upgraded to mineral reserves.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June 30, 2023.</w:t>
      </w:r>
    </w:p>
    <w:p>
      <w:pPr>
        <w:spacing w:after="0" w:line="15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ectPr>
          <w:pgSz w:w="11900" w:h="16838" w:orient="portrait"/>
          <w:cols w:equalWidth="0" w:num="1">
            <w:col w:w="9920"/>
          </w:cols>
          <w:pgMar w:left="980" w:top="530"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June 30,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were no changes in our internal control over financial reporting that occurred during the three months ended June 30, 2023 that have materially affected, or are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20, 2021, we commenced litigation in the New York Supreme Court, New York County against two investors who failed to fund their investment commitments in connection with the closing of the Business Combination.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which was unsuccessful. The matter is proceeding into the discovery phase. There can be no assurances, however, that we will be successful in our efforts against these investors.</w:t>
      </w:r>
    </w:p>
    <w:p>
      <w:pPr>
        <w:spacing w:after="0" w:line="18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October 28, 2021, a shareholder filed a putative class action against us, one of our executive and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The Plaintiff is seeking to recover compensable damages caused by the alleged wrongdoings. We deny any allegations of wrongdoing and have filed and served the plaintiff a motion to dismiss on July 12, 2022 and intend to defend against this lawsuit. On September 26, 2022, the motion to dismiss was fully briefed and on July 12, 2023, an oral hearing on the motion to dismiss was held. The parties are currently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2022, we received letters from the SEC notifying us of an investigation and requesting the voluntary production of documents and information regarding our 2020 acquisition of Tonga Offshore Mining Limited from Deep Sea Mining Finance Ltd. and our Business Combination with SOAC. The Company is continuing to cooperate with the investigation and respond voluntarily to the SEC’s requests.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January 23, 2023, an investor in the 2021 private placement from the Business Combination filed a lawsuit against us in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 and breached the covenant of good faith and fair dealing. The Plaintiffs are seeking to recover compensable damages caused by the alleged wrongdoings. We deny any allegations of wrongdoing and filed a motion to dismiss the amended complaint on July 28, 2023. There is no assurance, however, that we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cannot be reliably estimated.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consolidated financial condition or results of operations set forth under Item 1A. Risk Factors in our 2022 Annual Report on Form 10-K filed on March 27, 2023. There have been no material changes from or additions to the risk factors disclosed in our 2022 Annual Report on Form 10-K filed on March 27, 2023, other than the revised risk factors set forth below. We may disclose changes to risk factors or additional factors from time to time in our future filings with the SEC.</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regulatory uncertainties which, if not resolved in our favor, would have a material adverse impact on our business.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date, no commercial collection (also referred to as “mining,” “exploitation” or “harvesting”) of nodules has occurred on the seabed beyond the limits of national jurisdiction (the “Area”), which includes the CCZ. Moreover, despite the release by the ISA of the Draft Regulations on Exploitation of Mineral Resources (the “Draft Regulations”), finalization of such regulations remains subject to approval and adoption by the ISA. Once adopted, these regulations will add to the legal and technical framework for exploitation of the polymetallic nodules in the NORI, TOML and Marawa contract areas.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with the potential for earlier adoption during the 29th session of the ISA in 2024 if the Mining Code is ready for adoption by that time. The road map includes three scheduled ISA Council meetings through July 2024 to elaborate the Mining Code. Although we believe the ISA will adopt the Mining Code, there can be no assurances that the Mining Code will be adopted within these timelines, or at all, as a result of actions of ISA member States or otherwise. For example, 21 ISA member States out of the 169 ISA members have expressed reservations about the commercialization of seafloor mineral resources and have called for a ban, moratorium, or precautionary pause on the commercialization of these resources. In addition, although the Draft Regulations and several supporting standards and guidelines are at an advanced stage, there remains uncertainty regarding the final form that these will take, as well as the impact that such regulations, standards and guidelines will have on our ability to meet our objectives.</w:t>
      </w:r>
    </w:p>
    <w:p>
      <w:pPr>
        <w:spacing w:after="0" w:line="186" w:lineRule="exact"/>
        <w:rPr>
          <w:sz w:val="20"/>
          <w:szCs w:val="20"/>
          <w:color w:val="auto"/>
        </w:rPr>
      </w:pPr>
    </w:p>
    <w:p>
      <w:pPr>
        <w:jc w:val="both"/>
        <w:ind w:firstLine="369"/>
        <w:spacing w:after="0" w:line="293" w:lineRule="auto"/>
        <w:rPr>
          <w:sz w:val="20"/>
          <w:szCs w:val="20"/>
          <w:color w:val="auto"/>
        </w:rPr>
      </w:pPr>
      <w:r>
        <w:rPr>
          <w:rFonts w:ascii="Arial" w:cs="Arial" w:eastAsia="Arial" w:hAnsi="Arial"/>
          <w:sz w:val="16"/>
          <w:szCs w:val="16"/>
          <w:color w:val="auto"/>
        </w:rPr>
        <w:t>As the ISA Council did not complete the adoption and elaboration of the Mining Code by the prescribed deadline of July 9, 2023, pursuant to Section 1, Paragraph 15(c) of the Annex to the 1994 Agreement relating to the implementation of Part XI of UNCLOS, if an application for a plan of work for exploitation is now submitted to the ISA, the ISA is nonetheless required to consider and provisionally approve such a plan of work based on: (i) the provisions of the UNCLOS; (ii) any rules, regulations and procedures that the ISA may have adopted provisionally, (iii) the basis of the norms contained in the UNCLOS and (iv) the terms and principles contained in the 1994 Agreement relating to the Implementation of Part XI, including the principle of non-discrimination among contractors.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NORI intends to submit an application to the ISA for an exploitation contract, which will include a plan of work for exploitation for NORI Area D following the conclusion of the July 2024 meeting of the ISA’s 29th session. If the ISA has not adopted the final Mining Code by the time NORI submits this application, we believe that the ISA will review and provisionally approve the plan of work for exploitation included therein pursuant to Section 1, Paragraph 15(c) of the Annex to the 1994 Agreement relating to the implementation of Part XI of UNCLOS discussed above. The ISA released its road map to finalize the Mining Code at its July 2023 session, however, it also stated that the commercial exploitation of mineral resources in the ISA’s jurisdictional area should not be carried out in the absence of RRPs relating to exploitation. In addition, there can be no assurances that the ISA will come to a consensus as to the interpretation of Section 1, Paragraph 15(c) of the Annex to the 1994 Agreement relating to the implementation of Part XI of UNCLOS. Although we believe the ISA will accept and consider an application for a plan of work for exploitation in the absence of the final Mining Code, there is no consensus within the ISA as to the process to be followed for its consideration of such an application, including the involvement of the ISA’s Legal and Technical Commission and whether and how long the ISA could delay its consideration of an application past the proscribed 60-day period. As a result, and in light of some ISA members States calling for a ban, moratorium or precautionary pause on the commercialization of seafloor mineral resources, there can be no assurance that the ISA will provisionally approve our plan of work for exploitation, within one year from submission thereof, or at all, or that such provisional approval would lead to the issuance of an exploitation contract with the ISA.</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collection of polymetallic nodules within the CCZ, where our exploration areas are located, will require an approved plan of work in the form of an exploitation contract with the ISA (which will authorize commercial collection activities). As part of the application for a plan of work for exploitation, contractors are required to complete baseline studies and an Environmental and Social Impact Assessment (“ESIA”), culminating in an Environmental Impact Statement (“EIS”), prior to collecting nodules at a commercial scale.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7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order to move our exploration projects into commercial production, our wholly-owned subsidiaries, NORI and TOML will each need to conclude an exploitation contract with the ISA, as will our partner, Marawa, in addition to obtaining related permits that may be required by our commercial partners. There can be no assurance that the ISA will approve our application for a plan of work for exploitation and issue an exploitation contract to our subsidiaries in a timely manner or at all. Even if the ISA timely evaluates such applications(s), our subsidiaries may be required to submit a supplementary EIS or perform additional studies or campaigns before obtaining approval. As such, there is a risk that an exploitation contract may not be granted by the ISA, may not be granted on a timely basis, thereby delaying our potential timeline for commercial exploitation, or may be granted on uneconomic terms.</w:t>
      </w:r>
    </w:p>
    <w:p>
      <w:pPr>
        <w:spacing w:after="0" w:line="17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Nauru and Tonga, respectively. Each subsidiary has been registered and incorporated within such host nation and each host nation has maintained effective control, supervision, regulation, and sponsorship over the conduct of such subsidiary. While we have beneficial ownership over such subsidiaries, each subsidiary operates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the rates of payments are yet to be set by the ISA, the 1994 Agreement relating to the Implementation of Part XI of the UNCLOS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us, and/or may contain terms that do not enable us to develop our projects.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Seafloor polymetallic nodules have never been commercially mined, and there is a risk that our offshore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As a result, even if the ISA timely reviews and approves our expected application for an exploitation contract, which will include a plan of work for exploitation, for NORI Area D, there are no assurances that we will have successfully completed all development and pre-production work necessary to start commercial production in the fourth quarter of 2025. We have partnered with Allseas, a leading global offshore contractor, to undertake a pre-production integrated pilot collection system test in which a collector vehicle, a riser and lift system and surface production vessel have been tested. Although the pilot collection system test was successful, there can be no assurance that their technology will eventually be adequate for full scale commercial production.</w:t>
      </w:r>
    </w:p>
    <w:p>
      <w:pPr>
        <w:spacing w:after="0" w:line="1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March 16, 2022, NORI and Allseas entered into a non-binding term sheet for the development and operation of the Project Zero Offshore System. NORI and Allseas intend to equally finance all costs related to developing and getting Project Zero Offshore System into production. The parties intend to detail and revise these cost estimates in three definitive agreements for the engineering, build and operations phases, which the parties expect to enter into before the end of 2023. There can be no assurances, however, that we will enter into the definitive agreements with Allseas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substantially dependent on our strategic relationship with Allseas. If we and Allseas are unable to successfully maintain and expand this relationship, our business may be materially harmed.</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We have partnered with Allseas, a leading global offshore contractor and significant shareholder in our company, to undertake the development of many of the offshore systems we expect to utilize in our potential commercialization efforts. We are also in discussions with Allseas to enter into binding agreements with them for the future development and operation of the Project Zero Offshore System and other services. Allseas also provides us with exclusive access to the earlier of the development of the Project Zero Offshore system and December 31, 2026 to the </w:t>
      </w:r>
      <w:r>
        <w:rPr>
          <w:rFonts w:ascii="Arial" w:cs="Arial" w:eastAsia="Arial" w:hAnsi="Arial"/>
          <w:sz w:val="16"/>
          <w:szCs w:val="16"/>
          <w:i w:val="1"/>
          <w:iCs w:val="1"/>
          <w:color w:val="auto"/>
        </w:rPr>
        <w:t>Hidden Gem</w:t>
      </w:r>
      <w:r>
        <w:rPr>
          <w:rFonts w:ascii="Arial" w:cs="Arial" w:eastAsia="Arial" w:hAnsi="Arial"/>
          <w:sz w:val="16"/>
          <w:szCs w:val="16"/>
          <w:color w:val="auto"/>
        </w:rPr>
        <w:t>, the converted drillship expected to be converted into a production vessel by Allseas for our commercial use. In addition, Allseas has invested $5 million in our August 2022 private placement of common shares and entered into an unsecured credit facility with us under which an affiliate of Allseas agreed to lend us up to $25 million through November 30, 2024. We cannot provide any assurance with respect to the success of our continued relationship with Allseas, that we will be able to enter into additional binding agreements with Allseas on commercially reasonable terms, or at all, that Allseas will continue to devote its resources to its relationship with us or otherwise perform its obligations under its current and future arrangements with us as expected, as a result of its limited experience in the collection and transportation of seafloor polymetallic nodules or otherwise, the result of any of which would have a material adverse effect on our business, financial condition, liquidity, and results of operations. As a result, we may need to engage and depend on other third parties for the services and funding Allseas currently and is expected to provide us. If these new relationships are not timely entered into or not entered into on commercially reasonable terms, or at all, or if any such relationship is not successful, this would likely have a material adverse effect on our business, financial condition, liquidity, and results of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there can be no assurance that we will be able to commercially develop our resource areas or achieve profitability in the future.</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anticipates that its first production of nodules from NORI Area D could be in the fourth quarter of 2025 (assuming submission of an application for an exploitation contract, that includes a plan of work for exploitation, for NORI Area D following the July 2024 ISA meeting and the ISA’s timely one-year review and approval thereof), there can be no assurance that it will be able to commercially develop these properties or that it will be able to generate profits in the future.</w:t>
      </w:r>
    </w:p>
    <w:p>
      <w:pPr>
        <w:spacing w:after="0" w:line="19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as part of DGE’s Marawa Option Agreement and Services Agreement with Marawa with respect to the Marawa Contract Area, Marawa committed to spend Australian dollar (“AUD”) $3 million and AUD $2 million in fiscal 2023 and 2024, respectively. Limited offshore marine resource definition activities in the Marawa Contract Area, however, have occurred to date and we expect to collaborate with Marawa to assess the viability of any potential project in the Marawa Contract Area, although the timing of such assessment is unclear. Marawa has also delayed certain of its efforts in the Marawa Contract Area while it determines how it will move forward with additional assessment work. There are no assurances that we will be able to come to an agreement with Marawa on the future development of the Marawa Contract Area or that we will be able to keep our rights in the Marawa Contract Area as a result of our efforts there, either of which could have a material and adverse effect on our future business prospects and financial condition.</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18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 plan of work for exploitation for NORI Area D, and by negotiating the settlement of program expenditures with our equity whenever possible in order to preserve our cash. The continuing exploration and development of the NORI, TOML and Marawa contract areas, however, will depend upon our ability to obtain dilutive and/or non-dilutive financing through stake sales in our assets, offtakes with prepayments, debt financing, equity financing, joint ventures, project-based or asset-based financing or other means. We currently estimate that we will require approximately $34 to $44 million of cash in addition to $20 million cash on hand as of June 30, 2023 and the expected $25.9 million net proceeds from the recently announced registered direct offering assuming no exercise of the Class A warrants issued in the offering and excluding up to $11 million of the securities that may be purchased upon notice to us on or before September 15, 2023 (but not including potential drawdown on the existing Allseas credit facility) to submit an application for an exploitation contract that includes a plan of work for exploitation for NORI Area D following the July 2024 ISA meeting. The actual amount of capital needed or that we raise for our projects, however, may vary materially from our current estimates. We currently expect that we will raise additional funds, including in addition to the expected proceeds from the recently announced registered direct offering (we may need to raise more additional funds if we do not receive all of the expected proceeds from the registered direct offering), to finance our operations. There is no assurance that we will be successful in obtaining the required financing for these or other purposes, including for general working capital, or that any funds raised will be sufficient for the purposes contemplated, which could negatively impact our operating plans, financial results and ability to continue as a going concern. We will not initially have any producing properties and will have no source of significant operating cash flow until the end of 2025 at the earliest. There is no precedent for projects like ours, and therefore, financing may not be available on acceptable terms or at all. Failure to obtain additional financing on a timely basis could cause us to reduce or terminate our operations. Organizations such as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sectPr>
          <w:pgSz w:w="11900" w:h="16838" w:orient="portrait"/>
          <w:cols w:equalWidth="0" w:num="1">
            <w:col w:w="9920"/>
          </w:cols>
          <w:pgMar w:left="980" w:top="53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United States and global economic uncertainty, higher interest rates and diminished credit availability may limit our ability to incur additional indebtedness on favorable terms. Any additional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the impact of geopolitical tension, such as a deterioration in the bilateral relationship between the United States and China or an escalation in conflict between Russia and Ukraine, including any resulting sanctions, export controls or other restrictive actions, could also lead to disruption, instability and volatility in the global markets, which may have an impact on our ability to obtain additional funding.</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9, 2023, we issued 11,578,620 common shares to Allseas in connection with Allseas’ exercise of the Allseas Warrant for an aggregate cash exercise price of $115.8 thousand.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common shares were issued pursuant to and in accordance with the exemption from registration under Section 4(a)(2)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repurchase any of our equity securities during the three and six months ended June 30, 2023.</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Incorporated by</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Reference Herein</w:t>
            </w: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SEC File/ Reg.</w:t>
            </w:r>
          </w:p>
        </w:tc>
        <w:tc>
          <w:tcPr>
            <w:tcW w:w="0" w:type="dxa"/>
            <w:vAlign w:val="bottom"/>
          </w:tcPr>
          <w:p>
            <w:pPr>
              <w:spacing w:after="0"/>
              <w:rPr>
                <w:sz w:val="1"/>
                <w:szCs w:val="1"/>
                <w:color w:val="auto"/>
              </w:rPr>
            </w:pPr>
          </w:p>
        </w:tc>
      </w:tr>
      <w:tr>
        <w:trPr>
          <w:trHeight w:val="148"/>
        </w:trPr>
        <w:tc>
          <w:tcPr>
            <w:tcW w:w="9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2980" w:type="dxa"/>
            <w:vAlign w:val="bottom"/>
            <w:gridSpan w:val="14"/>
            <w:vMerge w:val="restart"/>
          </w:tcPr>
          <w:p>
            <w:pPr>
              <w:ind w:left="560"/>
              <w:spacing w:after="0"/>
              <w:rPr>
                <w:sz w:val="20"/>
                <w:szCs w:val="20"/>
                <w:color w:val="auto"/>
              </w:rPr>
            </w:pPr>
            <w:r>
              <w:rPr>
                <w:rFonts w:ascii="Arial" w:cs="Arial" w:eastAsia="Arial" w:hAnsi="Arial"/>
                <w:sz w:val="14"/>
                <w:szCs w:val="14"/>
                <w:b w:val="1"/>
                <w:bCs w:val="1"/>
                <w:color w:val="auto"/>
              </w:rPr>
              <w:t>Exhibit Description</w:t>
            </w: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Filed Herewith</w:t>
            </w: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from</w:t>
            </w: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Filing Date</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4"/>
                <w:szCs w:val="14"/>
                <w:color w:val="auto"/>
              </w:rPr>
            </w:pPr>
          </w:p>
        </w:tc>
        <w:tc>
          <w:tcPr>
            <w:tcW w:w="2980" w:type="dxa"/>
            <w:vAlign w:val="bottom"/>
            <w:gridSpan w:val="14"/>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Form or Schedule</w:t>
            </w:r>
          </w:p>
        </w:tc>
        <w:tc>
          <w:tcPr>
            <w:tcW w:w="1180" w:type="dxa"/>
            <w:vAlign w:val="bottom"/>
            <w:gridSpan w:val="2"/>
            <w:vMerge w:val="continue"/>
          </w:tcPr>
          <w:p>
            <w:pPr>
              <w:spacing w:after="0"/>
              <w:rPr>
                <w:sz w:val="14"/>
                <w:szCs w:val="14"/>
                <w:color w:val="auto"/>
              </w:rPr>
            </w:pPr>
          </w:p>
        </w:tc>
        <w:tc>
          <w:tcPr>
            <w:tcW w:w="1160" w:type="dxa"/>
            <w:vAlign w:val="bottom"/>
          </w:tcPr>
          <w:p>
            <w:pPr>
              <w:jc w:val="right"/>
              <w:ind w:right="244"/>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280" w:type="dxa"/>
            <w:vAlign w:val="bottom"/>
            <w:tcBorders>
              <w:top w:val="single" w:sz="8" w:color="auto"/>
              <w:bottom w:val="single" w:sz="8" w:color="CCEEFF"/>
              <w:right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w w:val="76"/>
              </w:rPr>
              <w:t>10.1</w:t>
            </w:r>
          </w:p>
        </w:tc>
        <w:tc>
          <w:tcPr>
            <w:tcW w:w="48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860" w:type="dxa"/>
            <w:vAlign w:val="bottom"/>
            <w:tcBorders>
              <w:top w:val="single" w:sz="8" w:color="auto"/>
              <w:bottom w:val="single" w:sz="8" w:color="0000EE"/>
            </w:tcBorders>
            <w:gridSpan w:val="5"/>
            <w:shd w:val="clear" w:color="auto" w:fill="CCEEFF"/>
          </w:tcPr>
          <w:p>
            <w:pPr>
              <w:spacing w:after="0" w:line="169" w:lineRule="exact"/>
              <w:rPr>
                <w:rFonts w:ascii="Arial" w:cs="Arial" w:eastAsia="Arial" w:hAnsi="Arial"/>
                <w:sz w:val="18"/>
                <w:szCs w:val="18"/>
                <w:color w:val="0000EE"/>
                <w:w w:val="88"/>
              </w:rPr>
            </w:pPr>
            <w:hyperlink r:id="rId62">
              <w:r>
                <w:rPr>
                  <w:rFonts w:ascii="Arial" w:cs="Arial" w:eastAsia="Arial" w:hAnsi="Arial"/>
                  <w:sz w:val="18"/>
                  <w:szCs w:val="18"/>
                  <w:color w:val="0000EE"/>
                  <w:w w:val="88"/>
                </w:rPr>
                <w:t>Exclusive Vessel Use Agreement, dated</w:t>
              </w:r>
            </w:hyperlink>
          </w:p>
        </w:tc>
        <w:tc>
          <w:tcPr>
            <w:tcW w:w="440" w:type="dxa"/>
            <w:vAlign w:val="bottom"/>
            <w:tcBorders>
              <w:top w:val="single" w:sz="8" w:color="auto"/>
              <w:bottom w:val="single" w:sz="8" w:color="CCEEFF"/>
            </w:tcBorders>
            <w:gridSpan w:val="9"/>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6"/>
                <w:szCs w:val="16"/>
                <w:color w:val="auto"/>
                <w:w w:val="98"/>
              </w:rPr>
              <w:t>Form 8-K</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jc w:val="right"/>
              <w:ind w:right="162"/>
              <w:spacing w:after="0" w:line="169" w:lineRule="exact"/>
              <w:rPr>
                <w:sz w:val="20"/>
                <w:szCs w:val="20"/>
                <w:color w:val="auto"/>
              </w:rPr>
            </w:pPr>
            <w:r>
              <w:rPr>
                <w:rFonts w:ascii="Arial" w:cs="Arial" w:eastAsia="Arial" w:hAnsi="Arial"/>
                <w:sz w:val="16"/>
                <w:szCs w:val="16"/>
                <w:color w:val="auto"/>
                <w:w w:val="92"/>
              </w:rPr>
              <w:t>08/01/2023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jc w:val="right"/>
              <w:ind w:right="384"/>
              <w:spacing w:after="0" w:line="169" w:lineRule="exact"/>
              <w:rPr>
                <w:sz w:val="20"/>
                <w:szCs w:val="20"/>
                <w:color w:val="auto"/>
              </w:rPr>
            </w:pPr>
            <w:r>
              <w:rPr>
                <w:rFonts w:ascii="Arial" w:cs="Arial" w:eastAsia="Arial" w:hAnsi="Arial"/>
                <w:sz w:val="16"/>
                <w:szCs w:val="16"/>
                <w:color w:val="auto"/>
                <w:w w:val="88"/>
              </w:rPr>
              <w:t>001-39281</w:t>
            </w:r>
          </w:p>
        </w:tc>
        <w:tc>
          <w:tcPr>
            <w:tcW w:w="0" w:type="dxa"/>
            <w:vAlign w:val="bottom"/>
          </w:tcPr>
          <w:p>
            <w:pPr>
              <w:spacing w:after="0"/>
              <w:rPr>
                <w:sz w:val="1"/>
                <w:szCs w:val="1"/>
                <w:color w:val="auto"/>
              </w:rPr>
            </w:pPr>
          </w:p>
        </w:tc>
      </w:tr>
      <w:tr>
        <w:trPr>
          <w:trHeight w:val="196"/>
        </w:trPr>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302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August 1, 2023, by and between TMC the</w:t>
              </w:r>
            </w:hyperlink>
          </w:p>
        </w:tc>
        <w:tc>
          <w:tcPr>
            <w:tcW w:w="460" w:type="dxa"/>
            <w:vAlign w:val="bottom"/>
            <w:tcBorders>
              <w:bottom w:val="single" w:sz="8" w:color="CCEEFF"/>
            </w:tcBorders>
            <w:gridSpan w:val="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(Exhibit 10.1)</w:t>
            </w: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324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metals company Inc. and Allseas Group S.A.</w:t>
              </w:r>
            </w:hyperlink>
          </w:p>
        </w:tc>
        <w:tc>
          <w:tcPr>
            <w:tcW w:w="240" w:type="dxa"/>
            <w:vAlign w:val="bottom"/>
            <w:tcBorders>
              <w:bottom w:val="single" w:sz="8" w:color="CCEEFF"/>
            </w:tcBorders>
            <w:gridSpan w:val="4"/>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line="175" w:lineRule="exact"/>
              <w:rPr>
                <w:sz w:val="20"/>
                <w:szCs w:val="20"/>
                <w:color w:val="auto"/>
              </w:rPr>
            </w:pPr>
            <w:r>
              <w:rPr>
                <w:rFonts w:ascii="Arial" w:cs="Arial" w:eastAsia="Arial" w:hAnsi="Arial"/>
                <w:sz w:val="16"/>
                <w:szCs w:val="16"/>
                <w:color w:val="auto"/>
                <w:w w:val="76"/>
              </w:rPr>
              <w:t>10.2</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80" w:type="dxa"/>
            <w:vAlign w:val="bottom"/>
            <w:tcBorders>
              <w:bottom w:val="single" w:sz="8" w:color="0000EE"/>
            </w:tcBorders>
            <w:gridSpan w:val="13"/>
          </w:tcPr>
          <w:p>
            <w:pPr>
              <w:spacing w:after="0" w:line="17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Amendment to the Unsecured Credit Facility,</w:t>
              </w:r>
            </w:hyperlink>
          </w:p>
        </w:tc>
        <w:tc>
          <w:tcPr>
            <w:tcW w:w="20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2"/>
          </w:tcPr>
          <w:p>
            <w:pPr>
              <w:jc w:val="center"/>
              <w:ind w:right="140"/>
              <w:spacing w:after="0" w:line="175" w:lineRule="exact"/>
              <w:rPr>
                <w:sz w:val="20"/>
                <w:szCs w:val="20"/>
                <w:color w:val="auto"/>
              </w:rPr>
            </w:pPr>
            <w:r>
              <w:rPr>
                <w:rFonts w:ascii="Arial" w:cs="Arial" w:eastAsia="Arial" w:hAnsi="Arial"/>
                <w:sz w:val="16"/>
                <w:szCs w:val="16"/>
                <w:color w:val="auto"/>
                <w:w w:val="98"/>
              </w:rPr>
              <w:t>Form 8-K</w:t>
            </w:r>
          </w:p>
        </w:tc>
        <w:tc>
          <w:tcPr>
            <w:tcW w:w="1000" w:type="dxa"/>
            <w:vAlign w:val="bottom"/>
          </w:tcPr>
          <w:p>
            <w:pPr>
              <w:jc w:val="right"/>
              <w:ind w:right="162"/>
              <w:spacing w:after="0" w:line="175" w:lineRule="exact"/>
              <w:rPr>
                <w:sz w:val="20"/>
                <w:szCs w:val="20"/>
                <w:color w:val="auto"/>
              </w:rPr>
            </w:pPr>
            <w:r>
              <w:rPr>
                <w:rFonts w:ascii="Arial" w:cs="Arial" w:eastAsia="Arial" w:hAnsi="Arial"/>
                <w:sz w:val="16"/>
                <w:szCs w:val="16"/>
                <w:color w:val="auto"/>
                <w:w w:val="92"/>
              </w:rPr>
              <w:t>08/01/2023</w:t>
            </w:r>
          </w:p>
        </w:tc>
        <w:tc>
          <w:tcPr>
            <w:tcW w:w="180" w:type="dxa"/>
            <w:vAlign w:val="bottom"/>
          </w:tcPr>
          <w:p>
            <w:pPr>
              <w:spacing w:after="0"/>
              <w:rPr>
                <w:sz w:val="15"/>
                <w:szCs w:val="15"/>
                <w:color w:val="auto"/>
              </w:rPr>
            </w:pPr>
          </w:p>
        </w:tc>
        <w:tc>
          <w:tcPr>
            <w:tcW w:w="1160" w:type="dxa"/>
            <w:vAlign w:val="bottom"/>
          </w:tcPr>
          <w:p>
            <w:pPr>
              <w:jc w:val="right"/>
              <w:ind w:right="384"/>
              <w:spacing w:after="0" w:line="175" w:lineRule="exact"/>
              <w:rPr>
                <w:sz w:val="20"/>
                <w:szCs w:val="20"/>
                <w:color w:val="auto"/>
              </w:rPr>
            </w:pPr>
            <w:r>
              <w:rPr>
                <w:rFonts w:ascii="Arial" w:cs="Arial" w:eastAsia="Arial" w:hAnsi="Arial"/>
                <w:sz w:val="16"/>
                <w:szCs w:val="16"/>
                <w:color w:val="auto"/>
                <w:w w:val="88"/>
              </w:rPr>
              <w:t>001-39281</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dated July 31, 2023, by and between TMC</w:t>
              </w:r>
            </w:hyperlink>
          </w:p>
        </w:tc>
        <w:tc>
          <w:tcPr>
            <w:tcW w:w="42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(Exhibit 10.2)</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15"/>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the metals company Inc. and Argentum</w:t>
              </w:r>
            </w:hyperlink>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Credit Virtuti GCV</w:t>
              </w:r>
            </w:hyperlink>
          </w:p>
        </w:tc>
        <w:tc>
          <w:tcPr>
            <w:tcW w:w="66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tcBorders>
              <w:right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0000EE"/>
                <w:w w:val="76"/>
              </w:rPr>
              <w:t>31.</w:t>
            </w:r>
            <w:r>
              <w:rPr>
                <w:rFonts w:ascii="Arial" w:cs="Arial" w:eastAsia="Arial" w:hAnsi="Arial"/>
                <w:sz w:val="16"/>
                <w:szCs w:val="16"/>
                <w:u w:val="single" w:color="auto"/>
                <w:color w:val="0000EE"/>
                <w:w w:val="76"/>
              </w:rPr>
              <w:t>1</w:t>
            </w:r>
          </w:p>
        </w:tc>
        <w:tc>
          <w:tcPr>
            <w:tcW w:w="4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3480" w:type="dxa"/>
            <w:vAlign w:val="bottom"/>
            <w:gridSpan w:val="15"/>
            <w:shd w:val="clear" w:color="auto" w:fill="CCEEFF"/>
          </w:tcPr>
          <w:p>
            <w:pPr>
              <w:spacing w:after="0" w:line="162" w:lineRule="exact"/>
              <w:rPr>
                <w:sz w:val="20"/>
                <w:szCs w:val="20"/>
                <w:color w:val="auto"/>
              </w:rPr>
            </w:pPr>
            <w:r>
              <w:rPr>
                <w:rFonts w:ascii="Arial" w:cs="Arial" w:eastAsia="Arial" w:hAnsi="Arial"/>
                <w:sz w:val="16"/>
                <w:szCs w:val="16"/>
                <w:color w:val="0000EE"/>
              </w:rPr>
              <w:t>Certification of the Principal Executive Officer</w:t>
            </w:r>
          </w:p>
        </w:tc>
        <w:tc>
          <w:tcPr>
            <w:tcW w:w="146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color w:val="auto"/>
                <w:w w:val="93"/>
              </w:rPr>
              <w:t>X</w:t>
            </w: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3480" w:type="dxa"/>
            <w:vAlign w:val="bottom"/>
            <w:gridSpan w:val="15"/>
            <w:shd w:val="clear" w:color="auto" w:fill="CCEEFF"/>
          </w:tcPr>
          <w:p>
            <w:pPr>
              <w:spacing w:after="0" w:line="183" w:lineRule="exact"/>
              <w:rPr>
                <w:sz w:val="20"/>
                <w:szCs w:val="20"/>
                <w:color w:val="auto"/>
              </w:rPr>
            </w:pPr>
            <w:r>
              <w:rPr>
                <w:rFonts w:ascii="Arial" w:cs="Arial" w:eastAsia="Arial" w:hAnsi="Arial"/>
                <w:sz w:val="16"/>
                <w:szCs w:val="16"/>
                <w:color w:val="0000EE"/>
                <w:w w:val="96"/>
              </w:rPr>
              <w:t>pursuant to Section 302 of the Sarbanes-Oxley Act</w:t>
            </w: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0000EE"/>
              <w:bottom w:val="single" w:sz="8" w:color="0000EE"/>
            </w:tcBorders>
            <w:shd w:val="clear" w:color="auto" w:fill="CCEEFF"/>
          </w:tcPr>
          <w:p>
            <w:pPr>
              <w:spacing w:after="0" w:line="183" w:lineRule="exact"/>
              <w:rPr>
                <w:sz w:val="20"/>
                <w:szCs w:val="20"/>
                <w:color w:val="auto"/>
              </w:rPr>
            </w:pPr>
            <w:r>
              <w:rPr>
                <w:rFonts w:ascii="Arial" w:cs="Arial" w:eastAsia="Arial" w:hAnsi="Arial"/>
                <w:sz w:val="16"/>
                <w:szCs w:val="16"/>
                <w:color w:val="0000EE"/>
                <w:w w:val="89"/>
              </w:rPr>
              <w:t>of 2002</w:t>
            </w:r>
          </w:p>
        </w:tc>
        <w:tc>
          <w:tcPr>
            <w:tcW w:w="2780" w:type="dxa"/>
            <w:vAlign w:val="bottom"/>
            <w:tcBorders>
              <w:top w:val="single" w:sz="8" w:color="0000EE"/>
              <w:bottom w:val="single" w:sz="8" w:color="CCEEFF"/>
            </w:tcBorders>
            <w:gridSpan w:val="12"/>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tcBorders>
              <w:bottom w:val="single" w:sz="8" w:color="0000EE"/>
            </w:tcBorders>
          </w:tcPr>
          <w:p>
            <w:pPr>
              <w:spacing w:after="0" w:line="162" w:lineRule="exact"/>
              <w:rPr>
                <w:sz w:val="20"/>
                <w:szCs w:val="20"/>
                <w:color w:val="auto"/>
              </w:rPr>
            </w:pPr>
            <w:r>
              <w:rPr>
                <w:rFonts w:ascii="Arial" w:cs="Arial" w:eastAsia="Arial" w:hAnsi="Arial"/>
                <w:sz w:val="16"/>
                <w:szCs w:val="16"/>
                <w:color w:val="0000EE"/>
                <w:w w:val="76"/>
              </w:rPr>
              <w:t>31.</w:t>
            </w:r>
            <w:r>
              <w:rPr>
                <w:rFonts w:ascii="Arial" w:cs="Arial" w:eastAsia="Arial" w:hAnsi="Arial"/>
                <w:sz w:val="16"/>
                <w:szCs w:val="16"/>
                <w:u w:val="single" w:color="auto"/>
                <w:color w:val="0000EE"/>
                <w:w w:val="76"/>
              </w:rPr>
              <w:t>2</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tcBorders>
              <w:bottom w:val="single" w:sz="8" w:color="0000EE"/>
            </w:tcBorders>
            <w:gridSpan w:val="6"/>
          </w:tcPr>
          <w:p>
            <w:pPr>
              <w:spacing w:after="0" w:line="162" w:lineRule="exact"/>
              <w:rPr>
                <w:sz w:val="20"/>
                <w:szCs w:val="20"/>
                <w:color w:val="auto"/>
              </w:rPr>
            </w:pPr>
            <w:r>
              <w:rPr>
                <w:rFonts w:ascii="Arial" w:cs="Arial" w:eastAsia="Arial" w:hAnsi="Arial"/>
                <w:sz w:val="16"/>
                <w:szCs w:val="16"/>
                <w:color w:val="0000EE"/>
                <w:w w:val="94"/>
              </w:rPr>
              <w:t>Certification of the Principal Financial Officer</w:t>
            </w:r>
          </w:p>
        </w:tc>
        <w:tc>
          <w:tcPr>
            <w:tcW w:w="480" w:type="dxa"/>
            <w:vAlign w:val="bottom"/>
            <w:gridSpan w:val="9"/>
          </w:tcPr>
          <w:p>
            <w:pPr>
              <w:spacing w:after="0"/>
              <w:rPr>
                <w:sz w:val="14"/>
                <w:szCs w:val="14"/>
                <w:color w:val="auto"/>
              </w:rPr>
            </w:pPr>
          </w:p>
        </w:tc>
        <w:tc>
          <w:tcPr>
            <w:tcW w:w="146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3"/>
              </w:rPr>
              <w:t>X</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80" w:type="dxa"/>
            <w:vAlign w:val="bottom"/>
            <w:gridSpan w:val="15"/>
          </w:tcPr>
          <w:p>
            <w:pPr>
              <w:spacing w:after="0" w:line="183" w:lineRule="exact"/>
              <w:rPr>
                <w:sz w:val="20"/>
                <w:szCs w:val="20"/>
                <w:color w:val="auto"/>
              </w:rPr>
            </w:pPr>
            <w:r>
              <w:rPr>
                <w:rFonts w:ascii="Arial" w:cs="Arial" w:eastAsia="Arial" w:hAnsi="Arial"/>
                <w:sz w:val="16"/>
                <w:szCs w:val="16"/>
                <w:color w:val="0000EE"/>
                <w:w w:val="96"/>
              </w:rPr>
              <w:t>pursuant to Section 302 of the Sarbanes-Oxley Act</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80" w:type="dxa"/>
            <w:vAlign w:val="bottom"/>
            <w:tcBorders>
              <w:top w:val="single" w:sz="8" w:color="0000EE"/>
            </w:tcBorders>
            <w:gridSpan w:val="13"/>
          </w:tcPr>
          <w:p>
            <w:pPr>
              <w:spacing w:after="0" w:line="183" w:lineRule="exact"/>
              <w:rPr>
                <w:sz w:val="20"/>
                <w:szCs w:val="20"/>
                <w:color w:val="auto"/>
              </w:rPr>
            </w:pPr>
            <w:r>
              <w:rPr>
                <w:rFonts w:ascii="Arial" w:cs="Arial" w:eastAsia="Arial" w:hAnsi="Arial"/>
                <w:sz w:val="16"/>
                <w:szCs w:val="16"/>
                <w:color w:val="0000EE"/>
              </w:rPr>
              <w:t>of 2002</w:t>
            </w:r>
          </w:p>
        </w:tc>
        <w:tc>
          <w:tcPr>
            <w:tcW w:w="20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tcBorders>
              <w:right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0000EE"/>
                <w:w w:val="99"/>
              </w:rPr>
              <w:t>32*</w:t>
            </w:r>
          </w:p>
        </w:tc>
        <w:tc>
          <w:tcPr>
            <w:tcW w:w="48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3480" w:type="dxa"/>
            <w:vAlign w:val="bottom"/>
            <w:gridSpan w:val="15"/>
            <w:shd w:val="clear" w:color="auto" w:fill="CCEEFF"/>
          </w:tcPr>
          <w:p>
            <w:pPr>
              <w:spacing w:after="0" w:line="162" w:lineRule="exact"/>
              <w:rPr>
                <w:sz w:val="20"/>
                <w:szCs w:val="20"/>
                <w:color w:val="auto"/>
              </w:rPr>
            </w:pPr>
            <w:r>
              <w:rPr>
                <w:rFonts w:ascii="Arial" w:cs="Arial" w:eastAsia="Arial" w:hAnsi="Arial"/>
                <w:sz w:val="16"/>
                <w:szCs w:val="16"/>
                <w:color w:val="0000EE"/>
              </w:rPr>
              <w:t>Certifications of the Chief Executive Officer and</w:t>
            </w:r>
          </w:p>
        </w:tc>
        <w:tc>
          <w:tcPr>
            <w:tcW w:w="146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color w:val="auto"/>
                <w:w w:val="93"/>
              </w:rPr>
              <w:t>X</w:t>
            </w: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CCEEFF"/>
            </w:tcBorders>
            <w:shd w:val="clear" w:color="auto" w:fill="0000EE"/>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20" w:type="dxa"/>
            <w:vAlign w:val="bottom"/>
            <w:gridSpan w:val="3"/>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Borders>
              <w:bottom w:val="single" w:sz="8" w:color="CCEEFF"/>
              <w:right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3260" w:type="dxa"/>
            <w:vAlign w:val="bottom"/>
            <w:tcBorders>
              <w:bottom w:val="single" w:sz="8" w:color="0000EE"/>
            </w:tcBorders>
            <w:gridSpan w:val="12"/>
            <w:shd w:val="clear" w:color="auto" w:fill="CCEEFF"/>
          </w:tcPr>
          <w:p>
            <w:pPr>
              <w:spacing w:after="0" w:line="183" w:lineRule="exact"/>
              <w:rPr>
                <w:sz w:val="20"/>
                <w:szCs w:val="20"/>
                <w:color w:val="auto"/>
              </w:rPr>
            </w:pPr>
            <w:r>
              <w:rPr>
                <w:rFonts w:ascii="Arial" w:cs="Arial" w:eastAsia="Arial" w:hAnsi="Arial"/>
                <w:sz w:val="16"/>
                <w:szCs w:val="16"/>
                <w:color w:val="0000EE"/>
                <w:w w:val="92"/>
              </w:rPr>
              <w:t>Chief Financial Officer pursuant to Section 906 of</w:t>
            </w:r>
          </w:p>
        </w:tc>
        <w:tc>
          <w:tcPr>
            <w:tcW w:w="220" w:type="dxa"/>
            <w:vAlign w:val="bottom"/>
            <w:tcBorders>
              <w:bottom w:val="single" w:sz="8" w:color="CCEEFF"/>
            </w:tcBorders>
            <w:gridSpan w:val="3"/>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2080" w:type="dxa"/>
            <w:vAlign w:val="bottom"/>
            <w:tcBorders>
              <w:bottom w:val="single" w:sz="8" w:color="0000EE"/>
            </w:tcBorders>
            <w:gridSpan w:val="3"/>
            <w:shd w:val="clear" w:color="auto" w:fill="CCEEFF"/>
          </w:tcPr>
          <w:p>
            <w:pPr>
              <w:spacing w:after="0" w:line="183" w:lineRule="exact"/>
              <w:rPr>
                <w:sz w:val="20"/>
                <w:szCs w:val="20"/>
                <w:color w:val="auto"/>
              </w:rPr>
            </w:pPr>
            <w:r>
              <w:rPr>
                <w:rFonts w:ascii="Arial" w:cs="Arial" w:eastAsia="Arial" w:hAnsi="Arial"/>
                <w:sz w:val="16"/>
                <w:szCs w:val="16"/>
                <w:color w:val="0000EE"/>
                <w:w w:val="90"/>
              </w:rPr>
              <w:t>the Sarbanes-Oxley Act of 2002</w:t>
            </w:r>
          </w:p>
        </w:tc>
        <w:tc>
          <w:tcPr>
            <w:tcW w:w="1400" w:type="dxa"/>
            <w:vAlign w:val="bottom"/>
            <w:tcBorders>
              <w:bottom w:val="single" w:sz="8" w:color="CCEEFF"/>
            </w:tcBorders>
            <w:gridSpan w:val="1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80" w:type="dxa"/>
            <w:vAlign w:val="bottom"/>
            <w:gridSpan w:val="3"/>
          </w:tcPr>
          <w:p>
            <w:pPr>
              <w:spacing w:after="0"/>
              <w:rPr>
                <w:sz w:val="20"/>
                <w:szCs w:val="20"/>
                <w:color w:val="auto"/>
              </w:rPr>
            </w:pPr>
            <w:r>
              <w:rPr>
                <w:rFonts w:ascii="Arial" w:cs="Arial" w:eastAsia="Arial" w:hAnsi="Arial"/>
                <w:sz w:val="16"/>
                <w:szCs w:val="16"/>
                <w:color w:val="auto"/>
              </w:rPr>
              <w:t>101.INS</w:t>
            </w:r>
          </w:p>
        </w:tc>
        <w:tc>
          <w:tcPr>
            <w:tcW w:w="3480" w:type="dxa"/>
            <w:vAlign w:val="bottom"/>
            <w:gridSpan w:val="15"/>
          </w:tcPr>
          <w:p>
            <w:pPr>
              <w:spacing w:after="0"/>
              <w:rPr>
                <w:sz w:val="20"/>
                <w:szCs w:val="20"/>
                <w:color w:val="auto"/>
              </w:rPr>
            </w:pPr>
            <w:r>
              <w:rPr>
                <w:rFonts w:ascii="Arial" w:cs="Arial" w:eastAsia="Arial" w:hAnsi="Arial"/>
                <w:sz w:val="16"/>
                <w:szCs w:val="16"/>
                <w:color w:val="auto"/>
              </w:rPr>
              <w:t>Inline XBRL Instance Document (the instance</w:t>
            </w: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X</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15"/>
          </w:tcPr>
          <w:p>
            <w:pPr>
              <w:spacing w:after="0"/>
              <w:rPr>
                <w:sz w:val="20"/>
                <w:szCs w:val="20"/>
                <w:color w:val="auto"/>
              </w:rPr>
            </w:pPr>
            <w:r>
              <w:rPr>
                <w:rFonts w:ascii="Arial" w:cs="Arial" w:eastAsia="Arial" w:hAnsi="Arial"/>
                <w:sz w:val="16"/>
                <w:szCs w:val="16"/>
                <w:color w:val="auto"/>
                <w:w w:val="98"/>
              </w:rPr>
              <w:t>document does not appear in the Interactive Data</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15"/>
          </w:tcPr>
          <w:p>
            <w:pPr>
              <w:spacing w:after="0"/>
              <w:rPr>
                <w:sz w:val="20"/>
                <w:szCs w:val="20"/>
                <w:color w:val="auto"/>
              </w:rPr>
            </w:pPr>
            <w:r>
              <w:rPr>
                <w:rFonts w:ascii="Arial" w:cs="Arial" w:eastAsia="Arial" w:hAnsi="Arial"/>
                <w:sz w:val="16"/>
                <w:szCs w:val="16"/>
                <w:color w:val="auto"/>
              </w:rPr>
              <w:t>File because its XBRL tags are embedded within</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15"/>
          </w:tcPr>
          <w:p>
            <w:pPr>
              <w:spacing w:after="0"/>
              <w:rPr>
                <w:sz w:val="20"/>
                <w:szCs w:val="20"/>
                <w:color w:val="auto"/>
              </w:rPr>
            </w:pPr>
            <w:r>
              <w:rPr>
                <w:rFonts w:ascii="Arial" w:cs="Arial" w:eastAsia="Arial" w:hAnsi="Arial"/>
                <w:sz w:val="16"/>
                <w:szCs w:val="16"/>
                <w:color w:val="auto"/>
              </w:rPr>
              <w:t>the Inline XBRL document)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101.SCH</w:t>
            </w:r>
          </w:p>
        </w:tc>
        <w:tc>
          <w:tcPr>
            <w:tcW w:w="348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Inline XBRL Taxonomy Extension Schema</w:t>
            </w: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3"/>
              </w:rPr>
              <w:t>X</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8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Document</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80" w:type="dxa"/>
            <w:vAlign w:val="bottom"/>
            <w:gridSpan w:val="3"/>
          </w:tcPr>
          <w:p>
            <w:pPr>
              <w:spacing w:after="0"/>
              <w:rPr>
                <w:sz w:val="20"/>
                <w:szCs w:val="20"/>
                <w:color w:val="auto"/>
              </w:rPr>
            </w:pPr>
            <w:r>
              <w:rPr>
                <w:rFonts w:ascii="Arial" w:cs="Arial" w:eastAsia="Arial" w:hAnsi="Arial"/>
                <w:sz w:val="16"/>
                <w:szCs w:val="16"/>
                <w:color w:val="auto"/>
              </w:rPr>
              <w:t>101.CAL</w:t>
            </w:r>
          </w:p>
        </w:tc>
        <w:tc>
          <w:tcPr>
            <w:tcW w:w="3480" w:type="dxa"/>
            <w:vAlign w:val="bottom"/>
            <w:gridSpan w:val="15"/>
          </w:tcPr>
          <w:p>
            <w:pPr>
              <w:spacing w:after="0"/>
              <w:rPr>
                <w:sz w:val="20"/>
                <w:szCs w:val="20"/>
                <w:color w:val="auto"/>
              </w:rPr>
            </w:pPr>
            <w:r>
              <w:rPr>
                <w:rFonts w:ascii="Arial" w:cs="Arial" w:eastAsia="Arial" w:hAnsi="Arial"/>
                <w:sz w:val="16"/>
                <w:szCs w:val="16"/>
                <w:color w:val="auto"/>
              </w:rPr>
              <w:t>Inline XBRL Taxonomy Extension Calculation</w:t>
            </w: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X</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15"/>
          </w:tcPr>
          <w:p>
            <w:pPr>
              <w:spacing w:after="0"/>
              <w:rPr>
                <w:sz w:val="20"/>
                <w:szCs w:val="20"/>
                <w:color w:val="auto"/>
              </w:rPr>
            </w:pPr>
            <w:r>
              <w:rPr>
                <w:rFonts w:ascii="Arial" w:cs="Arial" w:eastAsia="Arial" w:hAnsi="Arial"/>
                <w:sz w:val="16"/>
                <w:szCs w:val="16"/>
                <w:color w:val="auto"/>
              </w:rPr>
              <w:t>Linkbase Document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101.DEF</w:t>
            </w:r>
          </w:p>
        </w:tc>
        <w:tc>
          <w:tcPr>
            <w:tcW w:w="348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Inline XBRL Taxonomy Extension Definition</w:t>
            </w: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3"/>
              </w:rPr>
              <w:t>X</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8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Linkbase Document</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80" w:type="dxa"/>
            <w:vAlign w:val="bottom"/>
            <w:gridSpan w:val="3"/>
          </w:tcPr>
          <w:p>
            <w:pPr>
              <w:spacing w:after="0"/>
              <w:rPr>
                <w:sz w:val="20"/>
                <w:szCs w:val="20"/>
                <w:color w:val="auto"/>
              </w:rPr>
            </w:pPr>
            <w:r>
              <w:rPr>
                <w:rFonts w:ascii="Arial" w:cs="Arial" w:eastAsia="Arial" w:hAnsi="Arial"/>
                <w:sz w:val="16"/>
                <w:szCs w:val="16"/>
                <w:color w:val="auto"/>
              </w:rPr>
              <w:t>101.LAB</w:t>
            </w:r>
          </w:p>
        </w:tc>
        <w:tc>
          <w:tcPr>
            <w:tcW w:w="3480" w:type="dxa"/>
            <w:vAlign w:val="bottom"/>
            <w:gridSpan w:val="15"/>
          </w:tcPr>
          <w:p>
            <w:pPr>
              <w:spacing w:after="0"/>
              <w:rPr>
                <w:sz w:val="20"/>
                <w:szCs w:val="20"/>
                <w:color w:val="auto"/>
              </w:rPr>
            </w:pPr>
            <w:r>
              <w:rPr>
                <w:rFonts w:ascii="Arial" w:cs="Arial" w:eastAsia="Arial" w:hAnsi="Arial"/>
                <w:sz w:val="16"/>
                <w:szCs w:val="16"/>
                <w:color w:val="auto"/>
                <w:w w:val="98"/>
              </w:rPr>
              <w:t>Inline XBRL Taxonomy Extension Label Linkbase</w:t>
            </w: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X</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15"/>
          </w:tcPr>
          <w:p>
            <w:pPr>
              <w:spacing w:after="0"/>
              <w:rPr>
                <w:sz w:val="20"/>
                <w:szCs w:val="20"/>
                <w:color w:val="auto"/>
              </w:rPr>
            </w:pPr>
            <w:r>
              <w:rPr>
                <w:rFonts w:ascii="Arial" w:cs="Arial" w:eastAsia="Arial" w:hAnsi="Arial"/>
                <w:sz w:val="16"/>
                <w:szCs w:val="16"/>
                <w:color w:val="auto"/>
              </w:rPr>
              <w:t>Document</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15684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8" w:lineRule="exact"/>
        <w:rPr>
          <w:sz w:val="20"/>
          <w:szCs w:val="20"/>
          <w:color w:val="auto"/>
        </w:rPr>
      </w:pPr>
    </w:p>
    <w:p>
      <w:pPr>
        <w:jc w:val="both"/>
        <w:ind w:firstLine="8"/>
        <w:spacing w:after="0" w:line="279" w:lineRule="auto"/>
        <w:tabs>
          <w:tab w:leader="none" w:pos="14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560" w:type="dxa"/>
            <w:vAlign w:val="bottom"/>
            <w:gridSpan w:val="2"/>
          </w:tcPr>
          <w:p>
            <w:pPr>
              <w:ind w:left="166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August 14, 2023</w:t>
            </w:r>
          </w:p>
        </w:tc>
        <w:tc>
          <w:tcPr>
            <w:tcW w:w="6560" w:type="dxa"/>
            <w:vAlign w:val="bottom"/>
            <w:gridSpan w:val="2"/>
          </w:tcPr>
          <w:p>
            <w:pPr>
              <w:ind w:left="1660"/>
              <w:spacing w:after="0"/>
              <w:rPr>
                <w:sz w:val="20"/>
                <w:szCs w:val="20"/>
                <w:color w:val="auto"/>
              </w:rPr>
            </w:pPr>
            <w:r>
              <w:rPr>
                <w:rFonts w:ascii="Arial" w:cs="Arial" w:eastAsia="Arial" w:hAnsi="Arial"/>
                <w:sz w:val="18"/>
                <w:szCs w:val="18"/>
                <w:color w:val="auto"/>
              </w:rPr>
              <w:t>By:  /s/ Gerard Barron</w:t>
            </w:r>
          </w:p>
        </w:tc>
      </w:tr>
      <w:tr>
        <w:trPr>
          <w:trHeight w:val="195"/>
        </w:trPr>
        <w:tc>
          <w:tcPr>
            <w:tcW w:w="3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Barron</w:t>
            </w:r>
          </w:p>
        </w:tc>
      </w:tr>
      <w:tr>
        <w:trPr>
          <w:trHeight w:val="230"/>
        </w:trPr>
        <w:tc>
          <w:tcPr>
            <w:tcW w:w="3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August 14, 2023</w:t>
            </w:r>
          </w:p>
        </w:tc>
        <w:tc>
          <w:tcPr>
            <w:tcW w:w="6560" w:type="dxa"/>
            <w:vAlign w:val="bottom"/>
            <w:gridSpan w:val="2"/>
          </w:tcPr>
          <w:p>
            <w:pPr>
              <w:ind w:left="1660"/>
              <w:spacing w:after="0"/>
              <w:rPr>
                <w:sz w:val="20"/>
                <w:szCs w:val="20"/>
                <w:color w:val="auto"/>
              </w:rPr>
            </w:pPr>
            <w:r>
              <w:rPr>
                <w:rFonts w:ascii="Arial" w:cs="Arial" w:eastAsia="Arial" w:hAnsi="Arial"/>
                <w:sz w:val="18"/>
                <w:szCs w:val="18"/>
                <w:color w:val="auto"/>
              </w:rPr>
              <w:t>By:  /s/ Craig Shesky</w:t>
            </w:r>
          </w:p>
        </w:tc>
      </w:tr>
      <w:tr>
        <w:trPr>
          <w:trHeight w:val="195"/>
        </w:trPr>
        <w:tc>
          <w:tcPr>
            <w:tcW w:w="3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Craig Shesky</w:t>
            </w:r>
          </w:p>
        </w:tc>
      </w:tr>
      <w:tr>
        <w:trPr>
          <w:trHeight w:val="230"/>
        </w:trPr>
        <w:tc>
          <w:tcPr>
            <w:tcW w:w="3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Gerard Barron, certify that:</w:t>
      </w:r>
    </w:p>
    <w:p>
      <w:pPr>
        <w:spacing w:after="0" w:line="18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184"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jc w:val="both"/>
        <w:ind w:firstLine="332"/>
        <w:spacing w:after="0" w:line="286" w:lineRule="auto"/>
        <w:tabs>
          <w:tab w:leader="none" w:pos="648"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firstLine="332"/>
        <w:spacing w:after="0" w:line="263"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332"/>
        <w:spacing w:after="0" w:line="263"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firstLine="332"/>
        <w:spacing w:after="0" w:line="342"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firstLine="332"/>
        <w:spacing w:after="0" w:line="277"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Gerard Barron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Chief Executive Officer </w:t>
      </w: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Craig Shesky, certify that:</w:t>
      </w:r>
    </w:p>
    <w:p>
      <w:pPr>
        <w:spacing w:after="0" w:line="18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184"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jc w:val="both"/>
        <w:ind w:firstLine="332"/>
        <w:spacing w:after="0" w:line="286" w:lineRule="auto"/>
        <w:tabs>
          <w:tab w:leader="none" w:pos="6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firstLine="332"/>
        <w:spacing w:after="0" w:line="263"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332"/>
        <w:spacing w:after="0" w:line="263"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332"/>
        <w:spacing w:after="0" w:line="263"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firstLine="332"/>
        <w:spacing w:after="0" w:line="342" w:lineRule="auto"/>
        <w:tabs>
          <w:tab w:leader="none" w:pos="6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firstLine="332"/>
        <w:spacing w:after="0" w:line="277"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Craig Shesky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June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4"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color w:val="auto"/>
        </w:rPr>
        <w:t>/s/ Gerard Barron</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5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color w:val="auto"/>
        </w:rPr>
        <w:t>/s/ Craig Shesky</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-130175</wp:posOffset>
            </wp:positionV>
            <wp:extent cx="3145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2"/>
    </w:lvl>
    <w:lvl w:ilvl="1">
      <w:lvlJc w:val="left"/>
      <w:lvlText w:val="●"/>
      <w:numFmt w:val="bullet"/>
      <w:start w:val="1"/>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7"/>
    </w:lvl>
  </w:abstractNum>
  <w:abstractNum w:abstractNumId="12">
    <w:nsid w:val="2443A858"/>
    <w:multiLevelType w:val="hybridMultilevel"/>
    <w:lvl w:ilvl="0">
      <w:lvlJc w:val="left"/>
      <w:lvlText w:val="%1."/>
      <w:numFmt w:val="decimal"/>
      <w:start w:val="8"/>
    </w:lvl>
  </w:abstractNum>
  <w:abstractNum w:abstractNumId="13">
    <w:nsid w:val="2D1D5AE9"/>
    <w:multiLevelType w:val="hybridMultilevel"/>
    <w:lvl w:ilvl="0">
      <w:lvlJc w:val="left"/>
      <w:lvlText w:val="%1."/>
      <w:numFmt w:val="decimal"/>
      <w:start w:val="9"/>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2"/>
    </w:lvl>
  </w:abstractNum>
  <w:abstractNum w:abstractNumId="16">
    <w:nsid w:val="8EDBDAB"/>
    <w:multiLevelType w:val="hybridMultilevel"/>
    <w:lvl w:ilvl="0">
      <w:lvlJc w:val="left"/>
      <w:lvlText w:val="%1."/>
      <w:numFmt w:val="decimal"/>
      <w:start w:val="10"/>
    </w:lvl>
  </w:abstractNum>
  <w:abstractNum w:abstractNumId="17">
    <w:nsid w:val="79838CB2"/>
    <w:multiLevelType w:val="hybridMultilevel"/>
    <w:lvl w:ilvl="0">
      <w:lvlJc w:val="left"/>
      <w:lvlText w:val="%1."/>
      <w:numFmt w:val="decimal"/>
      <w:start w:val="11"/>
    </w:lvl>
  </w:abstractNum>
  <w:abstractNum w:abstractNumId="18">
    <w:nsid w:val="4353D0CD"/>
    <w:multiLevelType w:val="hybridMultilevel"/>
    <w:lvl w:ilvl="0">
      <w:lvlJc w:val="left"/>
      <w:lvlText w:val="%1."/>
      <w:numFmt w:val="decimal"/>
      <w:start w:val="12"/>
    </w:lvl>
  </w:abstractNum>
  <w:abstractNum w:abstractNumId="19">
    <w:nsid w:val="B03E0C6"/>
    <w:multiLevelType w:val="hybridMultilevel"/>
    <w:lvl w:ilvl="0">
      <w:lvlJc w:val="left"/>
      <w:lvlText w:val="%1."/>
      <w:numFmt w:val="decimal"/>
      <w:start w:val="13"/>
    </w:lvl>
  </w:abstractNum>
  <w:abstractNum w:abstractNumId="20">
    <w:nsid w:val="189A769B"/>
    <w:multiLevelType w:val="hybridMultilevel"/>
    <w:lvl w:ilvl="0">
      <w:lvlJc w:val="left"/>
      <w:lvlText w:val="%1."/>
      <w:numFmt w:val="decimal"/>
      <w:start w:val="14"/>
    </w:lvl>
  </w:abstractNum>
  <w:abstractNum w:abstractNumId="21">
    <w:nsid w:val="54E49EB4"/>
    <w:multiLevelType w:val="hybridMultilevel"/>
    <w:lvl w:ilvl="0">
      <w:lvlJc w:val="left"/>
      <w:lvlText w:val="%1."/>
      <w:numFmt w:val="decimal"/>
      <w:start w:val="15"/>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5"/>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5"/>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2" Type="http://schemas.openxmlformats.org/officeDocument/2006/relationships/hyperlink" Target="https://www.sec.gov/Archives/edgar/data/1798562/000110465923086437/tm2322494d1_ex10-1.htm" TargetMode="External"/><Relationship Id="rId63" Type="http://schemas.openxmlformats.org/officeDocument/2006/relationships/hyperlink" Target="https://www.sec.gov/Archives/edgar/data/1798562/000110465923086437/tm2322494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2023-08-14T16:25:50Z</dcterms:created>
  <dcterms:modified xsi:type="dcterms:W3CDTF">2023-08-14T16:25:50Z</dcterms:modified>
</cp:coreProperties>
</file>