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16,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2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11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714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spacing w:after="0" w:line="273" w:lineRule="exact"/>
        <w:rPr>
          <w:sz w:val="20"/>
          <w:szCs w:val="20"/>
          <w:color w:val="auto"/>
        </w:rPr>
      </w:pPr>
    </w:p>
    <w:p>
      <w:pPr>
        <w:ind w:left="720" w:right="7840" w:hanging="547"/>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35" w:lineRule="exact"/>
        <w:rPr>
          <w:sz w:val="20"/>
          <w:szCs w:val="20"/>
          <w:color w:val="auto"/>
        </w:rPr>
      </w:pPr>
    </w:p>
    <w:p>
      <w:pPr>
        <w:ind w:left="720" w:hanging="547"/>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7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6" w:lineRule="exact"/>
        <w:rPr>
          <w:sz w:val="20"/>
          <w:szCs w:val="20"/>
          <w:color w:val="auto"/>
        </w:rPr>
      </w:pPr>
    </w:p>
    <w:p>
      <w:pPr>
        <w:ind w:left="720" w:hanging="54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0" w:lineRule="exact"/>
        <w:rPr>
          <w:sz w:val="20"/>
          <w:szCs w:val="20"/>
          <w:color w:val="auto"/>
        </w:rPr>
      </w:pPr>
    </w:p>
    <w:p>
      <w:pPr>
        <w:ind w:left="720" w:right="8900" w:hanging="547"/>
        <w:spacing w:after="0" w:line="252"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720" w:hanging="5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8" w:lineRule="exact"/>
        <w:rPr>
          <w:sz w:val="20"/>
          <w:szCs w:val="20"/>
          <w:color w:val="auto"/>
        </w:rPr>
      </w:pPr>
    </w:p>
    <w:p>
      <w:pPr>
        <w:ind w:left="720" w:right="6860" w:hanging="547"/>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35"/>
        </w:trPr>
        <w:tc>
          <w:tcPr>
            <w:tcW w:w="28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7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3"/>
                <w:szCs w:val="23"/>
                <w:color w:val="auto"/>
              </w:rPr>
            </w:pPr>
          </w:p>
        </w:tc>
        <w:tc>
          <w:tcPr>
            <w:tcW w:w="7840" w:type="dxa"/>
            <w:vAlign w:val="bottom"/>
          </w:tcPr>
          <w:p>
            <w:pPr>
              <w:ind w:left="180"/>
              <w:spacing w:after="0" w:line="266" w:lineRule="exact"/>
              <w:rPr>
                <w:sz w:val="20"/>
                <w:szCs w:val="20"/>
                <w:color w:val="auto"/>
              </w:rPr>
            </w:pPr>
            <w:r>
              <w:rPr>
                <w:rFonts w:ascii="Arial" w:cs="Arial" w:eastAsia="Arial" w:hAnsi="Arial"/>
                <w:sz w:val="18"/>
                <w:szCs w:val="18"/>
                <w:color w:val="auto"/>
              </w:rPr>
              <w:t>19,677,000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8</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9</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3"/>
                <w:szCs w:val="13"/>
                <w:color w:val="auto"/>
              </w:rPr>
            </w:pPr>
          </w:p>
        </w:tc>
        <w:tc>
          <w:tcPr>
            <w:tcW w:w="7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840" w:type="dxa"/>
            <w:vAlign w:val="bottom"/>
            <w:vMerge w:val="restart"/>
          </w:tcPr>
          <w:p>
            <w:pPr>
              <w:ind w:left="180"/>
              <w:spacing w:after="0" w:line="280" w:lineRule="exact"/>
              <w:rPr>
                <w:sz w:val="20"/>
                <w:szCs w:val="20"/>
                <w:color w:val="auto"/>
              </w:rPr>
            </w:pPr>
            <w:r>
              <w:rPr>
                <w:rFonts w:ascii="Arial" w:cs="Arial" w:eastAsia="Arial" w:hAnsi="Arial"/>
                <w:sz w:val="18"/>
                <w:szCs w:val="18"/>
                <w:color w:val="auto"/>
              </w:rPr>
              <w:t>19,677,000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7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4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78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7"/>
        </w:trPr>
        <w:tc>
          <w:tcPr>
            <w:tcW w:w="28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720" w:right="3980" w:hanging="547"/>
        <w:spacing w:after="0" w:line="276"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19,677,000 shares of Common Shares</w:t>
      </w:r>
    </w:p>
    <w:p>
      <w:pPr>
        <w:spacing w:after="0" w:line="36" w:lineRule="exact"/>
        <w:rPr>
          <w:rFonts w:ascii="Arial" w:cs="Arial" w:eastAsia="Arial" w:hAnsi="Arial"/>
          <w:sz w:val="18"/>
          <w:szCs w:val="18"/>
          <w:color w:val="auto"/>
        </w:rPr>
      </w:pPr>
    </w:p>
    <w:p>
      <w:pPr>
        <w:ind w:left="720" w:hanging="547"/>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7" w:lineRule="exact"/>
        <w:rPr>
          <w:rFonts w:ascii="Arial" w:cs="Arial" w:eastAsia="Arial" w:hAnsi="Arial"/>
          <w:sz w:val="18"/>
          <w:szCs w:val="18"/>
          <w:color w:val="auto"/>
        </w:rPr>
      </w:pPr>
    </w:p>
    <w:p>
      <w:pPr>
        <w:ind w:left="720" w:hanging="547"/>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6.72% of the Common Shares</w:t>
      </w:r>
      <w:r>
        <w:rPr>
          <w:rFonts w:ascii="Arial" w:cs="Arial" w:eastAsia="Arial" w:hAnsi="Arial"/>
          <w:sz w:val="29"/>
          <w:szCs w:val="29"/>
          <w:color w:val="auto"/>
          <w:vertAlign w:val="superscript"/>
        </w:rPr>
        <w:t>2</w:t>
      </w:r>
    </w:p>
    <w:p>
      <w:pPr>
        <w:spacing w:after="0" w:line="5" w:lineRule="exact"/>
        <w:rPr>
          <w:rFonts w:ascii="Arial" w:cs="Arial" w:eastAsia="Arial" w:hAnsi="Arial"/>
          <w:sz w:val="18"/>
          <w:szCs w:val="18"/>
          <w:color w:val="auto"/>
        </w:rPr>
      </w:pPr>
    </w:p>
    <w:p>
      <w:pPr>
        <w:ind w:left="720" w:right="8020" w:hanging="547"/>
        <w:spacing w:after="0" w:line="258"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80" w:hanging="81"/>
        <w:spacing w:after="0" w:line="245" w:lineRule="auto"/>
        <w:rPr>
          <w:rFonts w:ascii="Arial" w:cs="Arial" w:eastAsia="Arial" w:hAnsi="Arial"/>
          <w:sz w:val="18"/>
          <w:szCs w:val="18"/>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Consists of (i) 15,459,562 Common Shares, (ii) 4,078,044 Common Shares underlying options that are exercisable within 60 days of August 16, 2023, and (iii) 139,394 Common Shares underlying warrants. Does not include (i) up to 520,834 restricted stock units, each representing the right to receive one Common Share upon vesting, which vest in two equal annual installments on November 22, 2023 and November 22, 2024, (ii) up to 1,439,220 restricted stock units, each representing the right to receive one Common Share upon vesting, which vest in three equal annual installments on March 20, 2024, March 20, 2025 and March 20, 2026 and (iii)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02" w:lineRule="exact"/>
        <w:rPr>
          <w:sz w:val="20"/>
          <w:szCs w:val="20"/>
          <w:color w:val="auto"/>
        </w:rPr>
      </w:pPr>
    </w:p>
    <w:p>
      <w:pPr>
        <w:ind w:left="80" w:hanging="72"/>
        <w:spacing w:after="0" w:line="194" w:lineRule="auto"/>
        <w:tabs>
          <w:tab w:leader="none" w:pos="125"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Calculated based on 292,921,670 Common Shares issued and outstanding as of August 11, 2023, as reported in the Issuer’s Quarterly Report on Form 10-Q filed on August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3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11 TO SCHEDULE 13D</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Amendment No. 11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on December 29, 2021, on February 9, 2022, on April 5, 2022, on July 6, 2022, on August 18, 2022, on January 3, 2023, on March 29, 2023 and on August 16, 2023 (the “Schedule 13D”), by Gerard Barron (the “Reporting Person”).</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16, 2023, the Reporting Person acquired 100,000 Common Shares and accompanying Class A warrants to purchase 50,000 shares of the Issuer’s common shares for a total price of $200,000 as part of the Issuer’s registered direct offering using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3 is incorporated by reference into Item 4.</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23,000 Common Shares beneficially owned by the Reporting Person were subsequently acquired by the Reporting Person on March 30, 2022, 25,000 Common Shares beneficially owned by the Reporting Person were subsequently acquired by the Reporting Person on June 29, 2022, 103,680 Common Shares beneficially owned by the Reporting Person were subsequently acquired by the Reporting Person on August 12, 2022, 260,416 Common Shares were subsequently acquired by the Reporting Person upon vesting of restricted stock units on November 22, 2022, 42,000 Common Shares beneficially owned by the Reporting Person were subsequently acquired by the Reporting Person on December 30, 2022, 35,000 Common Shares beneficially owned by the Reporting Person were subsequently acquired by the Reporting Person on March 28, 2023, 382,907 Common Shares were subsequently acquired by the Reporting Person upon vesting of restricted stock units on March 20, 2023 and 100,000 Common Shares and Class A warrants to purchase 50,000 Common Shares were subsequently acquired by the Reporting Person on August 16, 2023.</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4 of 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11 TO SCHEDULE 13D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Reporting Person holds (i) 15,459,562 Common Shares, including the 100,000 Common Shares purchased in a registered direct offering from the Issuer pursuant to a securities purchase agreement, dated August 14, 2023, with the Issuer, a form of which was filed as Exhibit 10.1 to the Issuer’s Current Report on Form 8-K, which is incorporated herein by reference and 103,680 Common Shares purchased in a private placement from the Issuer pursuant to a securities purchase agreement, dated August 12, 2022, with the Issuer, a copy of which was filed as Exhibit 10.2 to the Issuer’s Current Report on Form 8-K, which is incorporated herein by reference, (ii) 4,078,044 Common Shares underlying options that are exercisable within 60 days of August 16, 2023, (iii) 50,000 Common Shares underlying warrants to purchase Common Shares at $3.00 per share that are exercisable pursuant to that certain Class A Warrant, dated August 14, 2023, a form of which was filed as Exhibit 4.1 to the Issuer’s Current Report on Form 8-K, which is incorporated herein, in connection with the registered direct offering, and (iv)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(i) 520,834 restricted stock units, each representing the right to receive one Common Share upon vesting, granted to the Reporting Person on November 22, 2021 under the Issuer's 2021 Equity Incentive Plan, which will vest in two equal annual installments on November 22, 2023 and November 22, 2024, and (ii) 1,439,220 restricted stock units, each representing the right to receive one Common Share upon vesting, granted to the Reporting Person on March 20, 2023 under the Issuer's 2021 Equity Incentive Plan, which will vest in three equal annual installments on March 20, 2024, March 20, 2025 and March 20, 2026, in each case,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Gerard Barron</w:t>
            </w:r>
          </w:p>
        </w:tc>
      </w:tr>
      <w:tr>
        <w:trPr>
          <w:trHeight w:val="66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6"/>
      <w:numFmt w:val="bullet"/>
      <w:start w:val="1"/>
    </w:lvl>
  </w:abstractNum>
  <w:abstractNum w:abstractNumId="6">
    <w:nsid w:val="79E2A9E3"/>
    <w:multiLevelType w:val="hybridMultilevel"/>
    <w:lvl w:ilvl="0">
      <w:lvlJc w:val="left"/>
      <w:lvlText w:val="%1"/>
      <w:numFmt w:val="decimal"/>
      <w:start w:val="1"/>
    </w:lvl>
    <w:lvl w:ilvl="1">
      <w:lvlJc w:val="left"/>
      <w:lvlText w:val="%2"/>
      <w:numFmt w:val="decimal"/>
      <w:start w:val="1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2023-08-18T15:28:45Z</dcterms:created>
  <dcterms:modified xsi:type="dcterms:W3CDTF">2023-08-18T15:28:45Z</dcterms:modified>
</cp:coreProperties>
</file>