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21590</wp:posOffset>
            </wp:positionV>
            <wp:extent cx="7045960" cy="5252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5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Khama Sheila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TMC THE METALS COMPANY INC., 595 HOWE STREET, 10TH FLOOR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V6C 2T5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TMC the metals Co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TMC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08/16/2023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2,500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78,559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08/16/2023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320" w:firstLine="3"/>
        <w:spacing w:after="0" w:line="250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common share was purchased together with an accompanying Class A Warrant to purchase 0.5 of a common share in a registered direct offering directly from the issuer in accordance with Rule 16b-3(d) of the Securities Exchange Act of 1934, as amended, at a combined offering price of $2.00 per common share and accompanying warrant.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Jeffrey Cohan, Attorney-in- 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08/18/2023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195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78814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2023-08-18T15:23:16Z</dcterms:created>
  <dcterms:modified xsi:type="dcterms:W3CDTF">2023-08-18T15:23:16Z</dcterms:modified>
</cp:coreProperties>
</file>