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324516d2_8k.htm"/>
      <w:bookmarkStart w:id="1" w:name="kstm2324516d2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311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November 9, 2023</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0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E_edei--EntityFileNumber_c20231109"/>
            <w:bookmarkEnd w:id="6"/>
            <w:r>
              <w:rPr>
                <w:b/>
              </w:rPr>
              <w:t>001-39281</w:t>
            </w:r>
          </w:p>
        </w:tc>
        <w:tc>
          <w:tcPr>
            <w:tcW w:w="1775" w:type="dxa"/>
            <w:tcBorders/>
            <w:vAlign w:val="center"/>
          </w:tcPr>
          <w:p>
            <w:pPr>
              <w:pStyle w:val="TableContents"/>
              <w:bidi w:val="0"/>
              <w:spacing w:before="0" w:after="283"/>
              <w:jc w:val="center"/>
              <w:rPr>
                <w:b/>
              </w:rPr>
            </w:pPr>
            <w:bookmarkStart w:id="7" w:name="xdx_905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r>
        <w:trPr/>
        <w:tc>
          <w:tcPr>
            <w:tcW w:w="2795"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bl>
    <w:tbl>
      <w:tblPr>
        <w:tblW w:w="4900" w:type="dxa"/>
        <w:jc w:val="left"/>
        <w:tblInd w:w="0" w:type="dxa"/>
        <w:tblLayout w:type="fixed"/>
        <w:tblCellMar>
          <w:top w:w="0" w:type="dxa"/>
          <w:left w:w="0" w:type="dxa"/>
          <w:bottom w:w="0" w:type="dxa"/>
          <w:right w:w="0" w:type="dxa"/>
        </w:tblCellMar>
      </w:tblPr>
      <w:tblGrid>
        <w:gridCol w:w="3755"/>
        <w:gridCol w:w="60"/>
        <w:gridCol w:w="1085"/>
      </w:tblGrid>
      <w:tr>
        <w:trPr/>
        <w:tc>
          <w:tcPr>
            <w:tcW w:w="3755" w:type="dxa"/>
            <w:tcBorders/>
            <w:vAlign w:val="center"/>
          </w:tcPr>
          <w:p>
            <w:pPr>
              <w:pStyle w:val="TableContents"/>
              <w:bidi w:val="0"/>
              <w:spacing w:before="0" w:after="283"/>
              <w:jc w:val="center"/>
              <w:rPr>
                <w:b/>
              </w:rPr>
            </w:pPr>
            <w:bookmarkStart w:id="8" w:name="xdx_900_edei--EntityAddressAddressLine1_"/>
            <w:bookmarkEnd w:id="8"/>
            <w:r>
              <w:rPr>
                <w:b/>
              </w:rPr>
              <w:t xml:space="preserve">595 Howe Street, </w:t>
            </w:r>
            <w:bookmarkStart w:id="9" w:name="xdx_90A_edei--EntityAddressAddressLine2_"/>
            <w:bookmarkEnd w:id="9"/>
            <w:r>
              <w:rPr>
                <w:b/>
              </w:rPr>
              <w:t>10th Floor</w:t>
              <w:br/>
            </w:r>
            <w:bookmarkStart w:id="10" w:name="xdx_90B_edei--EntityAddressCityOrTown_c2"/>
            <w:bookmarkEnd w:id="10"/>
            <w:r>
              <w:rPr>
                <w:b/>
              </w:rPr>
              <w:t xml:space="preserve">Vancouver, </w:t>
            </w:r>
            <w:bookmarkStart w:id="11" w:name="xdx_908_edei--EntityAddressStateOrProvin"/>
            <w:bookmarkEnd w:id="11"/>
            <w:r>
              <w:rPr>
                <w:b/>
              </w:rPr>
              <w:t>British Columbia</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2" w:name="xdx_906_edei--EntityAddressPostalZipCode"/>
            <w:bookmarkEnd w:id="12"/>
            <w:r>
              <w:rPr>
                <w:b/>
              </w:rPr>
              <w:t>V6C 2T5</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C_edei--CityAreaCode_c20231109__20"/>
      <w:bookmarkEnd w:id="13"/>
      <w:r>
        <w:rPr>
          <w:rFonts w:ascii="Times New Roman;Times;Serif" w:hAnsi="Times New Roman;Times;Serif"/>
          <w:b/>
          <w:i w:val="false"/>
          <w:caps w:val="false"/>
          <w:smallCaps w:val="false"/>
          <w:sz w:val="20"/>
        </w:rPr>
        <w:t xml:space="preserve">604) </w:t>
      </w:r>
      <w:bookmarkStart w:id="14" w:name="xdx_906_edei--LocalPhoneNumber_c20231109"/>
      <w:bookmarkEnd w:id="14"/>
      <w:r>
        <w:rPr>
          <w:rFonts w:ascii="Times New Roman;Times;Serif" w:hAnsi="Times New Roman;Times;Serif"/>
          <w:b/>
          <w:i w:val="false"/>
          <w:caps w:val="false"/>
          <w:smallCaps w:val="false"/>
          <w:sz w:val="20"/>
        </w:rPr>
        <w:t>631-3115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B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5_edei--SolicitingMaterial_c202311"/>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D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4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2"/>
        <w:gridCol w:w="60"/>
        <w:gridCol w:w="1308"/>
        <w:gridCol w:w="60"/>
        <w:gridCol w:w="1925"/>
      </w:tblGrid>
      <w:tr>
        <w:trPr/>
        <w:tc>
          <w:tcPr>
            <w:tcW w:w="68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31109"/>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TradingSymbol_c20231109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SecurityExchangeName_c2023"/>
            <w:bookmarkEnd w:id="21"/>
            <w:r>
              <w:rPr>
                <w:rFonts w:ascii="Times New Roman;Times;Serif" w:hAnsi="Times New Roman;Times;Serif"/>
                <w:b w:val="false"/>
                <w:i w:val="false"/>
                <w:caps w:val="false"/>
                <w:smallCaps w:val="false"/>
                <w:sz w:val="20"/>
              </w:rPr>
              <w:t>The Nasdaq Stock Market LLC</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Security12bTitle_c20231109"/>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6_edei--TradingSymbol_c20231109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SecurityExchangeName_c2023"/>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A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F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shd w:fill="FFFFFF" w:val="clear"/>
        <w:tblLayout w:type="fixed"/>
        <w:tblCellMar>
          <w:top w:w="0" w:type="dxa"/>
          <w:left w:w="0" w:type="dxa"/>
          <w:bottom w:w="0" w:type="dxa"/>
          <w:right w:w="0" w:type="dxa"/>
        </w:tblCellMar>
      </w:tblPr>
      <w:tblGrid>
        <w:gridCol w:w="875"/>
        <w:gridCol w:w="3980"/>
      </w:tblGrid>
      <w:tr>
        <w:trPr/>
        <w:tc>
          <w:tcPr>
            <w:tcW w:w="875" w:type="dxa"/>
            <w:tcBorders/>
            <w:shd w:fill="FFFFFF" w:val="clear"/>
            <w:vAlign w:val="center"/>
          </w:tcPr>
          <w:p>
            <w:pPr>
              <w:pStyle w:val="TableContents"/>
              <w:bidi w:val="0"/>
              <w:spacing w:before="0" w:after="283"/>
              <w:jc w:val="left"/>
              <w:rPr>
                <w:b/>
                <w:sz w:val="20"/>
              </w:rPr>
            </w:pPr>
            <w:r>
              <w:rPr>
                <w:b/>
                <w:sz w:val="20"/>
              </w:rPr>
              <w:t>Item 2.02.</w:t>
            </w:r>
          </w:p>
        </w:tc>
        <w:tc>
          <w:tcPr>
            <w:tcW w:w="3980" w:type="dxa"/>
            <w:tcBorders/>
            <w:shd w:fill="FFFFFF" w:val="clear"/>
            <w:vAlign w:val="center"/>
          </w:tcPr>
          <w:p>
            <w:pPr>
              <w:pStyle w:val="TableContents"/>
              <w:bidi w:val="0"/>
              <w:spacing w:before="0" w:after="283"/>
              <w:jc w:val="both"/>
              <w:rPr>
                <w:b/>
                <w:sz w:val="20"/>
              </w:rPr>
            </w:pPr>
            <w:r>
              <w:rPr>
                <w:b/>
                <w:sz w:val="20"/>
              </w:rPr>
              <w:t>Results of Operations and Financial Condition.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2023, TMC the metals company Inc. (the “Company”) issued a press release announcing its results for the third quarter ended September 30, 2023 and providing a business update. A copy of the press release is furnished as Exhibit 99.1 hereto. In addition, the Company will hold a conference call on November 9, 2023 at 4:30 p.m. ET to discuss these results and the business update.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the press release attached as an exhibit 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835" w:type="dxa"/>
        <w:jc w:val="left"/>
        <w:tblInd w:w="0" w:type="dxa"/>
        <w:shd w:fill="FFFFFF" w:val="clear"/>
        <w:tblLayout w:type="fixed"/>
        <w:tblCellMar>
          <w:top w:w="0" w:type="dxa"/>
          <w:left w:w="0" w:type="dxa"/>
          <w:bottom w:w="0" w:type="dxa"/>
          <w:right w:w="0" w:type="dxa"/>
        </w:tblCellMar>
      </w:tblPr>
      <w:tblGrid>
        <w:gridCol w:w="875"/>
        <w:gridCol w:w="2960"/>
      </w:tblGrid>
      <w:tr>
        <w:trPr/>
        <w:tc>
          <w:tcPr>
            <w:tcW w:w="875" w:type="dxa"/>
            <w:tcBorders/>
            <w:shd w:fill="FFFFFF" w:val="clear"/>
            <w:vAlign w:val="center"/>
          </w:tcPr>
          <w:p>
            <w:pPr>
              <w:pStyle w:val="TableContents"/>
              <w:bidi w:val="0"/>
              <w:spacing w:before="0" w:after="283"/>
              <w:jc w:val="both"/>
              <w:rPr>
                <w:b/>
                <w:sz w:val="20"/>
              </w:rPr>
            </w:pPr>
            <w:r>
              <w:rPr>
                <w:b/>
                <w:sz w:val="20"/>
              </w:rPr>
              <w:t>Item 9.01.</w:t>
            </w:r>
          </w:p>
        </w:tc>
        <w:tc>
          <w:tcPr>
            <w:tcW w:w="2960" w:type="dxa"/>
            <w:tcBorders/>
            <w:shd w:fill="FFFFFF" w:val="clear"/>
            <w:vAlign w:val="center"/>
          </w:tcPr>
          <w:p>
            <w:pPr>
              <w:pStyle w:val="TableContents"/>
              <w:bidi w:val="0"/>
              <w:spacing w:before="0" w:after="283"/>
              <w:jc w:val="both"/>
              <w:rPr>
                <w:b/>
                <w:sz w:val="20"/>
              </w:rPr>
            </w:pPr>
            <w:r>
              <w:rPr>
                <w:b/>
                <w:sz w:val="20"/>
              </w:rPr>
              <w:t>Financial Statements and Exhibits.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995"/>
        <w:gridCol w:w="1010"/>
      </w:tblGrid>
      <w:tr>
        <w:trPr/>
        <w:tc>
          <w:tcPr>
            <w:tcW w:w="995" w:type="dxa"/>
            <w:tcBorders/>
            <w:vAlign w:val="center"/>
          </w:tcPr>
          <w:p>
            <w:pPr>
              <w:pStyle w:val="TableContents"/>
              <w:bidi w:val="0"/>
              <w:spacing w:before="0" w:after="283"/>
              <w:jc w:val="both"/>
              <w:rPr>
                <w:b/>
                <w:sz w:val="20"/>
              </w:rPr>
            </w:pPr>
            <w:r>
              <w:rPr>
                <w:b/>
                <w:sz w:val="20"/>
              </w:rPr>
              <w:t>Exhibit No.</w:t>
            </w:r>
          </w:p>
        </w:tc>
        <w:tc>
          <w:tcPr>
            <w:tcW w:w="1010" w:type="dxa"/>
            <w:tcBorders/>
            <w:vAlign w:val="center"/>
          </w:tcPr>
          <w:p>
            <w:pPr>
              <w:pStyle w:val="TableContents"/>
              <w:bidi w:val="0"/>
              <w:spacing w:before="0" w:after="283"/>
              <w:jc w:val="both"/>
              <w:rPr>
                <w:b/>
                <w:sz w:val="20"/>
              </w:rPr>
            </w:pPr>
            <w:r>
              <w:rPr>
                <w:b/>
                <w:sz w:val="20"/>
              </w:rPr>
              <w:t>Description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395"/>
        <w:gridCol w:w="3155"/>
      </w:tblGrid>
      <w:tr>
        <w:trPr/>
        <w:tc>
          <w:tcPr>
            <w:tcW w:w="395" w:type="dxa"/>
            <w:tcBorders/>
            <w:vAlign w:val="center"/>
          </w:tcPr>
          <w:p>
            <w:pPr>
              <w:pStyle w:val="TableContents"/>
              <w:bidi w:val="0"/>
              <w:spacing w:before="0" w:after="283"/>
              <w:jc w:val="both"/>
              <w:rPr/>
            </w:pPr>
            <w:hyperlink w:anchor="tm2324516d2_ex99-1.htm">
              <w:r>
                <w:rPr>
                  <w:rStyle w:val="InternetLink"/>
                  <w:sz w:val="20"/>
                </w:rPr>
                <w:t>99.1</w:t>
              </w:r>
            </w:hyperlink>
          </w:p>
        </w:tc>
        <w:tc>
          <w:tcPr>
            <w:tcW w:w="3155" w:type="dxa"/>
            <w:tcBorders/>
            <w:vAlign w:val="center"/>
          </w:tcPr>
          <w:p>
            <w:pPr>
              <w:pStyle w:val="TableContents"/>
              <w:bidi w:val="0"/>
              <w:spacing w:before="0" w:after="283"/>
              <w:jc w:val="both"/>
              <w:rPr/>
            </w:pPr>
            <w:hyperlink w:anchor="tm2324516d2_ex99-1.htm">
              <w:r>
                <w:rPr>
                  <w:rStyle w:val="InternetLink"/>
                  <w:sz w:val="20"/>
                </w:rPr>
                <w:t>Press Release dated November 9, 2023</w:t>
              </w:r>
            </w:hyperlink>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350"/>
        <w:gridCol w:w="6485"/>
      </w:tblGrid>
      <w:tr>
        <w:trPr/>
        <w:tc>
          <w:tcPr>
            <w:tcW w:w="350" w:type="dxa"/>
            <w:tcBorders/>
            <w:vAlign w:val="center"/>
          </w:tcPr>
          <w:p>
            <w:pPr>
              <w:pStyle w:val="TableContents"/>
              <w:bidi w:val="0"/>
              <w:spacing w:before="0" w:after="283"/>
              <w:jc w:val="both"/>
              <w:rPr>
                <w:sz w:val="20"/>
              </w:rPr>
            </w:pPr>
            <w:r>
              <w:rPr>
                <w:sz w:val="20"/>
              </w:rPr>
              <w:t>104</w:t>
            </w:r>
          </w:p>
        </w:tc>
        <w:tc>
          <w:tcPr>
            <w:tcW w:w="6485" w:type="dxa"/>
            <w:tcBorders/>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304" w:type="dxa"/>
        <w:jc w:val="left"/>
        <w:tblInd w:w="0" w:type="dxa"/>
        <w:shd w:fill="FFFFFF" w:val="clear"/>
        <w:tblLayout w:type="fixed"/>
        <w:tblCellMar>
          <w:top w:w="0" w:type="dxa"/>
          <w:left w:w="0" w:type="dxa"/>
          <w:bottom w:w="0" w:type="dxa"/>
          <w:right w:w="0" w:type="dxa"/>
        </w:tblCellMar>
      </w:tblPr>
      <w:tblGrid>
        <w:gridCol w:w="2015"/>
        <w:gridCol w:w="734"/>
        <w:gridCol w:w="2555"/>
      </w:tblGrid>
      <w:tr>
        <w:trPr/>
        <w:tc>
          <w:tcPr>
            <w:tcW w:w="2015" w:type="dxa"/>
            <w:tcBorders/>
            <w:shd w:fill="FFFFFF" w:val="clear"/>
            <w:vAlign w:val="center"/>
          </w:tcPr>
          <w:p>
            <w:pPr>
              <w:pStyle w:val="TableContents"/>
              <w:bidi w:val="0"/>
              <w:spacing w:before="0" w:after="283"/>
              <w:jc w:val="left"/>
              <w:rPr/>
            </w:pPr>
            <w:r>
              <w:rPr/>
              <w:t> </w:t>
            </w:r>
          </w:p>
        </w:tc>
        <w:tc>
          <w:tcPr>
            <w:tcW w:w="3289" w:type="dxa"/>
            <w:gridSpan w:val="2"/>
            <w:tcBorders/>
            <w:shd w:fill="FFFFFF" w:val="clear"/>
            <w:vAlign w:val="center"/>
          </w:tcPr>
          <w:p>
            <w:pPr>
              <w:pStyle w:val="TableContents"/>
              <w:bidi w:val="0"/>
              <w:spacing w:before="0" w:after="283"/>
              <w:jc w:val="left"/>
              <w:rPr>
                <w:b/>
                <w:sz w:val="20"/>
              </w:rPr>
            </w:pPr>
            <w:r>
              <w:rPr>
                <w:b/>
                <w:sz w:val="20"/>
              </w:rPr>
              <w:t>TMC THE METALS COMPANY INC.</w:t>
            </w:r>
          </w:p>
        </w:tc>
      </w:tr>
      <w:tr>
        <w:trPr/>
        <w:tc>
          <w:tcPr>
            <w:tcW w:w="201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pPr>
            <w:r>
              <w:rPr/>
              <w:t> </w:t>
            </w:r>
          </w:p>
        </w:tc>
        <w:tc>
          <w:tcPr>
            <w:tcW w:w="2555" w:type="dxa"/>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sz w:val="20"/>
              </w:rPr>
            </w:pPr>
            <w:r>
              <w:rPr>
                <w:sz w:val="20"/>
              </w:rPr>
              <w:t>Date: November 9, 2023</w:t>
            </w:r>
          </w:p>
        </w:tc>
        <w:tc>
          <w:tcPr>
            <w:tcW w:w="734" w:type="dxa"/>
            <w:tcBorders/>
            <w:shd w:fill="FFFFFF" w:val="clear"/>
            <w:vAlign w:val="center"/>
          </w:tcPr>
          <w:p>
            <w:pPr>
              <w:pStyle w:val="TableContents"/>
              <w:bidi w:val="0"/>
              <w:spacing w:before="0" w:after="283"/>
              <w:jc w:val="left"/>
              <w:rPr>
                <w:sz w:val="20"/>
              </w:rPr>
            </w:pPr>
            <w:r>
              <w:rPr>
                <w:sz w:val="20"/>
              </w:rPr>
              <w:t>By:</w:t>
            </w:r>
          </w:p>
        </w:tc>
        <w:tc>
          <w:tcPr>
            <w:tcW w:w="255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Craig Shesky</w:t>
            </w:r>
          </w:p>
        </w:tc>
      </w:tr>
      <w:tr>
        <w:trPr/>
        <w:tc>
          <w:tcPr>
            <w:tcW w:w="201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sz w:val="20"/>
              </w:rPr>
            </w:pPr>
            <w:r>
              <w:rPr>
                <w:sz w:val="20"/>
              </w:rPr>
              <w:t>Name:</w:t>
            </w:r>
          </w:p>
        </w:tc>
        <w:tc>
          <w:tcPr>
            <w:tcW w:w="2555" w:type="dxa"/>
            <w:tcBorders/>
            <w:shd w:fill="FFFFFF" w:val="clear"/>
            <w:vAlign w:val="center"/>
          </w:tcPr>
          <w:p>
            <w:pPr>
              <w:pStyle w:val="TableContents"/>
              <w:bidi w:val="0"/>
              <w:spacing w:before="0" w:after="283"/>
              <w:jc w:val="left"/>
              <w:rPr>
                <w:sz w:val="20"/>
              </w:rPr>
            </w:pPr>
            <w:r>
              <w:rPr>
                <w:sz w:val="20"/>
              </w:rPr>
              <w:t>Craig Shesky</w:t>
            </w:r>
          </w:p>
        </w:tc>
      </w:tr>
      <w:tr>
        <w:trPr/>
        <w:tc>
          <w:tcPr>
            <w:tcW w:w="201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sz w:val="20"/>
              </w:rPr>
            </w:pPr>
            <w:r>
              <w:rPr>
                <w:sz w:val="20"/>
              </w:rPr>
              <w:t>Title:</w:t>
            </w:r>
          </w:p>
        </w:tc>
        <w:tc>
          <w:tcPr>
            <w:tcW w:w="2555" w:type="dxa"/>
            <w:tcBorders/>
            <w:shd w:fill="FFFFFF" w:val="clear"/>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jc w:val="left"/>
        <w:rPr/>
      </w:pPr>
      <w:bookmarkStart w:id="27" w:name="tm2324516d2_ex99-1.htm"/>
      <w:bookmarkStart w:id="28" w:name="kstm2324516d2_ex991"/>
      <w:bookmarkEnd w:id="27"/>
      <w:bookmarkEnd w:id="28"/>
      <w:r>
        <w:rPr/>
        <w:t> </w:t>
      </w:r>
      <w:r>
        <w:br w:type="page"/>
      </w:r>
    </w:p>
    <w:p>
      <w:pPr>
        <w:pStyle w:val="TextBody"/>
        <w:bidi w:val="0"/>
        <w:jc w:val="right"/>
        <w:rPr>
          <w:sz w:val="20"/>
        </w:rPr>
      </w:pPr>
      <w:r>
        <w:rPr>
          <w:b/>
          <w:sz w:val="20"/>
        </w:rPr>
        <w:t>Exhibit 99.1</w:t>
      </w:r>
      <w:r>
        <w:rPr>
          <w:sz w:val="2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Metals Company Provides Third Quarter 2023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Nov. 9, 2023 — TMC the metals company Inc. (Nasdaq: TMC) (“TMC” or “the Company”), an explorer of lower-impact battery metals from seafloor polymetallic nodules, today provided a corporate update and financial results for the third quarter ending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2023 Financial Highlights</w:t>
      </w:r>
    </w:p>
    <w:p>
      <w:pPr>
        <w:pStyle w:val="TextBody"/>
        <w:bidi w:val="0"/>
        <w:spacing w:before="0" w:after="0"/>
        <w:ind w:left="0" w:right="0" w:hanging="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85"/>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7925" w:type="dxa"/>
            <w:tcBorders/>
            <w:vAlign w:val="center"/>
          </w:tcPr>
          <w:p>
            <w:pPr>
              <w:pStyle w:val="TableContents"/>
              <w:bidi w:val="0"/>
              <w:spacing w:before="0" w:after="283"/>
              <w:jc w:val="left"/>
              <w:rPr>
                <w:sz w:val="20"/>
              </w:rPr>
            </w:pPr>
            <w:r>
              <w:rPr>
                <w:sz w:val="20"/>
              </w:rPr>
              <w:t>Net loss of $12.5 million and net loss per share of $0.04 for the quarter ended September 30, 2023</w:t>
            </w:r>
          </w:p>
        </w:tc>
      </w:tr>
    </w:tbl>
    <w:tbl>
      <w:tblPr>
        <w:tblW w:w="5553" w:type="dxa"/>
        <w:jc w:val="left"/>
        <w:tblInd w:w="0" w:type="dxa"/>
        <w:tblLayout w:type="fixed"/>
        <w:tblCellMar>
          <w:top w:w="0" w:type="dxa"/>
          <w:left w:w="0" w:type="dxa"/>
          <w:bottom w:w="0" w:type="dxa"/>
          <w:right w:w="0" w:type="dxa"/>
        </w:tblCellMar>
      </w:tblPr>
      <w:tblGrid>
        <w:gridCol w:w="38"/>
        <w:gridCol w:w="185"/>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5330" w:type="dxa"/>
            <w:tcBorders/>
            <w:vAlign w:val="center"/>
          </w:tcPr>
          <w:p>
            <w:pPr>
              <w:pStyle w:val="TableContents"/>
              <w:bidi w:val="0"/>
              <w:spacing w:before="0" w:after="283"/>
              <w:jc w:val="left"/>
              <w:rPr>
                <w:sz w:val="20"/>
              </w:rPr>
            </w:pPr>
            <w:r>
              <w:rPr>
                <w:sz w:val="20"/>
              </w:rPr>
              <w:t>Total cash of approximately $22.5 million at September 30, 2023</w:t>
            </w:r>
          </w:p>
        </w:tc>
      </w:tr>
    </w:tbl>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2" w:type="dxa"/>
            <w:tcBorders/>
            <w:vAlign w:val="center"/>
          </w:tcPr>
          <w:p>
            <w:pPr>
              <w:pStyle w:val="TableContents"/>
              <w:bidi w:val="0"/>
              <w:spacing w:before="0" w:after="283"/>
              <w:jc w:val="left"/>
              <w:rPr/>
            </w:pPr>
            <w:r>
              <w:rPr/>
              <w:t>Total liquidity of approximately $56 million at September 30, 2023 inclusive of existing cash, $9 million expected additional closings from ERAS Capital LLC in the previously announced Registered Direct Offering, and the undrawn $25 million unsecured credit facility from an affiliate of Allseas Group SA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TMC Chairman and CEO, commented: “We are laser-focused on putting together the best possible application to allow us to move from exploration to exploitation phase on our NORI -D contract area, and we remain focused on targeting commercial production as early as Q4 2025. To this end, the pre-feasibility study (“PFS”) and Environmental Impact Statement (“EIS”) are currently taking most of TMC's resources and attention.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offshore segment of the PFS, together with our strategic partner Allseas, we have gone through several mine planning iterations and design reviews of the Project Zero nodule collection and transport system with expected capacity to handle 3 million wet tonnes of nodules per year. The offshore EIS process is generating very encouraging insights based on last year's nodule collection test which are informing our designs and plans. We have also started sharing these insights with stakeholders at ISA events and, importantly, we are now in a position to meaningfully engage with the ocean conservation community—an invitation I extended through my open letter earlier this month. To further strengthen our EIS, we are planning to conduct an additional offshore campaign to revisit the collector test site 12 months after completion of the initial collector tests. To support our operations, including this additional campaign, in August 2023 we announced a Registered Direct Offering of common shares and accompanying Class A warrants at $2 per share, with anticipated gross proceeds to TMC of approximately $24.9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onshore segment of the PFS, we have made real progress in Japan where Pacific Metals Co Ltd (PAMCO) has done considerable work and validated that seafloor nodules can be tolled through their facility producing intermediate products that align with our specifications. Therefore, we believe all of the pieces are starting to come together—albeit we still have a few more quarters’ worth of hard work ahead of us to deliver an application for an exploitation contract of which we can all be proud.”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NORI Researchers to Revisit Site of Last Year’s Nodule Collection System Test:</w:t>
            </w:r>
            <w:r>
              <w:rPr>
                <w:rFonts w:ascii="Times New Roman;Times;Serif" w:hAnsi="Times New Roman;Times;Serif"/>
              </w:rPr>
              <w:t xml:space="preserve"> In November 2023, TMC and its subsidiary Nauru Ocean Resources Inc. (NORI) provided further details on a previously announced offshore campaign to assess seafloor ecosystem function in NORI Area D a year after its pilot collection system trials. Marine scientists will conduct an array of studies to collect further environmental data on ecosystem recovery and functioning in the area of the pilot nodule collection system test as well as in areas adjacent to and at various distances from the collector tracks, which are expected to increase the quality of NORI’s application for an exploitation contract expected to be lodged following the July 2024 session of the International Seabed Authority (ISA).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2" w:type="dxa"/>
            <w:tcBorders/>
            <w:vAlign w:val="center"/>
          </w:tcPr>
          <w:p>
            <w:pPr>
              <w:pStyle w:val="TableContents"/>
              <w:bidi w:val="0"/>
              <w:spacing w:before="0" w:after="283"/>
              <w:jc w:val="left"/>
              <w:rPr/>
            </w:pPr>
            <w:r>
              <w:rPr>
                <w:b/>
              </w:rPr>
              <w:t>TMC Releases Second Annual Impact Report:</w:t>
            </w:r>
            <w:r>
              <w:rPr/>
              <w:t> In October 2023, TMC published its 2022 Impact Report, which provides an update on key milestones achieved in its assessment of the environmental and social impacts of seafloor nodule collection and those impacts relative to land-based alternatives, and the efforts TMC is undertaking to eliminate or reduce such impacts. As part of the Impact Report, TMC also introduced its Sustainability Approach highlighting its thought processes about how TMC intends to fully align its activities to environmental, social and governance (ESG) principles.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2" w:type="dxa"/>
            <w:tcBorders/>
            <w:vAlign w:val="center"/>
          </w:tcPr>
          <w:p>
            <w:pPr>
              <w:pStyle w:val="TableContents"/>
              <w:bidi w:val="0"/>
              <w:spacing w:before="0" w:after="283"/>
              <w:jc w:val="left"/>
              <w:rPr/>
            </w:pPr>
            <w:r>
              <w:rPr>
                <w:b/>
              </w:rPr>
              <w:t xml:space="preserve">TMC Provides a Closing Update on Registered Direct Offering: </w:t>
            </w:r>
            <w:r>
              <w:rPr/>
              <w:t>In August 2023, TMC entered into a securities purchase agreement for a Registered Direct Offering of up to 12,461,540 of its common shares and Class A warrants to purchase up to 6,230,770 common shares for expected gross proceeds of $24.9 million, the majority of which has already been received. We expect that two additional closings will occur on or before November 30, 2023 and January 31, 2024 for approximately $2.5 million and $6.5 million, respectively, from ERAS Capital LLC. Each common share and the accompanying Class A Warrant to purchase 0.5 of a common share were sold at a price of $2.00. The exercise price of the Class A warrants is $3.00 with a mandatory warrant exercise provision if the 30-day volume weighted-average price (VWAP) of TMC’s common stock exceeds $6.50.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2" w:type="dxa"/>
            <w:tcBorders/>
            <w:vAlign w:val="center"/>
          </w:tcPr>
          <w:p>
            <w:pPr>
              <w:pStyle w:val="TableContents"/>
              <w:bidi w:val="0"/>
              <w:spacing w:before="0" w:after="283"/>
              <w:jc w:val="left"/>
              <w:rPr/>
            </w:pPr>
            <w:r>
              <w:rPr>
                <w:b/>
              </w:rPr>
              <w:t xml:space="preserve">Next Phase of Adaptive Management System Development Announced: </w:t>
            </w:r>
            <w:r>
              <w:rPr/>
              <w:t>Following the delivery of a prototype Digital Twin from Kongsberg Digital in 2022 and its deployment during the collector tests in the same year, TMC announced in September 2023 that it had entered into the next phase of its relationship with Kongsberg Digital to further develop the Digital Twin which will integrate multiple data streams from TMC’s future production system and is designed to enable 3D visualization of its deep-sea operating environment, providing ‘eyes and ears’ to the regulator and stakeholders. The Digital Twin is a core component of TMC’s broader Adaptive Management System (AMS) which is designed to utilise AI and hybrid machine learning capabilities of the Digital Twin with expert analysis to ensure operations remain within environmental impact thresholds, a system with potential applications for resource operations at sea and on land.</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Update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45" w:type="dxa"/>
            <w:tcBorders/>
            <w:vAlign w:val="center"/>
          </w:tcPr>
          <w:p>
            <w:pPr>
              <w:pStyle w:val="TableContents"/>
              <w:bidi w:val="0"/>
              <w:spacing w:before="0" w:after="283"/>
              <w:jc w:val="left"/>
              <w:rPr>
                <w:sz w:val="20"/>
              </w:rPr>
            </w:pPr>
            <w:r>
              <w:rPr>
                <w:b/>
                <w:sz w:val="20"/>
              </w:rPr>
              <w:t>International Seabed Authority: </w:t>
            </w:r>
            <w:r>
              <w:rPr>
                <w:sz w:val="20"/>
              </w:rPr>
              <w:t>From October 30 to November 8, 2023, Part III of the ISA’s 28</w:t>
            </w:r>
            <w:r>
              <w:rPr>
                <w:position w:val="7"/>
                <w:sz w:val="16"/>
                <w:sz w:val="20"/>
              </w:rPr>
              <w:t>th</w:t>
            </w:r>
            <w:r>
              <w:rPr>
                <w:sz w:val="20"/>
              </w:rPr>
              <w:t> Session took place in Kingston, Jamaica, where the Council moved the regulations into their next phase of negotiation. Additional formal sessions will be held in March 2024 and July 2024 alongside informal intersessional working groups.</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2" w:type="dxa"/>
            <w:tcBorders/>
            <w:vAlign w:val="center"/>
          </w:tcPr>
          <w:p>
            <w:pPr>
              <w:pStyle w:val="TableContents"/>
              <w:bidi w:val="0"/>
              <w:spacing w:before="0" w:after="283"/>
              <w:jc w:val="left"/>
              <w:rPr/>
            </w:pPr>
            <w:r>
              <w:rPr>
                <w:b/>
              </w:rPr>
              <w:t>Letter from US House Leaders from Texas in Support of Funding for TMC Feasibility Study:</w:t>
            </w:r>
            <w:r>
              <w:rPr/>
              <w:t xml:space="preserve"> In November 2023, TMC welcomed a letter from Members of the US House of Representatives from Texas to the Department of Defense in support of funding a bankable feasibility study for a nodule processing plant along the Texas Gulf Coast. The letter recognizes such a plant represents an investment in US national security, domestic economy, and production of clean energy materials. Given the concentration of robust marine, energy and chemicals industries concentrated along the Texas Gulf Coast, the region could be well -suited to support TMC’s Project One facility requirements but does not change TMC’s capital-light approach to initial production using existing processing facilities in Asia.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2023, TMC held cash of $22.5 million and held no debt. We believe that our cash on hand, the remaining expected net proceeds from the Registered Direct Offering and borrowing availability under our recently amended and extended credit facility with an affiliate of Allseas will be sufficient to meet our working capital and capital expenditure commitments for at least the next twelve months from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reported net loss of approximately $12.5 million, or $0.04 per share for the quarter ended September 30, 2023, compared to net loss of $27.9 million, or $0.12 per share, for the quarter ended September 30, 2022. Exploration and evaluation expenses during the quarter ended September 30, 2023 were $7.9 million compared to $22.7 million for the quarter ended September 30, 2022, a significant decrease in 2023 as the prior year included active work on the collector test which was completed in November 2022, partially offset by increased spending on prefeasibility studies and engineering work which commenced in the fourth quarter of 2022. General and administrative expenses were $4.6 million for the quarter ended September 30, 2023 compared to $5.9 million for the quarter ended September 30, 2022, reflecting lower share-based compensation in the 2023 period, as options with specific market capitalization vesting conditions were fully amortized in 2022, partially offset by higher spending on consulting and advisory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will hold a conference call today at 4:30 p.m. ET to provide an update on recent corporate developments, third quarter 2023 financial results and upcoming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2023 Conference Call Details</w:t>
      </w:r>
    </w:p>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105"/>
        <w:gridCol w:w="60"/>
        <w:gridCol w:w="2390"/>
      </w:tblGrid>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Thursday, November 9, 2023</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pm ET</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Audio-only Dial-in:</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 Here</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Virtual webcast w/ slides: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with the links above at least ten minutes prior to the conference call. The virtual webcast will be available for replay in the ‘Investors’ tab of the Company’s website under ‘Investors’ &gt; ‘Media’ &gt; ‘Events and Presentations’, approximately two hours after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an explorer of lower-impact battery metals from seafloor polymetallic nodules, on a dual mission: (1) supply metals for the global energy transition with the least possible negative impacts on planet and people and (2) trace, recover and recycle the metals we supply to help create a metals commons that can be used in perpetuity.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More information is available at www.metals.co.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Info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 media@metals.co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 investors@metals.co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including related to TMC’s current expectations and projections related to its financial condition and business outlook, how long TMC’s cash and liquidity will fund operations, the adoption of final regulations by the ISA, including the timing and content thereof, TMC’s expectations with respect to filing an application for an exploitation contract or an application for a plan of work for exploitation with the ISA and the timing and content thereof, including the impact on such application the results of the planned post-collector test campaign may have, the timing and content of the PFS and EIS, Allseas Group S.A. and NORI’s plans for the development of the commercial offshore system, including where offshore systems may be located, and the timing, terms, and amount of proceeds from the recently announced registered direct offering.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TMC’s ability to close the final two expected closings of the Registered Direct Offering; the risk that the investors will not exercise the warrants issued or issuable as part of the registered direct offering; TMC’s strategies and future financial performance; the ISA’s ability to timely adopt the final mining regulations and/or willingness to review and/or approve a plan of work for exploitation under the United Nations Convention on the Laws of the Sea (UNCLOS); TMC’s ability to obtain exploitation contracts or approved plans of work for exploitation for its areas in the Clarion Clipperton Zone; regulatory uncertainties and the impact of government regulation and political instability on TMC’s resource activities; changes to any of the laws, rules, regulations or policies to which TMC is subject, including the terms of the final mining regulations, if any, adopted by ISA and the potential timing thereof; the impact of extensive and costly environmental requirements on TMC’s operations; environmental liabilities; the impact of polymetallic nodule collection on biodiversity in the Clarion Clipperton Zone and recovery rates of impacted ecosystems; TMC’s ability to develop minerals in sufficient grade or quantities to justify commercial operations; the lack of development of seafloor polymetallic nodule deposit; TMC’s ability to successfully enter into binding agreements with Allseas Group S.A. and other parties in which it is in discussions, if any;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TMC’s dependence on Allseas Group S.A.; fluctuations in transportation costs; fluctuations in metals prices; testing and manufacturing of equipment; risks associated with TMC’s limited operating history, limited cash resources and need for additional financing; risks associated with TMC’s intellectual property; Low Carbon Royalties’ limited operating history; and other risks and uncertainties, including those under Item 1A “Risk Factors” in TMC’s Annual Report on Form 10-K for the year ended December 31, 2022, filed by TMC with the Securities and Exchange Commission (“SEC”) on March 27, 2023, as updated and/or supplemented by TMC’s Quarterly Report on Form 10-Q for the quarter ended June 30, 2023, filed with the SEC on August 14, 2023, and in TMC’s other future filings with the SEC, including TMC’s Quarterly Report on Form 10-Q for the quarter ended September 30, 2023 when filed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TMC the metals company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(Unaudited) </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74"/>
        <w:gridCol w:w="60"/>
        <w:gridCol w:w="170"/>
        <w:gridCol w:w="1038"/>
        <w:gridCol w:w="80"/>
        <w:gridCol w:w="60"/>
        <w:gridCol w:w="159"/>
        <w:gridCol w:w="967"/>
        <w:gridCol w:w="97"/>
      </w:tblGrid>
      <w:tr>
        <w:trPr/>
        <w:tc>
          <w:tcPr>
            <w:tcW w:w="7574" w:type="dxa"/>
            <w:tcBorders>
              <w:bottom w:val="single" w:sz="8" w:space="0" w:color="000000"/>
            </w:tcBorders>
            <w:vAlign w:val="center"/>
          </w:tcPr>
          <w:p>
            <w:pPr>
              <w:pStyle w:val="TableContents"/>
              <w:bidi w:val="0"/>
              <w:spacing w:before="0" w:after="283"/>
              <w:jc w:val="left"/>
              <w:rPr>
                <w:b/>
                <w:sz w:val="20"/>
              </w:rPr>
            </w:pPr>
            <w:r>
              <w:rPr>
                <w:b/>
                <w:sz w:val="20"/>
              </w:rPr>
              <w:t>ASSETS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br/>
              <w:t xml:space="preserve">September 30, </w:t>
              <w:br/>
              <w:t>2023</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br/>
              <w:t>December 31,</w:t>
              <w:br/>
              <w:t>2022</w:t>
            </w:r>
          </w:p>
        </w:tc>
        <w:tc>
          <w:tcPr>
            <w:tcW w:w="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tcMar>
              <w:bottom w:w="0" w:type="dxa"/>
            </w:tcMar>
            <w:vAlign w:val="center"/>
          </w:tcPr>
          <w:p>
            <w:pPr>
              <w:pStyle w:val="TableContents"/>
              <w:bidi w:val="0"/>
              <w:spacing w:before="0" w:after="283"/>
              <w:jc w:val="left"/>
              <w:rPr>
                <w:b/>
                <w:sz w:val="20"/>
              </w:rPr>
            </w:pPr>
            <w:r>
              <w:rPr>
                <w:b/>
                <w:sz w:val="20"/>
              </w:rPr>
              <w:t>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sz w:val="20"/>
              </w:rPr>
            </w:pPr>
            <w:r>
              <w:rPr>
                <w:sz w:val="20"/>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sz w:val="20"/>
              </w:rPr>
            </w:pPr>
            <w:r>
              <w:rPr>
                <w:sz w:val="20"/>
              </w:rPr>
              <w:t>$</w:t>
            </w:r>
          </w:p>
        </w:tc>
        <w:tc>
          <w:tcPr>
            <w:tcW w:w="1038" w:type="dxa"/>
            <w:tcBorders/>
            <w:shd w:fill="FFFFFF" w:val="clear"/>
            <w:tcMar>
              <w:bottom w:w="0" w:type="dxa"/>
            </w:tcMar>
            <w:vAlign w:val="center"/>
          </w:tcPr>
          <w:p>
            <w:pPr>
              <w:pStyle w:val="TableContents"/>
              <w:bidi w:val="0"/>
              <w:spacing w:before="0" w:after="283"/>
              <w:jc w:val="right"/>
              <w:rPr>
                <w:sz w:val="20"/>
              </w:rPr>
            </w:pPr>
            <w:r>
              <w:rPr>
                <w:sz w:val="20"/>
              </w:rPr>
              <w:t>22,548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sz w:val="20"/>
              </w:rPr>
            </w:pPr>
            <w:r>
              <w:rPr>
                <w:sz w:val="20"/>
              </w:rPr>
              <w:t>$</w:t>
            </w:r>
          </w:p>
        </w:tc>
        <w:tc>
          <w:tcPr>
            <w:tcW w:w="967" w:type="dxa"/>
            <w:tcBorders/>
            <w:shd w:fill="FFFFFF" w:val="clear"/>
            <w:tcMar>
              <w:bottom w:w="0" w:type="dxa"/>
            </w:tcMar>
            <w:vAlign w:val="center"/>
          </w:tcPr>
          <w:p>
            <w:pPr>
              <w:pStyle w:val="TableContents"/>
              <w:bidi w:val="0"/>
              <w:spacing w:before="0" w:after="283"/>
              <w:jc w:val="right"/>
              <w:rPr>
                <w:sz w:val="20"/>
              </w:rPr>
            </w:pPr>
            <w:r>
              <w:rPr>
                <w:sz w:val="20"/>
              </w:rPr>
              <w:t>46,842</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sz w:val="20"/>
              </w:rPr>
            </w:pPr>
            <w:r>
              <w:rPr>
                <w:sz w:val="20"/>
              </w:rPr>
              <w:t>Receivables and prepayments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38" w:type="dxa"/>
            <w:tcBorders>
              <w:bottom w:val="single" w:sz="8" w:space="0" w:color="000000"/>
            </w:tcBorders>
            <w:shd w:fill="CCEEFF" w:val="clear"/>
            <w:vAlign w:val="center"/>
          </w:tcPr>
          <w:p>
            <w:pPr>
              <w:pStyle w:val="TableContents"/>
              <w:bidi w:val="0"/>
              <w:spacing w:before="0" w:after="283"/>
              <w:jc w:val="right"/>
              <w:rPr>
                <w:sz w:val="20"/>
              </w:rPr>
            </w:pPr>
            <w:r>
              <w:rPr>
                <w:sz w:val="20"/>
              </w:rPr>
              <w:t>5,325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967" w:type="dxa"/>
            <w:tcBorders>
              <w:bottom w:val="single" w:sz="8" w:space="0" w:color="000000"/>
            </w:tcBorders>
            <w:shd w:fill="CCEEFF" w:val="clear"/>
            <w:vAlign w:val="center"/>
          </w:tcPr>
          <w:p>
            <w:pPr>
              <w:pStyle w:val="TableContents"/>
              <w:bidi w:val="0"/>
              <w:spacing w:before="0" w:after="283"/>
              <w:jc w:val="right"/>
              <w:rPr>
                <w:sz w:val="20"/>
              </w:rPr>
            </w:pPr>
            <w:r>
              <w:rPr>
                <w:sz w:val="20"/>
              </w:rPr>
              <w:t>2,760</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sz w:val="20"/>
              </w:rPr>
            </w:pPr>
            <w:r>
              <w:rPr>
                <w:sz w:val="20"/>
              </w:rPr>
              <w:t>27,873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sz w:val="20"/>
              </w:rPr>
            </w:pPr>
            <w:r>
              <w:rPr>
                <w:sz w:val="20"/>
              </w:rPr>
              <w:t>49,602</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b/>
                <w:sz w:val="20"/>
              </w:rPr>
            </w:pPr>
            <w:r>
              <w:rPr>
                <w:b/>
                <w:sz w:val="20"/>
              </w:rPr>
              <w:t>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sz w:val="20"/>
              </w:rPr>
            </w:pPr>
            <w:r>
              <w:rPr>
                <w:sz w:val="20"/>
              </w:rPr>
              <w:t>Exploration contracts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sz w:val="20"/>
              </w:rPr>
            </w:pPr>
            <w:r>
              <w:rPr>
                <w:sz w:val="20"/>
              </w:rPr>
              <w:t>42,900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sz w:val="20"/>
              </w:rPr>
            </w:pPr>
            <w:r>
              <w:rPr>
                <w:sz w:val="20"/>
              </w:rPr>
              <w:t>43,150</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sz w:val="20"/>
              </w:rPr>
            </w:pPr>
            <w:r>
              <w:rPr>
                <w:sz w:val="20"/>
              </w:rPr>
              <w:t>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sz w:val="20"/>
              </w:rPr>
            </w:pPr>
            <w:r>
              <w:rPr>
                <w:sz w:val="20"/>
              </w:rPr>
              <w:t>2,078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sz w:val="20"/>
              </w:rPr>
            </w:pPr>
            <w:r>
              <w:rPr>
                <w:sz w:val="20"/>
              </w:rPr>
              <w:t>2,025</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sz w:val="20"/>
              </w:rPr>
            </w:pPr>
            <w:r>
              <w:rPr>
                <w:sz w:val="20"/>
              </w:rPr>
              <w:t>Right-of-use asset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sz w:val="20"/>
              </w:rPr>
            </w:pPr>
            <w:r>
              <w:rPr>
                <w:sz w:val="20"/>
              </w:rPr>
              <w:t>6,198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sz w:val="20"/>
              </w:rPr>
            </w:pPr>
            <w:r>
              <w:rPr>
                <w:sz w:val="20"/>
              </w:rPr>
              <w:t>-</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sz w:val="20"/>
              </w:rPr>
            </w:pPr>
            <w:r>
              <w:rPr>
                <w:sz w:val="20"/>
              </w:rPr>
              <w:t>Investment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38" w:type="dxa"/>
            <w:tcBorders>
              <w:bottom w:val="single" w:sz="8" w:space="0" w:color="000000"/>
            </w:tcBorders>
            <w:shd w:fill="CCEEFF" w:val="clear"/>
            <w:vAlign w:val="center"/>
          </w:tcPr>
          <w:p>
            <w:pPr>
              <w:pStyle w:val="TableContents"/>
              <w:bidi w:val="0"/>
              <w:spacing w:before="0" w:after="283"/>
              <w:jc w:val="right"/>
              <w:rPr>
                <w:sz w:val="20"/>
              </w:rPr>
            </w:pPr>
            <w:r>
              <w:rPr>
                <w:sz w:val="20"/>
              </w:rPr>
              <w:t>8,525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967"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sz w:val="20"/>
              </w:rPr>
            </w:pPr>
            <w:r>
              <w:rPr>
                <w:sz w:val="20"/>
              </w:rPr>
              <w:t>59,701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sz w:val="20"/>
              </w:rPr>
            </w:pPr>
            <w:r>
              <w:rPr>
                <w:sz w:val="20"/>
              </w:rPr>
              <w:t>45,175</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38" w:type="dxa"/>
            <w:tcBorders>
              <w:bottom w:val="single" w:sz="8" w:space="0" w:color="000000"/>
            </w:tcBorders>
            <w:shd w:fill="CCEEFF" w:val="cle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967" w:type="dxa"/>
            <w:tcBorders>
              <w:bottom w:val="single" w:sz="8" w:space="0" w:color="000000"/>
            </w:tcBorders>
            <w:shd w:fill="CCEEFF" w:val="clear"/>
            <w:vAlign w:val="center"/>
          </w:tcPr>
          <w:p>
            <w:pPr>
              <w:pStyle w:val="TableContents"/>
              <w:bidi w:val="0"/>
              <w:spacing w:before="0" w:after="283"/>
              <w:jc w:val="righ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b/>
                <w:sz w:val="20"/>
              </w:rPr>
            </w:pPr>
            <w:r>
              <w:rPr>
                <w:b/>
                <w:sz w:val="20"/>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b/>
                <w:sz w:val="20"/>
              </w:rPr>
            </w:pPr>
            <w:r>
              <w:rPr>
                <w:b/>
                <w:sz w:val="20"/>
              </w:rPr>
              <w:t>$</w:t>
            </w:r>
          </w:p>
        </w:tc>
        <w:tc>
          <w:tcPr>
            <w:tcW w:w="1038" w:type="dxa"/>
            <w:tcBorders>
              <w:bottom w:val="single" w:sz="8" w:space="0" w:color="000000"/>
            </w:tcBorders>
            <w:shd w:fill="FFFFFF" w:val="clear"/>
            <w:vAlign w:val="center"/>
          </w:tcPr>
          <w:p>
            <w:pPr>
              <w:pStyle w:val="TableContents"/>
              <w:bidi w:val="0"/>
              <w:spacing w:before="0" w:after="283"/>
              <w:jc w:val="right"/>
              <w:rPr>
                <w:b/>
                <w:sz w:val="20"/>
              </w:rPr>
            </w:pPr>
            <w:r>
              <w:rPr>
                <w:b/>
                <w:sz w:val="20"/>
              </w:rPr>
              <w:t>87,574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FFFFFF" w:val="clear"/>
            <w:vAlign w:val="center"/>
          </w:tcPr>
          <w:p>
            <w:pPr>
              <w:pStyle w:val="TableContents"/>
              <w:bidi w:val="0"/>
              <w:spacing w:before="0" w:after="283"/>
              <w:jc w:val="left"/>
              <w:rPr>
                <w:b/>
                <w:sz w:val="20"/>
              </w:rPr>
            </w:pPr>
            <w:r>
              <w:rPr>
                <w:b/>
                <w:sz w:val="20"/>
              </w:rPr>
              <w:t>$</w:t>
            </w:r>
          </w:p>
        </w:tc>
        <w:tc>
          <w:tcPr>
            <w:tcW w:w="967" w:type="dxa"/>
            <w:tcBorders>
              <w:bottom w:val="single" w:sz="8" w:space="0" w:color="000000"/>
            </w:tcBorders>
            <w:shd w:fill="FFFFFF" w:val="clear"/>
            <w:vAlign w:val="center"/>
          </w:tcPr>
          <w:p>
            <w:pPr>
              <w:pStyle w:val="TableContents"/>
              <w:bidi w:val="0"/>
              <w:spacing w:before="0" w:after="283"/>
              <w:jc w:val="right"/>
              <w:rPr>
                <w:b/>
                <w:sz w:val="20"/>
              </w:rPr>
            </w:pPr>
            <w:r>
              <w:rPr>
                <w:b/>
                <w:sz w:val="20"/>
              </w:rPr>
              <w:t>94,777</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b/>
                <w:sz w:val="20"/>
              </w:rPr>
            </w:pPr>
            <w:r>
              <w:rPr>
                <w:b/>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b/>
                <w:sz w:val="20"/>
              </w:rPr>
            </w:pPr>
            <w:r>
              <w:rPr>
                <w:b/>
                <w:sz w:val="20"/>
              </w:rPr>
              <w:t>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sz w:val="20"/>
              </w:rPr>
            </w:pPr>
            <w:r>
              <w:rPr>
                <w:sz w:val="20"/>
              </w:rPr>
              <w:t>Accounts payable and accrued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038" w:type="dxa"/>
            <w:tcBorders>
              <w:bottom w:val="single" w:sz="8" w:space="0" w:color="000000"/>
            </w:tcBorders>
            <w:shd w:fill="FFFFFF" w:val="clear"/>
            <w:vAlign w:val="center"/>
          </w:tcPr>
          <w:p>
            <w:pPr>
              <w:pStyle w:val="TableContents"/>
              <w:bidi w:val="0"/>
              <w:spacing w:before="0" w:after="283"/>
              <w:jc w:val="right"/>
              <w:rPr>
                <w:sz w:val="20"/>
              </w:rPr>
            </w:pPr>
            <w:r>
              <w:rPr>
                <w:sz w:val="20"/>
              </w:rPr>
              <w:t>19,344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FFFFFF" w:val="clear"/>
            <w:vAlign w:val="center"/>
          </w:tcPr>
          <w:p>
            <w:pPr>
              <w:pStyle w:val="TableContents"/>
              <w:bidi w:val="0"/>
              <w:spacing w:before="0" w:after="283"/>
              <w:jc w:val="left"/>
              <w:rPr/>
            </w:pPr>
            <w:r>
              <w:rPr/>
              <w:t> </w:t>
            </w:r>
          </w:p>
        </w:tc>
        <w:tc>
          <w:tcPr>
            <w:tcW w:w="967" w:type="dxa"/>
            <w:tcBorders>
              <w:bottom w:val="single" w:sz="8" w:space="0" w:color="000000"/>
            </w:tcBorders>
            <w:shd w:fill="FFFFFF" w:val="clear"/>
            <w:vAlign w:val="center"/>
          </w:tcPr>
          <w:p>
            <w:pPr>
              <w:pStyle w:val="TableContents"/>
              <w:bidi w:val="0"/>
              <w:spacing w:before="0" w:after="283"/>
              <w:jc w:val="right"/>
              <w:rPr>
                <w:sz w:val="20"/>
              </w:rPr>
            </w:pPr>
            <w:r>
              <w:rPr>
                <w:sz w:val="20"/>
              </w:rPr>
              <w:t>41,614</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sz w:val="20"/>
              </w:rPr>
            </w:pPr>
            <w:r>
              <w:rPr>
                <w:sz w:val="20"/>
              </w:rPr>
              <w:t>19,344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sz w:val="20"/>
              </w:rPr>
            </w:pPr>
            <w:r>
              <w:rPr>
                <w:sz w:val="20"/>
              </w:rPr>
              <w:t>41,614</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b/>
                <w:sz w:val="20"/>
              </w:rPr>
            </w:pPr>
            <w:r>
              <w:rPr>
                <w:b/>
                <w:sz w:val="20"/>
              </w:rPr>
              <w:t>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sz w:val="20"/>
              </w:rPr>
            </w:pPr>
            <w:r>
              <w:rPr>
                <w:sz w:val="20"/>
              </w:rPr>
              <w:t>Deferred tax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sz w:val="20"/>
              </w:rPr>
            </w:pPr>
            <w:r>
              <w:rPr>
                <w:sz w:val="20"/>
              </w:rPr>
              <w:t>10,675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sz w:val="20"/>
              </w:rPr>
            </w:pPr>
            <w:r>
              <w:rPr>
                <w:sz w:val="20"/>
              </w:rPr>
              <w:t>10,675</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sz w:val="20"/>
              </w:rPr>
            </w:pPr>
            <w:r>
              <w:rPr>
                <w:sz w:val="20"/>
              </w:rPr>
              <w:t>Warrants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038" w:type="dxa"/>
            <w:tcBorders>
              <w:bottom w:val="single" w:sz="8" w:space="0" w:color="000000"/>
            </w:tcBorders>
            <w:shd w:fill="FFFFFF" w:val="clear"/>
            <w:vAlign w:val="center"/>
          </w:tcPr>
          <w:p>
            <w:pPr>
              <w:pStyle w:val="TableContents"/>
              <w:bidi w:val="0"/>
              <w:spacing w:before="0" w:after="283"/>
              <w:jc w:val="right"/>
              <w:rPr>
                <w:sz w:val="20"/>
              </w:rPr>
            </w:pPr>
            <w:r>
              <w:rPr>
                <w:sz w:val="20"/>
              </w:rPr>
              <w:t>2,197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FFFFFF" w:val="clear"/>
            <w:vAlign w:val="center"/>
          </w:tcPr>
          <w:p>
            <w:pPr>
              <w:pStyle w:val="TableContents"/>
              <w:bidi w:val="0"/>
              <w:spacing w:before="0" w:after="283"/>
              <w:jc w:val="left"/>
              <w:rPr/>
            </w:pPr>
            <w:r>
              <w:rPr/>
              <w:t> </w:t>
            </w:r>
          </w:p>
        </w:tc>
        <w:tc>
          <w:tcPr>
            <w:tcW w:w="967" w:type="dxa"/>
            <w:tcBorders>
              <w:bottom w:val="single" w:sz="8" w:space="0" w:color="000000"/>
            </w:tcBorders>
            <w:shd w:fill="FFFFFF" w:val="clear"/>
            <w:vAlign w:val="center"/>
          </w:tcPr>
          <w:p>
            <w:pPr>
              <w:pStyle w:val="TableContents"/>
              <w:bidi w:val="0"/>
              <w:spacing w:before="0" w:after="283"/>
              <w:jc w:val="right"/>
              <w:rPr>
                <w:sz w:val="20"/>
              </w:rPr>
            </w:pPr>
            <w:r>
              <w:rPr>
                <w:sz w:val="20"/>
              </w:rPr>
              <w:t>983</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b/>
                <w:sz w:val="20"/>
              </w:rPr>
            </w:pPr>
            <w:r>
              <w:rPr>
                <w:b/>
                <w:sz w:val="20"/>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b/>
                <w:sz w:val="20"/>
              </w:rPr>
            </w:pPr>
            <w:r>
              <w:rPr>
                <w:b/>
                <w:sz w:val="20"/>
              </w:rPr>
              <w:t>$</w:t>
            </w:r>
          </w:p>
        </w:tc>
        <w:tc>
          <w:tcPr>
            <w:tcW w:w="1038" w:type="dxa"/>
            <w:tcBorders>
              <w:bottom w:val="single" w:sz="8" w:space="0" w:color="000000"/>
            </w:tcBorders>
            <w:shd w:fill="CCEEFF" w:val="clear"/>
            <w:vAlign w:val="center"/>
          </w:tcPr>
          <w:p>
            <w:pPr>
              <w:pStyle w:val="TableContents"/>
              <w:bidi w:val="0"/>
              <w:spacing w:before="0" w:after="283"/>
              <w:jc w:val="right"/>
              <w:rPr>
                <w:b/>
                <w:sz w:val="20"/>
              </w:rPr>
            </w:pPr>
            <w:r>
              <w:rPr>
                <w:b/>
                <w:sz w:val="20"/>
              </w:rPr>
              <w:t>32,216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b/>
                <w:sz w:val="20"/>
              </w:rPr>
            </w:pPr>
            <w:r>
              <w:rPr>
                <w:b/>
                <w:sz w:val="20"/>
              </w:rPr>
              <w:t>$</w:t>
            </w:r>
          </w:p>
        </w:tc>
        <w:tc>
          <w:tcPr>
            <w:tcW w:w="967" w:type="dxa"/>
            <w:tcBorders>
              <w:bottom w:val="single" w:sz="8" w:space="0" w:color="000000"/>
            </w:tcBorders>
            <w:shd w:fill="CCEEFF" w:val="clear"/>
            <w:vAlign w:val="center"/>
          </w:tcPr>
          <w:p>
            <w:pPr>
              <w:pStyle w:val="TableContents"/>
              <w:bidi w:val="0"/>
              <w:spacing w:before="0" w:after="283"/>
              <w:jc w:val="right"/>
              <w:rPr>
                <w:b/>
                <w:sz w:val="20"/>
              </w:rPr>
            </w:pPr>
            <w:r>
              <w:rPr>
                <w:b/>
                <w:sz w:val="20"/>
              </w:rPr>
              <w:t>53,272</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b/>
                <w:sz w:val="20"/>
              </w:rPr>
            </w:pPr>
            <w:r>
              <w:rPr>
                <w:b/>
                <w:sz w:val="20"/>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 </w:t>
            </w:r>
          </w:p>
        </w:tc>
        <w:tc>
          <w:tcPr>
            <w:tcW w:w="9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sz w:val="20"/>
              </w:rPr>
            </w:pPr>
            <w:r>
              <w:rPr>
                <w:sz w:val="20"/>
              </w:rPr>
              <w:t xml:space="preserve">Common shares </w:t>
            </w:r>
            <w:r>
              <w:rPr>
                <w:i/>
                <w:sz w:val="20"/>
              </w:rPr>
              <w:t>(unlimited shares, no par value – issued: 305,129,856 (December 31, 2022 – 266,812,131))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sz w:val="20"/>
              </w:rPr>
            </w:pPr>
            <w:r>
              <w:rPr>
                <w:sz w:val="20"/>
              </w:rPr>
              <w:t>434,099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sz w:val="20"/>
              </w:rPr>
            </w:pPr>
            <w:r>
              <w:rPr>
                <w:sz w:val="20"/>
              </w:rPr>
              <w:t>332,882</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sz w:val="20"/>
              </w:rPr>
            </w:pPr>
            <w:r>
              <w:rPr>
                <w:sz w:val="20"/>
              </w:rPr>
              <w:t>Special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sz w:val="20"/>
              </w:rPr>
            </w:pPr>
            <w:r>
              <w:rPr>
                <w:sz w:val="20"/>
              </w:rPr>
              <w:t>-</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sz w:val="20"/>
              </w:rPr>
            </w:pPr>
            <w:r>
              <w:rPr>
                <w:sz w:val="20"/>
              </w:rPr>
              <w:t>Additional paid 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sz w:val="20"/>
              </w:rPr>
            </w:pPr>
            <w:r>
              <w:rPr>
                <w:sz w:val="20"/>
              </w:rPr>
              <w:t>124,168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sz w:val="20"/>
              </w:rPr>
            </w:pPr>
            <w:r>
              <w:rPr>
                <w:sz w:val="20"/>
              </w:rPr>
              <w:t>184,960</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sz w:val="20"/>
              </w:rPr>
            </w:pPr>
            <w:r>
              <w:rPr>
                <w:sz w:val="20"/>
              </w:rPr>
              <w:t>Accumulated other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sz w:val="20"/>
              </w:rPr>
            </w:pPr>
            <w:r>
              <w:rPr>
                <w:sz w:val="20"/>
              </w:rPr>
              <w:t>(1,216</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sz w:val="20"/>
              </w:rPr>
            </w:pPr>
            <w:r>
              <w:rPr>
                <w:sz w:val="20"/>
              </w:rPr>
              <w:t>(1,216</w:t>
            </w:r>
          </w:p>
        </w:tc>
        <w:tc>
          <w:tcPr>
            <w:tcW w:w="97"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7574" w:type="dxa"/>
            <w:tcBorders/>
            <w:shd w:fill="FFFFFF" w:val="clear"/>
            <w:tcMar>
              <w:bottom w:w="0" w:type="dxa"/>
            </w:tcMar>
            <w:vAlign w:val="center"/>
          </w:tcPr>
          <w:p>
            <w:pPr>
              <w:pStyle w:val="TableContents"/>
              <w:bidi w:val="0"/>
              <w:spacing w:before="0" w:after="283"/>
              <w:jc w:val="left"/>
              <w:rPr>
                <w:sz w:val="20"/>
              </w:rPr>
            </w:pPr>
            <w:r>
              <w:rPr>
                <w:sz w:val="20"/>
              </w:rPr>
              <w:t>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038" w:type="dxa"/>
            <w:tcBorders>
              <w:bottom w:val="single" w:sz="8" w:space="0" w:color="000000"/>
            </w:tcBorders>
            <w:shd w:fill="FFFFFF" w:val="clear"/>
            <w:vAlign w:val="center"/>
          </w:tcPr>
          <w:p>
            <w:pPr>
              <w:pStyle w:val="TableContents"/>
              <w:bidi w:val="0"/>
              <w:spacing w:before="0" w:after="283"/>
              <w:jc w:val="right"/>
              <w:rPr>
                <w:sz w:val="20"/>
              </w:rPr>
            </w:pPr>
            <w:r>
              <w:rPr>
                <w:sz w:val="20"/>
              </w:rPr>
              <w:t>(501,693</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FFFFFF" w:val="clear"/>
            <w:vAlign w:val="center"/>
          </w:tcPr>
          <w:p>
            <w:pPr>
              <w:pStyle w:val="TableContents"/>
              <w:bidi w:val="0"/>
              <w:spacing w:before="0" w:after="283"/>
              <w:jc w:val="left"/>
              <w:rPr/>
            </w:pPr>
            <w:r>
              <w:rPr/>
              <w:t> </w:t>
            </w:r>
          </w:p>
        </w:tc>
        <w:tc>
          <w:tcPr>
            <w:tcW w:w="967" w:type="dxa"/>
            <w:tcBorders>
              <w:bottom w:val="single" w:sz="8" w:space="0" w:color="000000"/>
            </w:tcBorders>
            <w:shd w:fill="FFFFFF" w:val="clear"/>
            <w:vAlign w:val="center"/>
          </w:tcPr>
          <w:p>
            <w:pPr>
              <w:pStyle w:val="TableContents"/>
              <w:bidi w:val="0"/>
              <w:spacing w:before="0" w:after="283"/>
              <w:jc w:val="right"/>
              <w:rPr>
                <w:sz w:val="20"/>
              </w:rPr>
            </w:pPr>
            <w:r>
              <w:rPr>
                <w:sz w:val="20"/>
              </w:rPr>
              <w:t>(475,121</w:t>
            </w:r>
          </w:p>
        </w:tc>
        <w:tc>
          <w:tcPr>
            <w:tcW w:w="97"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7574" w:type="dxa"/>
            <w:tcBorders/>
            <w:shd w:fill="CCEEFF" w:val="clear"/>
            <w:tcMar>
              <w:bottom w:w="0" w:type="dxa"/>
            </w:tcMar>
            <w:vAlign w:val="center"/>
          </w:tcPr>
          <w:p>
            <w:pPr>
              <w:pStyle w:val="TableContents"/>
              <w:bidi w:val="0"/>
              <w:spacing w:before="0" w:after="283"/>
              <w:jc w:val="left"/>
              <w:rPr>
                <w:b/>
                <w:sz w:val="20"/>
              </w:rPr>
            </w:pPr>
            <w:r>
              <w:rPr>
                <w:b/>
                <w:sz w:val="20"/>
              </w:rPr>
              <w:t>TOTAL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38" w:type="dxa"/>
            <w:tcBorders>
              <w:bottom w:val="single" w:sz="8" w:space="0" w:color="000000"/>
            </w:tcBorders>
            <w:shd w:fill="CCEEFF" w:val="clear"/>
            <w:vAlign w:val="center"/>
          </w:tcPr>
          <w:p>
            <w:pPr>
              <w:pStyle w:val="TableContents"/>
              <w:bidi w:val="0"/>
              <w:spacing w:before="0" w:after="283"/>
              <w:jc w:val="right"/>
              <w:rPr>
                <w:b/>
                <w:sz w:val="20"/>
              </w:rPr>
            </w:pPr>
            <w:r>
              <w:rPr>
                <w:b/>
                <w:sz w:val="20"/>
              </w:rPr>
              <w:t>55,358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967" w:type="dxa"/>
            <w:tcBorders>
              <w:bottom w:val="single" w:sz="8" w:space="0" w:color="000000"/>
            </w:tcBorders>
            <w:shd w:fill="CCEEFF" w:val="clear"/>
            <w:vAlign w:val="center"/>
          </w:tcPr>
          <w:p>
            <w:pPr>
              <w:pStyle w:val="TableContents"/>
              <w:bidi w:val="0"/>
              <w:spacing w:before="0" w:after="283"/>
              <w:jc w:val="right"/>
              <w:rPr>
                <w:b/>
                <w:sz w:val="20"/>
              </w:rPr>
            </w:pPr>
            <w:r>
              <w:rPr>
                <w:b/>
                <w:sz w:val="20"/>
              </w:rPr>
              <w:t>41,505</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5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038" w:type="dxa"/>
            <w:tcBorders>
              <w:bottom w:val="single" w:sz="8" w:space="0" w:color="000000"/>
            </w:tcBorders>
            <w:shd w:fill="FFFFFF" w:val="cle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FFFFFF" w:val="clear"/>
            <w:vAlign w:val="center"/>
          </w:tcPr>
          <w:p>
            <w:pPr>
              <w:pStyle w:val="TableContents"/>
              <w:bidi w:val="0"/>
              <w:spacing w:before="0" w:after="283"/>
              <w:jc w:val="left"/>
              <w:rPr/>
            </w:pPr>
            <w:r>
              <w:rPr/>
              <w:t> </w:t>
            </w:r>
          </w:p>
        </w:tc>
        <w:tc>
          <w:tcPr>
            <w:tcW w:w="967" w:type="dxa"/>
            <w:tcBorders>
              <w:bottom w:val="single" w:sz="8" w:space="0" w:color="000000"/>
            </w:tcBorders>
            <w:shd w:fill="FFFFFF" w:val="clear"/>
            <w:vAlign w:val="center"/>
          </w:tcPr>
          <w:p>
            <w:pPr>
              <w:pStyle w:val="TableContents"/>
              <w:bidi w:val="0"/>
              <w:spacing w:before="0" w:after="283"/>
              <w:jc w:val="righ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574" w:type="dxa"/>
            <w:tcBorders/>
            <w:shd w:fill="CCEEFF" w:val="clear"/>
            <w:tcMar>
              <w:bottom w:w="0" w:type="dxa"/>
            </w:tcMar>
            <w:vAlign w:val="center"/>
          </w:tcPr>
          <w:p>
            <w:pPr>
              <w:pStyle w:val="TableContents"/>
              <w:bidi w:val="0"/>
              <w:spacing w:before="0" w:after="283"/>
              <w:jc w:val="left"/>
              <w:rPr>
                <w:b/>
                <w:sz w:val="20"/>
              </w:rPr>
            </w:pPr>
            <w:r>
              <w:rPr>
                <w:b/>
                <w:sz w:val="20"/>
              </w:rPr>
              <w:t>TOTAL LIABILITIES AND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b/>
                <w:sz w:val="20"/>
              </w:rPr>
            </w:pPr>
            <w:r>
              <w:rPr>
                <w:b/>
                <w:sz w:val="20"/>
              </w:rPr>
              <w:t>$</w:t>
            </w:r>
          </w:p>
        </w:tc>
        <w:tc>
          <w:tcPr>
            <w:tcW w:w="1038" w:type="dxa"/>
            <w:tcBorders>
              <w:bottom w:val="single" w:sz="8" w:space="0" w:color="000000"/>
            </w:tcBorders>
            <w:shd w:fill="CCEEFF" w:val="clear"/>
            <w:vAlign w:val="center"/>
          </w:tcPr>
          <w:p>
            <w:pPr>
              <w:pStyle w:val="TableContents"/>
              <w:bidi w:val="0"/>
              <w:spacing w:before="0" w:after="283"/>
              <w:jc w:val="right"/>
              <w:rPr>
                <w:b/>
                <w:sz w:val="20"/>
              </w:rPr>
            </w:pPr>
            <w:r>
              <w:rPr>
                <w:b/>
                <w:sz w:val="20"/>
              </w:rPr>
              <w:t>87,574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b/>
                <w:sz w:val="20"/>
              </w:rPr>
            </w:pPr>
            <w:r>
              <w:rPr>
                <w:b/>
                <w:sz w:val="20"/>
              </w:rPr>
              <w:t>$</w:t>
            </w:r>
          </w:p>
        </w:tc>
        <w:tc>
          <w:tcPr>
            <w:tcW w:w="967" w:type="dxa"/>
            <w:tcBorders>
              <w:bottom w:val="single" w:sz="8" w:space="0" w:color="000000"/>
            </w:tcBorders>
            <w:shd w:fill="CCEEFF" w:val="clear"/>
            <w:vAlign w:val="center"/>
          </w:tcPr>
          <w:p>
            <w:pPr>
              <w:pStyle w:val="TableContents"/>
              <w:bidi w:val="0"/>
              <w:spacing w:before="0" w:after="283"/>
              <w:jc w:val="right"/>
              <w:rPr>
                <w:b/>
                <w:sz w:val="20"/>
              </w:rPr>
            </w:pPr>
            <w:r>
              <w:rPr>
                <w:b/>
                <w:sz w:val="20"/>
              </w:rPr>
              <w:t>94,777</w:t>
            </w:r>
          </w:p>
        </w:tc>
        <w:tc>
          <w:tcPr>
            <w:tcW w:w="9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TMC the metals company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Loss 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0"/>
        <w:gridCol w:w="60"/>
        <w:gridCol w:w="125"/>
        <w:gridCol w:w="1055"/>
        <w:gridCol w:w="80"/>
        <w:gridCol w:w="60"/>
        <w:gridCol w:w="125"/>
        <w:gridCol w:w="1055"/>
        <w:gridCol w:w="80"/>
        <w:gridCol w:w="60"/>
        <w:gridCol w:w="125"/>
        <w:gridCol w:w="1055"/>
        <w:gridCol w:w="80"/>
        <w:gridCol w:w="60"/>
        <w:gridCol w:w="125"/>
        <w:gridCol w:w="1055"/>
        <w:gridCol w:w="95"/>
      </w:tblGrid>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br/>
              <w:t>September 30,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Nine months ended </w:t>
              <w:br/>
              <w:t>September 30,</w:t>
            </w:r>
          </w:p>
        </w:tc>
        <w:tc>
          <w:tcPr>
            <w:tcW w:w="95" w:type="dxa"/>
            <w:tcBorders/>
            <w:vAlign w:val="center"/>
          </w:tcPr>
          <w:p>
            <w:pPr>
              <w:pStyle w:val="TableContents"/>
              <w:bidi w:val="0"/>
              <w:spacing w:before="0" w:after="283"/>
              <w:jc w:val="center"/>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95" w:type="dxa"/>
            <w:tcBorders/>
            <w:vAlign w:val="center"/>
          </w:tcPr>
          <w:p>
            <w:pPr>
              <w:pStyle w:val="TableContents"/>
              <w:bidi w:val="0"/>
              <w:spacing w:before="0" w:after="283"/>
              <w:jc w:val="center"/>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Exploration and evaluation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55" w:type="dxa"/>
            <w:tcBorders/>
            <w:shd w:fill="FFFFFF" w:val="clear"/>
            <w:vAlign w:val="center"/>
          </w:tcPr>
          <w:p>
            <w:pPr>
              <w:pStyle w:val="TableContents"/>
              <w:bidi w:val="0"/>
              <w:spacing w:before="0" w:after="283"/>
              <w:jc w:val="right"/>
              <w:rPr>
                <w:sz w:val="20"/>
              </w:rPr>
            </w:pPr>
            <w:r>
              <w:rPr>
                <w:sz w:val="20"/>
              </w:rPr>
              <w:t>7,905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55" w:type="dxa"/>
            <w:tcBorders/>
            <w:shd w:fill="FFFFFF" w:val="clear"/>
            <w:vAlign w:val="center"/>
          </w:tcPr>
          <w:p>
            <w:pPr>
              <w:pStyle w:val="TableContents"/>
              <w:bidi w:val="0"/>
              <w:spacing w:before="0" w:after="283"/>
              <w:jc w:val="right"/>
              <w:rPr>
                <w:sz w:val="20"/>
              </w:rPr>
            </w:pPr>
            <w:r>
              <w:rPr>
                <w:sz w:val="20"/>
              </w:rPr>
              <w:t>22,663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55" w:type="dxa"/>
            <w:tcBorders/>
            <w:shd w:fill="FFFFFF" w:val="clear"/>
            <w:vAlign w:val="center"/>
          </w:tcPr>
          <w:p>
            <w:pPr>
              <w:pStyle w:val="TableContents"/>
              <w:bidi w:val="0"/>
              <w:spacing w:before="0" w:after="283"/>
              <w:jc w:val="right"/>
              <w:rPr>
                <w:sz w:val="20"/>
              </w:rPr>
            </w:pPr>
            <w:r>
              <w:rPr>
                <w:sz w:val="20"/>
              </w:rPr>
              <w:t>23,172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55" w:type="dxa"/>
            <w:tcBorders/>
            <w:shd w:fill="FFFFFF" w:val="clear"/>
            <w:vAlign w:val="center"/>
          </w:tcPr>
          <w:p>
            <w:pPr>
              <w:pStyle w:val="TableContents"/>
              <w:bidi w:val="0"/>
              <w:spacing w:before="0" w:after="283"/>
              <w:jc w:val="right"/>
              <w:rPr>
                <w:sz w:val="20"/>
              </w:rPr>
            </w:pPr>
            <w:r>
              <w:rPr>
                <w:sz w:val="20"/>
              </w:rPr>
              <w:t>40,340</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5,944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22,502</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12,518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28,607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39,130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62,842</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Other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Equity-accounted investment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Gain on disposition of asset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(13,750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Change in fair value of warrants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(350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(892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910" w:type="dxa"/>
            <w:tcBorders/>
            <w:shd w:fill="FFFFFF" w:val="clear"/>
            <w:vAlign w:val="center"/>
          </w:tcPr>
          <w:p>
            <w:pPr>
              <w:pStyle w:val="TableContents"/>
              <w:bidi w:val="0"/>
              <w:spacing w:before="0" w:after="283"/>
              <w:jc w:val="left"/>
              <w:rPr>
                <w:sz w:val="20"/>
              </w:rPr>
            </w:pPr>
            <w:r>
              <w:rPr>
                <w:sz w:val="20"/>
              </w:rPr>
              <w:t>Foreign exchange loss (gain)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910" w:type="dxa"/>
            <w:tcBorders/>
            <w:shd w:fill="CCEEFF" w:val="clear"/>
            <w:vAlign w:val="center"/>
          </w:tcPr>
          <w:p>
            <w:pPr>
              <w:pStyle w:val="TableContents"/>
              <w:bidi w:val="0"/>
              <w:spacing w:before="0" w:after="283"/>
              <w:jc w:val="left"/>
              <w:rPr>
                <w:sz w:val="20"/>
              </w:rPr>
            </w:pPr>
            <w:r>
              <w:rPr>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(319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(352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(1,092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(544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910" w:type="dxa"/>
            <w:tcBorders/>
            <w:shd w:fill="FFFFFF" w:val="clear"/>
            <w:vAlign w:val="center"/>
          </w:tcPr>
          <w:p>
            <w:pPr>
              <w:pStyle w:val="TableContents"/>
              <w:bidi w:val="0"/>
              <w:spacing w:before="0" w:after="283"/>
              <w:jc w:val="left"/>
              <w:rPr>
                <w:sz w:val="20"/>
              </w:rPr>
            </w:pPr>
            <w:r>
              <w:rPr>
                <w:sz w:val="20"/>
              </w:rPr>
              <w:t>Fees and interest on credit facility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Net loss and comprehensive loss for the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12,467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27,894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26,572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61,395</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0.27</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Weighted average number of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294,636,496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239,740,984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282,745,892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231,028,587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TMC the metals company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5"/>
        <w:gridCol w:w="60"/>
        <w:gridCol w:w="60"/>
        <w:gridCol w:w="1055"/>
        <w:gridCol w:w="60"/>
        <w:gridCol w:w="60"/>
        <w:gridCol w:w="125"/>
        <w:gridCol w:w="695"/>
        <w:gridCol w:w="60"/>
        <w:gridCol w:w="60"/>
        <w:gridCol w:w="125"/>
        <w:gridCol w:w="860"/>
        <w:gridCol w:w="60"/>
        <w:gridCol w:w="60"/>
        <w:gridCol w:w="140"/>
        <w:gridCol w:w="780"/>
        <w:gridCol w:w="80"/>
        <w:gridCol w:w="60"/>
        <w:gridCol w:w="250"/>
        <w:gridCol w:w="1090"/>
        <w:gridCol w:w="80"/>
        <w:gridCol w:w="60"/>
        <w:gridCol w:w="125"/>
        <w:gridCol w:w="755"/>
        <w:gridCol w:w="80"/>
        <w:gridCol w:w="60"/>
        <w:gridCol w:w="125"/>
        <w:gridCol w:w="650"/>
        <w:gridCol w:w="9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5" w:type="dxa"/>
            <w:gridSpan w:val="2"/>
            <w:tcBorders/>
            <w:vAlign w:val="center"/>
          </w:tcPr>
          <w:p>
            <w:pPr>
              <w:pStyle w:val="TableContents"/>
              <w:bidi w:val="0"/>
              <w:spacing w:before="0" w:after="283"/>
              <w:jc w:val="center"/>
              <w:rPr>
                <w:b/>
                <w:sz w:val="20"/>
              </w:rPr>
            </w:pPr>
            <w:r>
              <w:rPr>
                <w:b/>
                <w:sz w:val="20"/>
              </w:rPr>
              <w:t>Special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sz w:val="20"/>
              </w:rPr>
            </w:pPr>
            <w:r>
              <w:rPr>
                <w:b/>
                <w:sz w:val="20"/>
              </w:rPr>
              <w:t>Additional</w:t>
              <w:b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sz w:val="20"/>
              </w:rPr>
            </w:pPr>
            <w:r>
              <w:rPr>
                <w:b/>
                <w:sz w:val="20"/>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2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September 30,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281,136,415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345,775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188,722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(489,226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warrant by Allseas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11,578,620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to Allseas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and warrants under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7,961,540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305,129,856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434,099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124,168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(501,693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55,358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5"/>
        <w:gridCol w:w="60"/>
        <w:gridCol w:w="60"/>
        <w:gridCol w:w="1055"/>
        <w:gridCol w:w="60"/>
        <w:gridCol w:w="60"/>
        <w:gridCol w:w="125"/>
        <w:gridCol w:w="695"/>
        <w:gridCol w:w="60"/>
        <w:gridCol w:w="60"/>
        <w:gridCol w:w="125"/>
        <w:gridCol w:w="740"/>
        <w:gridCol w:w="60"/>
        <w:gridCol w:w="60"/>
        <w:gridCol w:w="140"/>
        <w:gridCol w:w="780"/>
        <w:gridCol w:w="80"/>
        <w:gridCol w:w="60"/>
        <w:gridCol w:w="250"/>
        <w:gridCol w:w="1090"/>
        <w:gridCol w:w="80"/>
        <w:gridCol w:w="60"/>
        <w:gridCol w:w="125"/>
        <w:gridCol w:w="755"/>
        <w:gridCol w:w="80"/>
        <w:gridCol w:w="60"/>
        <w:gridCol w:w="125"/>
        <w:gridCol w:w="650"/>
        <w:gridCol w:w="9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center"/>
              <w:rPr>
                <w:b/>
                <w:sz w:val="20"/>
              </w:rPr>
            </w:pPr>
            <w:r>
              <w:rPr>
                <w:b/>
                <w:sz w:val="20"/>
              </w:rPr>
              <w:t>Special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sz w:val="20"/>
              </w:rPr>
            </w:pPr>
            <w:r>
              <w:rPr>
                <w:b/>
                <w:sz w:val="20"/>
              </w:rPr>
              <w:t>Additional</w:t>
              <w:b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sz w:val="20"/>
              </w:rPr>
            </w:pPr>
            <w:r>
              <w:rPr>
                <w:b/>
                <w:sz w:val="20"/>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September 30, 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227,158,455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299,056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113,487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(337,658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73,669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under PIPE financing -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38,266,180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265,529,989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328,911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116,917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(365,552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79,060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TMC the metals company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5"/>
        <w:gridCol w:w="60"/>
        <w:gridCol w:w="60"/>
        <w:gridCol w:w="1055"/>
        <w:gridCol w:w="60"/>
        <w:gridCol w:w="60"/>
        <w:gridCol w:w="125"/>
        <w:gridCol w:w="695"/>
        <w:gridCol w:w="60"/>
        <w:gridCol w:w="60"/>
        <w:gridCol w:w="125"/>
        <w:gridCol w:w="620"/>
        <w:gridCol w:w="60"/>
        <w:gridCol w:w="60"/>
        <w:gridCol w:w="140"/>
        <w:gridCol w:w="780"/>
        <w:gridCol w:w="80"/>
        <w:gridCol w:w="60"/>
        <w:gridCol w:w="250"/>
        <w:gridCol w:w="1090"/>
        <w:gridCol w:w="80"/>
        <w:gridCol w:w="60"/>
        <w:gridCol w:w="125"/>
        <w:gridCol w:w="755"/>
        <w:gridCol w:w="80"/>
        <w:gridCol w:w="60"/>
        <w:gridCol w:w="125"/>
        <w:gridCol w:w="650"/>
        <w:gridCol w:w="9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b/>
                <w:sz w:val="20"/>
              </w:rPr>
            </w:pPr>
            <w:r>
              <w:rPr>
                <w:b/>
                <w:sz w:val="20"/>
              </w:rPr>
              <w:t>Special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sz w:val="20"/>
              </w:rPr>
            </w:pPr>
            <w:r>
              <w:rPr>
                <w:b/>
                <w:sz w:val="20"/>
              </w:rPr>
              <w:t>Additional</w:t>
              <w:b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sz w:val="20"/>
              </w:rPr>
            </w:pPr>
            <w:r>
              <w:rPr>
                <w:b/>
                <w:sz w:val="20"/>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2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September 30,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266,812,131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332,882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184,960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(475,121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warrant by Allseas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11,578,620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to Allseas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3,573,993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and warrants under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7,961,540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purchase under Employee Share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settled with share-based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305,129,856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434,099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124,168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(501,693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55,358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35"/>
        <w:gridCol w:w="60"/>
        <w:gridCol w:w="60"/>
        <w:gridCol w:w="1055"/>
        <w:gridCol w:w="60"/>
        <w:gridCol w:w="60"/>
        <w:gridCol w:w="125"/>
        <w:gridCol w:w="695"/>
        <w:gridCol w:w="60"/>
        <w:gridCol w:w="60"/>
        <w:gridCol w:w="125"/>
        <w:gridCol w:w="560"/>
        <w:gridCol w:w="60"/>
        <w:gridCol w:w="60"/>
        <w:gridCol w:w="140"/>
        <w:gridCol w:w="780"/>
        <w:gridCol w:w="80"/>
        <w:gridCol w:w="60"/>
        <w:gridCol w:w="250"/>
        <w:gridCol w:w="1090"/>
        <w:gridCol w:w="80"/>
        <w:gridCol w:w="60"/>
        <w:gridCol w:w="125"/>
        <w:gridCol w:w="755"/>
        <w:gridCol w:w="80"/>
        <w:gridCol w:w="60"/>
        <w:gridCol w:w="125"/>
        <w:gridCol w:w="650"/>
        <w:gridCol w:w="9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center"/>
              <w:rPr>
                <w:b/>
                <w:sz w:val="20"/>
              </w:rPr>
            </w:pPr>
            <w:r>
              <w:rPr>
                <w:b/>
                <w:sz w:val="20"/>
              </w:rPr>
              <w:t>Special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sz w:val="20"/>
              </w:rPr>
            </w:pPr>
            <w:r>
              <w:rPr>
                <w:b/>
                <w:sz w:val="20"/>
              </w:rPr>
              <w:t>Additional</w:t>
              <w:b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sz w:val="20"/>
              </w:rPr>
            </w:pPr>
            <w:r>
              <w:rPr>
                <w:b/>
                <w:sz w:val="20"/>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7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September 30, 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225,432,493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296,051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102,073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(304,157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92,751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under PIPE financing -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38,266,180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purchase under Employee Share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265,529,989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328,911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(365,552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79,060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TMC the metals company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(Unaudited)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5570"/>
        <w:gridCol w:w="60"/>
        <w:gridCol w:w="259"/>
        <w:gridCol w:w="1351"/>
        <w:gridCol w:w="80"/>
        <w:gridCol w:w="60"/>
        <w:gridCol w:w="259"/>
        <w:gridCol w:w="1351"/>
        <w:gridCol w:w="95"/>
      </w:tblGrid>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Nine months ended</w:t>
              <w:b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Nine months ended</w:t>
              <w:br/>
              <w:t>September 30,</w:t>
            </w:r>
          </w:p>
        </w:tc>
        <w:tc>
          <w:tcPr>
            <w:tcW w:w="95"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95"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b/>
                <w:sz w:val="20"/>
              </w:rPr>
            </w:pPr>
            <w:r>
              <w:rPr>
                <w:b/>
                <w:sz w:val="20"/>
              </w:rPr>
              <w:t>Cash provided by (used in)</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b/>
                <w:sz w:val="20"/>
              </w:rPr>
            </w:pPr>
            <w:r>
              <w:rPr>
                <w:b/>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sz w:val="20"/>
              </w:rPr>
            </w:pPr>
            <w:r>
              <w:rPr>
                <w:sz w:val="20"/>
              </w:rPr>
              <w:t>$</w:t>
            </w:r>
          </w:p>
        </w:tc>
        <w:tc>
          <w:tcPr>
            <w:tcW w:w="1351" w:type="dxa"/>
            <w:tcBorders/>
            <w:shd w:fill="FFFFFF" w:val="clear"/>
            <w:vAlign w:val="center"/>
          </w:tcPr>
          <w:p>
            <w:pPr>
              <w:pStyle w:val="TableContents"/>
              <w:bidi w:val="0"/>
              <w:spacing w:before="0" w:after="283"/>
              <w:jc w:val="right"/>
              <w:rPr>
                <w:sz w:val="20"/>
              </w:rPr>
            </w:pPr>
            <w:r>
              <w:rPr>
                <w:sz w:val="20"/>
              </w:rPr>
              <w:t>(26,572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sz w:val="20"/>
              </w:rPr>
            </w:pPr>
            <w:r>
              <w:rPr>
                <w:sz w:val="20"/>
              </w:rPr>
              <w:t>$</w:t>
            </w:r>
          </w:p>
        </w:tc>
        <w:tc>
          <w:tcPr>
            <w:tcW w:w="1351" w:type="dxa"/>
            <w:tcBorders/>
            <w:shd w:fill="FFFFFF" w:val="clear"/>
            <w:vAlign w:val="center"/>
          </w:tcPr>
          <w:p>
            <w:pPr>
              <w:pStyle w:val="TableContents"/>
              <w:bidi w:val="0"/>
              <w:spacing w:before="0" w:after="283"/>
              <w:jc w:val="right"/>
              <w:rPr>
                <w:sz w:val="20"/>
              </w:rPr>
            </w:pPr>
            <w:r>
              <w:rPr>
                <w:sz w:val="20"/>
              </w:rPr>
              <w:t>(61,395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570" w:type="dxa"/>
            <w:tcBorders/>
            <w:shd w:fill="CCEEFF" w:val="clear"/>
            <w:vAlign w:val="center"/>
          </w:tcPr>
          <w:p>
            <w:pPr>
              <w:pStyle w:val="TableContents"/>
              <w:bidi w:val="0"/>
              <w:spacing w:before="0" w:after="283"/>
              <w:jc w:val="left"/>
              <w:rPr>
                <w:sz w:val="20"/>
              </w:rPr>
            </w:pPr>
            <w:r>
              <w:rPr>
                <w:sz w:val="20"/>
              </w:rPr>
              <w:t>Items not affecting cash:</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Amortization</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299</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sz w:val="20"/>
              </w:rPr>
            </w:pPr>
            <w:r>
              <w:rPr>
                <w:sz w:val="20"/>
              </w:rPr>
              <w:t>Lease Expense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Expenses settled with share-based payments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6,839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16,298</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sz w:val="20"/>
              </w:rPr>
            </w:pPr>
            <w:r>
              <w:rPr>
                <w:sz w:val="20"/>
              </w:rPr>
              <w:t>Equity-accounted investment loss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Change in fair value of warrants liability</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1,214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(892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570" w:type="dxa"/>
            <w:tcBorders/>
            <w:shd w:fill="CCEEFF" w:val="clear"/>
            <w:vAlign w:val="center"/>
          </w:tcPr>
          <w:p>
            <w:pPr>
              <w:pStyle w:val="TableContents"/>
              <w:bidi w:val="0"/>
              <w:spacing w:before="0" w:after="283"/>
              <w:jc w:val="left"/>
              <w:rPr>
                <w:sz w:val="20"/>
              </w:rPr>
            </w:pPr>
            <w:r>
              <w:rPr>
                <w:sz w:val="20"/>
              </w:rPr>
              <w:t>Gain on disposition of asset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(13,750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Unrealized foreign exchange movement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(24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56</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sz w:val="20"/>
              </w:rPr>
            </w:pPr>
            <w:r>
              <w:rPr>
                <w:sz w:val="20"/>
              </w:rPr>
              <w:t>Changes in working capital:</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Receivables and prepayments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(2,364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(1,426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570" w:type="dxa"/>
            <w:tcBorders/>
            <w:shd w:fill="CCEEFF" w:val="clear"/>
            <w:vAlign w:val="center"/>
          </w:tcPr>
          <w:p>
            <w:pPr>
              <w:pStyle w:val="TableContents"/>
              <w:bidi w:val="0"/>
              <w:spacing w:before="0" w:after="283"/>
              <w:jc w:val="left"/>
              <w:rPr>
                <w:sz w:val="20"/>
              </w:rPr>
            </w:pPr>
            <w:r>
              <w:rPr>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(10,757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300</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b/>
                <w:sz w:val="20"/>
              </w:rPr>
            </w:pPr>
            <w:r>
              <w:rPr>
                <w:b/>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b/>
                <w:sz w:val="20"/>
              </w:rPr>
            </w:pPr>
            <w:r>
              <w:rPr>
                <w:b/>
                <w:sz w:val="20"/>
              </w:rPr>
              <w:t>(44,359</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b/>
                <w:sz w:val="20"/>
              </w:rPr>
            </w:pPr>
            <w:r>
              <w:rPr>
                <w:b/>
                <w:sz w:val="20"/>
              </w:rPr>
              <w:t>(46,760</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5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b/>
                <w:sz w:val="20"/>
              </w:rPr>
            </w:pPr>
            <w:r>
              <w:rPr>
                <w:b/>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sz w:val="20"/>
              </w:rPr>
            </w:pPr>
            <w:r>
              <w:rPr>
                <w:sz w:val="20"/>
              </w:rPr>
              <w:t>Cash received from investment in Low Carbon Royalties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Acquisition of equipment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(959</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570" w:type="dxa"/>
            <w:tcBorders/>
            <w:shd w:fill="CCEEFF" w:val="clear"/>
            <w:vAlign w:val="center"/>
          </w:tcPr>
          <w:p>
            <w:pPr>
              <w:pStyle w:val="TableContents"/>
              <w:bidi w:val="0"/>
              <w:spacing w:before="0" w:after="283"/>
              <w:jc w:val="left"/>
              <w:rPr>
                <w:b/>
                <w:sz w:val="20"/>
              </w:rPr>
            </w:pPr>
            <w:r>
              <w:rPr>
                <w:b/>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sz w:val="20"/>
              </w:rPr>
            </w:pPr>
            <w:r>
              <w:rPr>
                <w:b/>
                <w:sz w:val="20"/>
              </w:rPr>
              <w:t>4,825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sz w:val="20"/>
              </w:rPr>
            </w:pPr>
            <w:r>
              <w:rPr>
                <w:b/>
                <w:sz w:val="20"/>
              </w:rPr>
              <w:t>(959</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b/>
                <w:sz w:val="20"/>
              </w:rPr>
            </w:pPr>
            <w:r>
              <w:rPr>
                <w:b/>
                <w:sz w:val="20"/>
              </w:rPr>
              <w:t>Financing activities Proceeds from employee share purchase plan</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56</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76</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sz w:val="20"/>
              </w:rPr>
            </w:pPr>
            <w:r>
              <w:rPr>
                <w:sz w:val="20"/>
              </w:rPr>
              <w:t>Proceeds from exercise of warrants by Allseas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Proceeds from Registered Direct Offering</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15,723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sz w:val="20"/>
              </w:rPr>
            </w:pPr>
            <w:r>
              <w:rPr>
                <w:sz w:val="20"/>
              </w:rPr>
              <w:t>Expenses paid for Registered Direct Offering</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(779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Proceeds from PIPE financing</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30,400</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sz w:val="20"/>
              </w:rPr>
            </w:pPr>
            <w:r>
              <w:rPr>
                <w:sz w:val="20"/>
              </w:rPr>
              <w:t>Expenses paid for PIPE financing</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sz w:val="20"/>
              </w:rPr>
            </w:pPr>
            <w:r>
              <w:rPr>
                <w:sz w:val="20"/>
              </w:rPr>
              <w:t>(680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570" w:type="dxa"/>
            <w:tcBorders/>
            <w:shd w:fill="FFFFFF" w:val="clear"/>
            <w:vAlign w:val="center"/>
          </w:tcPr>
          <w:p>
            <w:pPr>
              <w:pStyle w:val="TableContents"/>
              <w:bidi w:val="0"/>
              <w:spacing w:before="0" w:after="283"/>
              <w:jc w:val="left"/>
              <w:rPr>
                <w:sz w:val="20"/>
              </w:rPr>
            </w:pPr>
            <w:r>
              <w:rPr>
                <w:sz w:val="20"/>
              </w:rPr>
              <w:t>Proceeds from issuance of shares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sz w:val="20"/>
              </w:rPr>
            </w:pPr>
            <w:r>
              <w:rPr>
                <w:sz w:val="20"/>
              </w:rPr>
              <w:t>Taxes withheld and paid on share-based compensation</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570" w:type="dxa"/>
            <w:tcBorders/>
            <w:shd w:fill="FFFFFF" w:val="clear"/>
            <w:vAlign w:val="center"/>
          </w:tcPr>
          <w:p>
            <w:pPr>
              <w:pStyle w:val="TableContents"/>
              <w:bidi w:val="0"/>
              <w:spacing w:before="0" w:after="283"/>
              <w:jc w:val="left"/>
              <w:rPr>
                <w:b/>
                <w:sz w:val="20"/>
              </w:rPr>
            </w:pPr>
            <w:r>
              <w:rPr>
                <w:b/>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b/>
                <w:sz w:val="20"/>
              </w:rPr>
            </w:pPr>
            <w:r>
              <w:rPr>
                <w:b/>
                <w:sz w:val="20"/>
              </w:rPr>
              <w:t>15,216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b/>
                <w:sz w:val="20"/>
              </w:rPr>
            </w:pPr>
            <w:r>
              <w:rPr>
                <w:b/>
                <w:sz w:val="20"/>
              </w:rPr>
              <w:t>29,774</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b/>
                <w:sz w:val="20"/>
              </w:rPr>
            </w:pPr>
            <w:r>
              <w:rPr>
                <w:b/>
                <w:sz w:val="20"/>
              </w:rPr>
              <w:t>Decrease in cash</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b/>
                <w:sz w:val="20"/>
              </w:rPr>
            </w:pPr>
            <w:r>
              <w:rPr>
                <w:b/>
                <w:sz w:val="20"/>
              </w:rPr>
              <w:t>$</w:t>
            </w:r>
          </w:p>
        </w:tc>
        <w:tc>
          <w:tcPr>
            <w:tcW w:w="1351" w:type="dxa"/>
            <w:tcBorders/>
            <w:shd w:fill="FFFFFF" w:val="clear"/>
            <w:vAlign w:val="center"/>
          </w:tcPr>
          <w:p>
            <w:pPr>
              <w:pStyle w:val="TableContents"/>
              <w:bidi w:val="0"/>
              <w:spacing w:before="0" w:after="283"/>
              <w:jc w:val="right"/>
              <w:rPr>
                <w:b/>
                <w:sz w:val="20"/>
              </w:rPr>
            </w:pPr>
            <w:r>
              <w:rPr>
                <w:b/>
                <w:sz w:val="20"/>
              </w:rPr>
              <w:t>(24,318</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b/>
                <w:sz w:val="20"/>
              </w:rPr>
            </w:pPr>
            <w:r>
              <w:rPr>
                <w:b/>
                <w:sz w:val="20"/>
              </w:rPr>
              <w:t>$</w:t>
            </w:r>
          </w:p>
        </w:tc>
        <w:tc>
          <w:tcPr>
            <w:tcW w:w="1351" w:type="dxa"/>
            <w:tcBorders/>
            <w:shd w:fill="FFFFFF" w:val="clear"/>
            <w:vAlign w:val="center"/>
          </w:tcPr>
          <w:p>
            <w:pPr>
              <w:pStyle w:val="TableContents"/>
              <w:bidi w:val="0"/>
              <w:spacing w:before="0" w:after="283"/>
              <w:jc w:val="right"/>
              <w:rPr>
                <w:b/>
                <w:sz w:val="20"/>
              </w:rPr>
            </w:pPr>
            <w:r>
              <w:rPr>
                <w:b/>
                <w:sz w:val="20"/>
              </w:rPr>
              <w:t>(17,945</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5570" w:type="dxa"/>
            <w:tcBorders/>
            <w:shd w:fill="CCEEFF" w:val="clear"/>
            <w:vAlign w:val="center"/>
          </w:tcPr>
          <w:p>
            <w:pPr>
              <w:pStyle w:val="TableContents"/>
              <w:bidi w:val="0"/>
              <w:spacing w:before="0" w:after="283"/>
              <w:jc w:val="left"/>
              <w:rPr>
                <w:b/>
                <w:sz w:val="20"/>
              </w:rPr>
            </w:pPr>
            <w:r>
              <w:rPr>
                <w:b/>
                <w:sz w:val="20"/>
              </w:rPr>
              <w:t>Impact of exchange rate changes on cash</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sz w:val="20"/>
              </w:rPr>
            </w:pPr>
            <w:r>
              <w:rPr>
                <w:b/>
                <w:sz w:val="20"/>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sz w:val="20"/>
              </w:rPr>
            </w:pPr>
            <w:r>
              <w:rPr>
                <w:b/>
                <w:sz w:val="20"/>
              </w:rPr>
              <w:t>(56</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570" w:type="dxa"/>
            <w:tcBorders/>
            <w:shd w:fill="FFFFFF" w:val="clear"/>
            <w:vAlign w:val="center"/>
          </w:tcPr>
          <w:p>
            <w:pPr>
              <w:pStyle w:val="TableContents"/>
              <w:bidi w:val="0"/>
              <w:spacing w:before="0" w:after="283"/>
              <w:jc w:val="left"/>
              <w:rPr>
                <w:b/>
                <w:sz w:val="20"/>
              </w:rPr>
            </w:pPr>
            <w:r>
              <w:rPr>
                <w:b/>
                <w:sz w:val="20"/>
              </w:rPr>
              <w:t>Cash - beginning of period</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46,842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84,873</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b/>
                <w:sz w:val="20"/>
              </w:rPr>
            </w:pPr>
            <w:r>
              <w:rPr>
                <w:b/>
                <w:sz w:val="20"/>
              </w:rPr>
              <w:t>Cash - end of period</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22,548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35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66,872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4237</Words>
  <Characters>22426</Characters>
  <CharactersWithSpaces>27504</CharactersWithSpaces>
  <Paragraphs>2428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