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tmc-20230930x10q.htm"/>
        <w:bookmarkStart w:id="1" w:name="kstmc2023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bookmarkStart w:id="2" w:name="_2fe5e3b8_a5e6_4d9d_a6e0_cc5461627e7d"/>
      <w:bookmarkEnd w:id="2"/>
      <w:r>
        <w:rPr/>
        <w:t>​</w:t>
      </w:r>
    </w:p>
    <w:p>
      <w:pPr>
        <w:pStyle w:val="TextBody"/>
        <w:pBdr>
          <w:top w:val="single" w:sz="24" w:space="1" w:color="000000"/>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bookmarkStart w:id="3" w:name="iSkippedRange_91886"/>
      <w:bookmarkEnd w:id="3"/>
      <w:r>
        <w:rPr>
          <w:rFonts w:ascii="Times New Roman;Times;serif" w:hAnsi="Times New Roman;Times;serif"/>
          <w:b/>
          <w:sz w:val="22"/>
        </w:rPr>
        <w:t>UNITED STATES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(Mark One)</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b/>
          <w:sz w:val="14"/>
        </w:rPr>
        <w:t>QUARTERLY REPORT PURSUANT TO SECTION 13 OR 15(d) OF THE SECURITIES EXCHANGE ACT OF 1934</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quarterly period ended September 30, 2023</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or</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b/>
          <w:sz w:val="14"/>
        </w:rPr>
        <w:t>TRANSITION REPORT PURSUANT TO SECTION 13 OR 15(d) OF THE SECURITIES EXCHANGE ACT OF 1934</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b/>
          <w:sz w:val="14"/>
        </w:rPr>
        <w:t>For the transition period from</w:t>
      </w:r>
      <w:r>
        <w:rPr>
          <w:rFonts w:ascii="Times New Roman;Times;serif" w:hAnsi="Times New Roman;Times;serif"/>
          <w:sz w:val="14"/>
        </w:rPr>
        <w:t xml:space="preserve">       </w:t>
      </w:r>
      <w:r>
        <w:rPr>
          <w:rFonts w:ascii="Times New Roman;Times;serif" w:hAnsi="Times New Roman;Times;serif"/>
          <w:b/>
          <w:sz w:val="14"/>
        </w:rPr>
        <w:t xml:space="preserve">to </w:t>
      </w:r>
      <w:r>
        <w:rPr>
          <w:rFonts w:ascii="Times New Roman;Times;serif" w:hAnsi="Times New Roman;Times;serif"/>
          <w:sz w:val="14"/>
        </w:rPr>
        <w:t>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Commission File Number: 001-39281</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40"/>
        </w:rPr>
      </w:pPr>
      <w:r>
        <w:rPr>
          <w:rFonts w:ascii="Times New Roman;Times;serif" w:hAnsi="Times New Roman;Times;serif"/>
          <w:b/>
          <w:sz w:val="40"/>
        </w:rPr>
        <w:t>TMC THE METALS COMPANY INC.</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 w:name="Tc_3glr9hKdUkWNvpG6C3W3Zw_2_2"/>
      <w:bookmarkStart w:id="5" w:name="Tc_0mpHK3tLTEa25iK3DY7o1A_2_0"/>
      <w:bookmarkStart w:id="6" w:name="Tc_U38ViuYjHkKcdk8KPUE6vQ_0_0"/>
      <w:bookmarkStart w:id="7" w:name="_489ed942_4f0d_47f6_a1b5_4fa1fa7265de"/>
      <w:bookmarkStart w:id="8" w:name="Tc_3glr9hKdUkWNvpG6C3W3Zw_2_2"/>
      <w:bookmarkStart w:id="9" w:name="Tc_0mpHK3tLTEa25iK3DY7o1A_2_0"/>
      <w:bookmarkStart w:id="10" w:name="Tc_U38ViuYjHkKcdk8KPUE6vQ_0_0"/>
      <w:bookmarkStart w:id="11" w:name="_489ed942_4f0d_47f6_a1b5_4fa1fa7265de"/>
      <w:bookmarkEnd w:id="8"/>
      <w:bookmarkEnd w:id="9"/>
      <w:bookmarkEnd w:id="10"/>
      <w:bookmarkEnd w:id="11"/>
    </w:p>
    <w:tbl>
      <w:tblPr>
        <w:tblW w:w="7153" w:type="dxa"/>
        <w:jc w:val="left"/>
        <w:tblInd w:w="0" w:type="dxa"/>
        <w:tblLayout w:type="fixed"/>
        <w:tblCellMar>
          <w:top w:w="0" w:type="dxa"/>
          <w:left w:w="0" w:type="dxa"/>
          <w:bottom w:w="0" w:type="dxa"/>
          <w:right w:w="0" w:type="dxa"/>
        </w:tblCellMar>
      </w:tblPr>
      <w:tblGrid>
        <w:gridCol w:w="4291"/>
        <w:gridCol w:w="326"/>
        <w:gridCol w:w="2536"/>
      </w:tblGrid>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British Columbia, Canada</w:t>
            </w:r>
          </w:p>
        </w:tc>
        <w:tc>
          <w:tcPr>
            <w:tcW w:w="326" w:type="dxa"/>
            <w:tcBorders/>
            <w:vAlign w:val="center"/>
          </w:tcPr>
          <w:p>
            <w:pPr>
              <w:pStyle w:val="TableContents"/>
              <w:bidi w:val="0"/>
              <w:spacing w:before="0" w:after="0"/>
              <w:ind w:left="0" w:right="0" w:hanging="0"/>
              <w:jc w:val="left"/>
              <w:rPr/>
            </w:pPr>
            <w:r>
              <w:rPr/>
              <w:t>    </w:t>
            </w:r>
          </w:p>
        </w:tc>
        <w:tc>
          <w:tcPr>
            <w:tcW w:w="2536"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Not Applicable</w:t>
            </w:r>
          </w:p>
        </w:tc>
      </w:tr>
      <w:tr>
        <w:trPr/>
        <w:tc>
          <w:tcPr>
            <w:tcW w:w="42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536" w:type="dxa"/>
            <w:tcBorders/>
            <w:vAlign w:val="center"/>
          </w:tcPr>
          <w:p>
            <w:pPr>
              <w:pStyle w:val="TableContents"/>
              <w:bidi w:val="0"/>
              <w:spacing w:before="0" w:after="0"/>
              <w:ind w:left="0" w:right="0" w:hanging="0"/>
              <w:jc w:val="center"/>
              <w:rPr/>
            </w:pPr>
            <w:r>
              <w:rPr/>
              <w:t>​</w:t>
            </w:r>
          </w:p>
        </w:tc>
      </w:tr>
      <w:tr>
        <w:trPr/>
        <w:tc>
          <w:tcPr>
            <w:tcW w:w="4291" w:type="dxa"/>
            <w:tcBorders/>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c>
        <w:tc>
          <w:tcPr>
            <w:tcW w:w="326" w:type="dxa"/>
            <w:tcBorders/>
            <w:vAlign w:val="center"/>
          </w:tcPr>
          <w:p>
            <w:pPr>
              <w:pStyle w:val="TableContents"/>
              <w:bidi w:val="0"/>
              <w:spacing w:before="0" w:after="0"/>
              <w:ind w:left="0" w:right="0" w:hanging="0"/>
              <w:jc w:val="left"/>
              <w:rPr/>
            </w:pPr>
            <w:r>
              <w:rPr/>
              <w:t>​</w:t>
            </w:r>
          </w:p>
        </w:tc>
        <w:tc>
          <w:tcPr>
            <w:tcW w:w="25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2" w:name="Tc_cIeZA-8uL0Cfcq2Py50EBg_4_2"/>
      <w:bookmarkStart w:id="13" w:name="Tc_0bp_LSSBmEKCpqX_budMOg_4_0"/>
      <w:bookmarkStart w:id="14" w:name="Tc_Qz6PLzDuPkyXZw16VHRSnA_2_0"/>
      <w:bookmarkStart w:id="15" w:name="_d7746b50_3e4f_49be_95d2_6cd734f1f800"/>
      <w:bookmarkStart w:id="16" w:name="Tc_cIeZA-8uL0Cfcq2Py50EBg_4_2"/>
      <w:bookmarkStart w:id="17" w:name="Tc_0bp_LSSBmEKCpqX_budMOg_4_0"/>
      <w:bookmarkStart w:id="18" w:name="Tc_Qz6PLzDuPkyXZw16VHRSnA_2_0"/>
      <w:bookmarkStart w:id="19" w:name="_d7746b50_3e4f_49be_95d2_6cd734f1f800"/>
      <w:bookmarkEnd w:id="16"/>
      <w:bookmarkEnd w:id="17"/>
      <w:bookmarkEnd w:id="18"/>
      <w:bookmarkEnd w:id="19"/>
    </w:p>
    <w:tbl>
      <w:tblPr>
        <w:tblW w:w="4108" w:type="dxa"/>
        <w:jc w:val="left"/>
        <w:tblInd w:w="0" w:type="dxa"/>
        <w:tblLayout w:type="fixed"/>
        <w:tblCellMar>
          <w:top w:w="0" w:type="dxa"/>
          <w:left w:w="0" w:type="dxa"/>
          <w:bottom w:w="0" w:type="dxa"/>
          <w:right w:w="0" w:type="dxa"/>
        </w:tblCellMar>
      </w:tblPr>
      <w:tblGrid>
        <w:gridCol w:w="2866"/>
        <w:gridCol w:w="326"/>
        <w:gridCol w:w="916"/>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16" w:type="dxa"/>
            <w:tcBorders/>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595 Howe Street, 10th Floor</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center"/>
              <w:rPr/>
            </w:pPr>
            <w:r>
              <w:rPr/>
              <w:t>​</w:t>
            </w:r>
          </w:p>
        </w:tc>
      </w:tr>
      <w:tr>
        <w:trPr/>
        <w:tc>
          <w:tcPr>
            <w:tcW w:w="28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Vancouver, British Columbia</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V6C 2T5</w:t>
            </w:r>
          </w:p>
        </w:tc>
      </w:tr>
      <w:tr>
        <w:trPr/>
        <w:tc>
          <w:tcPr>
            <w:tcW w:w="28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r>
      <w:tr>
        <w:trPr/>
        <w:tc>
          <w:tcPr>
            <w:tcW w:w="2866" w:type="dxa"/>
            <w:tcBorders/>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(574) 252-9333</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 applicable</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(Former name, former address and former fiscal year, if changed since last report)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0" w:name="Tc_14sEYM7nDUeVbLxJ2EgyWA_4_4"/>
      <w:bookmarkStart w:id="21" w:name="Tc_NPsw8AoKoUO2f_50RBJaCA_2_4"/>
      <w:bookmarkStart w:id="22" w:name="Tc_Z3rh1kmT6UCryPROANoOYA_0_4"/>
      <w:bookmarkStart w:id="23" w:name="Tc_Xz9dMhgb00iRkiAF3_Pt6A_0_2"/>
      <w:bookmarkStart w:id="24" w:name="Tc_Iag8LSXXdk6KWY-Z6Uv-UQ_0_0"/>
      <w:bookmarkStart w:id="25" w:name="_077cefb7_0cdf_49f9_8c5e_1b4ce430b0fa"/>
      <w:bookmarkStart w:id="26" w:name="Tc_14sEYM7nDUeVbLxJ2EgyWA_4_4"/>
      <w:bookmarkStart w:id="27" w:name="Tc_NPsw8AoKoUO2f_50RBJaCA_2_4"/>
      <w:bookmarkStart w:id="28" w:name="Tc_Z3rh1kmT6UCryPROANoOYA_0_4"/>
      <w:bookmarkStart w:id="29" w:name="Tc_Xz9dMhgb00iRkiAF3_Pt6A_0_2"/>
      <w:bookmarkStart w:id="30" w:name="Tc_Iag8LSXXdk6KWY-Z6Uv-UQ_0_0"/>
      <w:bookmarkStart w:id="31" w:name="_077cefb7_0cdf_49f9_8c5e_1b4ce430b0fa"/>
      <w:bookmarkEnd w:id="26"/>
      <w:bookmarkEnd w:id="27"/>
      <w:bookmarkEnd w:id="28"/>
      <w:bookmarkEnd w:id="29"/>
      <w:bookmarkEnd w:id="30"/>
      <w:bookmarkEnd w:id="31"/>
    </w:p>
    <w:tbl>
      <w:tblPr>
        <w:tblW w:w="10205" w:type="dxa"/>
        <w:jc w:val="left"/>
        <w:tblInd w:w="0" w:type="dxa"/>
        <w:tblLayout w:type="fixed"/>
        <w:tblCellMar>
          <w:top w:w="0" w:type="dxa"/>
          <w:left w:w="0" w:type="dxa"/>
          <w:bottom w:w="28" w:type="dxa"/>
          <w:right w:w="0" w:type="dxa"/>
        </w:tblCellMar>
      </w:tblPr>
      <w:tblGrid>
        <w:gridCol w:w="4840"/>
        <w:gridCol w:w="326"/>
        <w:gridCol w:w="1396"/>
        <w:gridCol w:w="326"/>
        <w:gridCol w:w="3317"/>
      </w:tblGrid>
      <w:tr>
        <w:trPr/>
        <w:tc>
          <w:tcPr>
            <w:tcW w:w="484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139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3317"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4840" w:type="dxa"/>
            <w:tcBorders>
              <w:top w:val="single" w:sz="8" w:space="0" w:color="000000"/>
            </w:tcBorders>
            <w:tcMar>
              <w:top w:w="28" w:type="dxa"/>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396" w:type="dxa"/>
            <w:tcBorders>
              <w:top w:val="single" w:sz="8" w:space="0" w:color="000000"/>
            </w:tcBorders>
            <w:tcMar>
              <w:top w:w="28" w:type="dxa"/>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317" w:type="dxa"/>
            <w:tcBorders>
              <w:top w:val="single" w:sz="8" w:space="0" w:color="000000"/>
            </w:tcBorders>
            <w:tcMar>
              <w:top w:w="28" w:type="dxa"/>
              <w:bottom w:w="0" w:type="dxa"/>
            </w:tcMar>
            <w:vAlign w:val="center"/>
          </w:tcPr>
          <w:p>
            <w:pPr>
              <w:pStyle w:val="TableContents"/>
              <w:bidi w:val="0"/>
              <w:spacing w:before="0" w:after="0"/>
              <w:ind w:left="0" w:right="0" w:hanging="0"/>
              <w:jc w:val="center"/>
              <w:rPr/>
            </w:pPr>
            <w:r>
              <w:rPr/>
              <w:t>​</w:t>
            </w:r>
          </w:p>
        </w:tc>
      </w:tr>
      <w:tr>
        <w:trPr/>
        <w:tc>
          <w:tcPr>
            <w:tcW w:w="4840"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Shares, without par value</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39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TMC</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31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The Nasdaq</w:t>
            </w:r>
            <w:r>
              <w:rPr>
                <w:rFonts w:ascii="Times New Roman;Times;serif" w:hAnsi="Times New Roman;Times;serif"/>
                <w:sz w:val="20"/>
              </w:rPr>
              <w:t xml:space="preserve"> </w:t>
            </w:r>
            <w:r>
              <w:rPr>
                <w:rFonts w:ascii="Times New Roman;Times;serif" w:hAnsi="Times New Roman;Times;serif"/>
                <w:sz w:val="16"/>
              </w:rPr>
              <w:t>Stock Market LLC</w:t>
            </w:r>
          </w:p>
        </w:tc>
      </w:tr>
      <w:tr>
        <w:trPr/>
        <w:tc>
          <w:tcPr>
            <w:tcW w:w="4840" w:type="dxa"/>
            <w:tcBorders/>
            <w:tcMar>
              <w:bottom w:w="0" w:type="dxa"/>
            </w:tcMar>
            <w:vAlign w:val="center"/>
          </w:tcPr>
          <w:p>
            <w:pPr>
              <w:pStyle w:val="TableContents"/>
              <w:pBdr/>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396" w:type="dxa"/>
            <w:tcBorders/>
            <w:tcMar>
              <w:bottom w:w="0" w:type="dxa"/>
            </w:tcMar>
            <w:vAlign w:val="center"/>
          </w:tcPr>
          <w:p>
            <w:pPr>
              <w:pStyle w:val="TableContents"/>
              <w:bidi w:val="0"/>
              <w:spacing w:before="0" w:after="0"/>
              <w:ind w:left="0" w:right="0" w:hanging="0"/>
              <w:jc w:val="center"/>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317" w:type="dxa"/>
            <w:tcBorders/>
            <w:tcMar>
              <w:bottom w:w="0" w:type="dxa"/>
            </w:tcMar>
            <w:vAlign w:val="center"/>
          </w:tcPr>
          <w:p>
            <w:pPr>
              <w:pStyle w:val="TableContents"/>
              <w:bidi w:val="0"/>
              <w:spacing w:before="0" w:after="0"/>
              <w:ind w:left="0" w:right="0" w:hanging="0"/>
              <w:jc w:val="center"/>
              <w:rPr/>
            </w:pPr>
            <w:r>
              <w:rPr/>
              <w:t>​</w:t>
            </w:r>
          </w:p>
        </w:tc>
      </w:tr>
      <w:tr>
        <w:trPr/>
        <w:tc>
          <w:tcPr>
            <w:tcW w:w="4840"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Redeemable warrants, each whole warrant exercisable for one Common Share, each at an exercise price of $11.50 per share</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39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TMCWW</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31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The Nasdaq</w:t>
            </w:r>
            <w:r>
              <w:rPr>
                <w:rFonts w:ascii="Times New Roman;Times;serif" w:hAnsi="Times New Roman;Times;serif"/>
                <w:sz w:val="20"/>
              </w:rPr>
              <w:t xml:space="preserve"> </w:t>
            </w:r>
            <w:r>
              <w:rPr>
                <w:rFonts w:ascii="Times New Roman;Times;serif" w:hAnsi="Times New Roman;Times;serif"/>
                <w:sz w:val="16"/>
              </w:rPr>
              <w:t>Stock Market LLC</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2" w:name="Tc_xK8BS4aHKkqCJFczpXBAkw_3_2"/>
      <w:bookmarkStart w:id="33" w:name="Tc_eQ28KDiEKkeFSZs0AJU4ug_2_2"/>
      <w:bookmarkStart w:id="34" w:name="Tc_1p0eOE66V0yhpKfNnduOYg_2_0"/>
      <w:bookmarkStart w:id="35" w:name="Tc_Np5_J3jc_U642Cq07EBW2w_1_4"/>
      <w:bookmarkStart w:id="36" w:name="Tc_FhaWz6W63EWKbhs6TMFEAQ_1_2"/>
      <w:bookmarkStart w:id="37" w:name="Tc_8YPpee2bzECnek6bCrjOJA_1_0"/>
      <w:bookmarkStart w:id="38" w:name="_dc6a0499_4868_4b17_a786_46a8c5a293a6"/>
      <w:bookmarkStart w:id="39" w:name="Tc_xK8BS4aHKkqCJFczpXBAkw_3_2"/>
      <w:bookmarkStart w:id="40" w:name="Tc_eQ28KDiEKkeFSZs0AJU4ug_2_2"/>
      <w:bookmarkStart w:id="41" w:name="Tc_1p0eOE66V0yhpKfNnduOYg_2_0"/>
      <w:bookmarkStart w:id="42" w:name="Tc_Np5_J3jc_U642Cq07EBW2w_1_4"/>
      <w:bookmarkStart w:id="43" w:name="Tc_FhaWz6W63EWKbhs6TMFEAQ_1_2"/>
      <w:bookmarkStart w:id="44" w:name="Tc_8YPpee2bzECnek6bCrjOJA_1_0"/>
      <w:bookmarkStart w:id="45" w:name="_dc6a0499_4868_4b17_a786_46a8c5a293a6"/>
      <w:bookmarkEnd w:id="39"/>
      <w:bookmarkEnd w:id="40"/>
      <w:bookmarkEnd w:id="41"/>
      <w:bookmarkEnd w:id="42"/>
      <w:bookmarkEnd w:id="43"/>
      <w:bookmarkEnd w:id="44"/>
      <w:bookmarkEnd w:id="45"/>
    </w:p>
    <w:tbl>
      <w:tblPr>
        <w:tblW w:w="4930" w:type="dxa"/>
        <w:jc w:val="left"/>
        <w:tblInd w:w="0" w:type="dxa"/>
        <w:tblLayout w:type="fixed"/>
        <w:tblCellMar>
          <w:top w:w="0" w:type="dxa"/>
          <w:left w:w="0" w:type="dxa"/>
          <w:bottom w:w="0" w:type="dxa"/>
          <w:right w:w="0" w:type="dxa"/>
        </w:tblCellMar>
      </w:tblPr>
      <w:tblGrid>
        <w:gridCol w:w="1891"/>
        <w:gridCol w:w="326"/>
        <w:gridCol w:w="2026"/>
        <w:gridCol w:w="326"/>
        <w:gridCol w:w="361"/>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189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 ☐</w:t>
            </w:r>
          </w:p>
        </w:tc>
        <w:tc>
          <w:tcPr>
            <w:tcW w:w="32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3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16"/>
              </w:rPr>
              <w:t>Non-accelerated filer</w:t>
            </w:r>
            <w:r>
              <w:rPr>
                <w:rFonts w:ascii="Times New Roman;Times;serif" w:hAnsi="Times New Roman;Times;serif"/>
                <w:sz w:val="20"/>
              </w:rPr>
              <w:t>   ☒</w:t>
            </w:r>
          </w:p>
        </w:tc>
        <w:tc>
          <w:tcPr>
            <w:tcW w:w="32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Smaller reporting company</w:t>
            </w:r>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6"/>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As of November 8, 2023, the registrant had 305,161,602 common shares outstanding.</w:t>
      </w:r>
    </w:p>
    <w:p>
      <w:pPr>
        <w:pStyle w:val="TextBody"/>
        <w:bidi w:val="0"/>
        <w:spacing w:before="0" w:after="0"/>
        <w:ind w:left="0" w:right="0" w:hanging="0"/>
        <w:jc w:val="both"/>
        <w:rPr/>
      </w:pPr>
      <w:r>
        <w:rPr/>
        <w:t>​</w:t>
      </w:r>
    </w:p>
    <w:p>
      <w:pPr>
        <w:pStyle w:val="TextBody"/>
        <w:pBdr>
          <w:top w:val="single" w:sz="2" w:space="1" w:color="000000"/>
          <w:bottom w:val="single" w:sz="24" w:space="1" w:color="000000"/>
        </w:pBdr>
        <w:bidi w:val="0"/>
        <w:spacing w:before="0" w:after="0"/>
        <w:ind w:left="0" w:right="0" w:hanging="0"/>
        <w:jc w:val="both"/>
        <w:rPr/>
      </w:pPr>
      <w:r>
        <w:rPr/>
        <w:t>​</w:t>
      </w:r>
    </w:p>
    <w:p>
      <w:pPr>
        <w:pStyle w:val="TextBody"/>
        <w:bidi w:val="0"/>
        <w:spacing w:before="0" w:after="240"/>
        <w:ind w:left="0" w:right="0" w:firstLine="360"/>
        <w:jc w:val="center"/>
        <w:rPr/>
      </w:pPr>
      <w:r>
        <w:rPr/>
        <w:t>​</w:t>
      </w:r>
    </w:p>
    <w:p>
      <w:pPr>
        <w:pStyle w:val="TextBody"/>
        <w:bidi w:val="0"/>
        <w:spacing w:before="0" w:after="240"/>
        <w:ind w:left="0" w:right="0" w:hanging="0"/>
        <w:jc w:val="both"/>
        <w:rPr/>
      </w:pPr>
      <w:r>
        <w:rPr/>
        <w:t>​</w:t>
      </w:r>
    </w:p>
    <w:p>
      <w:pPr>
        <w:pStyle w:val="TextBody"/>
        <w:bidi w:val="0"/>
        <w:spacing w:before="0" w:after="240"/>
        <w:ind w:left="0" w:right="0" w:firstLine="36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46" w:name="_c41b16ba_4664_484d_abbb_0fe44b078271"/>
      <w:bookmarkEnd w:id="46"/>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 the quarterly period ended September 30, 2023</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47" w:name="TOC"/>
      <w:bookmarkEnd w:id="47"/>
      <w:r>
        <w:rPr>
          <w:rFonts w:ascii="Times New Roman;Times;serif" w:hAnsi="Times New Roman;Times;serif"/>
          <w:b/>
          <w:sz w:val="20"/>
        </w:rPr>
        <w:t>TABLE OF CONTENTS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76"/>
        <w:gridCol w:w="326"/>
        <w:gridCol w:w="8006"/>
        <w:gridCol w:w="326"/>
        <w:gridCol w:w="571"/>
      </w:tblGrid>
      <w:tr>
        <w:trPr/>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19760" cy="525780"/>
                      <wp:effectExtent l="0" t="0" r="0" b="0"/>
                      <wp:wrapNone/>
                      <wp:docPr id="1" name="Frame1"/>
                      <a:graphic xmlns:a="http://schemas.openxmlformats.org/drawingml/2006/main">
                        <a:graphicData uri="http://schemas.microsoft.com/office/word/2010/wordprocessingShape">
                          <wps:wsp>
                            <wps:cNvSpPr txBox="1"/>
                            <wps:spPr>
                              <a:xfrm>
                                <a:off x="0" y="0"/>
                                <a:ext cx="619760" cy="525780"/>
                              </a:xfrm>
                              <a:prstGeom prst="rect"/>
                              <a:solidFill>
                                <a:srgbClr val="FFFFFF"/>
                              </a:solidFill>
                            </wps:spPr>
                            <wps:txb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29210"/>
                      <wp:effectExtent l="0" t="0" r="0" b="0"/>
                      <wp:wrapNone/>
                      <wp:docPr id="2" name="Frame2"/>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5083810" cy="175260"/>
                      <wp:effectExtent l="0" t="0" r="0" b="0"/>
                      <wp:wrapNone/>
                      <wp:docPr id="3" name="Frame3"/>
                      <a:graphic xmlns:a="http://schemas.openxmlformats.org/drawingml/2006/main">
                        <a:graphicData uri="http://schemas.microsoft.com/office/word/2010/wordprocessingShape">
                          <wps:wsp>
                            <wps:cNvSpPr txBox="1"/>
                            <wps:spPr>
                              <a:xfrm>
                                <a:off x="0" y="0"/>
                                <a:ext cx="508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7010" cy="29210"/>
                      <wp:effectExtent l="0" t="0" r="0" b="0"/>
                      <wp:wrapNone/>
                      <wp:docPr id="4" name="Frame4"/>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362585" cy="29210"/>
                      <wp:effectExtent l="0" t="0" r="0" b="0"/>
                      <wp:wrapNone/>
                      <wp:docPr id="5" name="Frame5"/>
                      <a:graphic xmlns:a="http://schemas.openxmlformats.org/drawingml/2006/main">
                        <a:graphicData uri="http://schemas.microsoft.com/office/word/2010/wordprocessingShape">
                          <wps:wsp>
                            <wps:cNvSpPr txBox="1"/>
                            <wps:spPr>
                              <a:xfrm>
                                <a:off x="0" y="0"/>
                                <a:ext cx="362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top w:val="single" w:sz="8" w:space="0" w:color="000000"/>
            </w:tcBorders>
            <w:tcMar>
              <w:top w:w="28" w:type="dxa"/>
            </w:tcMar>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CAUTIONARYNOTEREGARDINGFORWARDLOOKINGSTA">
              <w:r>
                <w:rPr>
                  <w:rStyle w:val="InternetLink"/>
                  <w:rFonts w:ascii="Times New Roman;Times;serif" w:hAnsi="Times New Roman;Times;serif"/>
                  <w:b w:val="false"/>
                  <w:i w:val="false"/>
                  <w:caps w:val="false"/>
                  <w:smallCaps w:val="false"/>
                  <w:sz w:val="20"/>
                </w:rPr>
                <w:t>Cautionary Note Regarding Forward-Looking Statements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PARTIFINANCIALINFORMATION_598400">
              <w:r>
                <w:rPr>
                  <w:rStyle w:val="InternetLink"/>
                  <w:rFonts w:ascii="Times New Roman;Times;serif" w:hAnsi="Times New Roman;Times;serif"/>
                  <w:b/>
                  <w:i w:val="false"/>
                  <w:caps w:val="false"/>
                  <w:smallCaps w:val="false"/>
                  <w:sz w:val="20"/>
                </w:rPr>
                <w:t>Part I</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PARTIFINANCIALINFORMATION_598400">
              <w:r>
                <w:rPr>
                  <w:rStyle w:val="InternetLink"/>
                  <w:rFonts w:ascii="Times New Roman;Times;serif" w:hAnsi="Times New Roman;Times;serif"/>
                  <w:b/>
                  <w:i w:val="false"/>
                  <w:caps w:val="false"/>
                  <w:smallCaps w:val="false"/>
                  <w:sz w:val="20"/>
                </w:rPr>
                <w:t>Financial Information</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1FinancialStatements_168789">
              <w:r>
                <w:rPr>
                  <w:rStyle w:val="InternetLink"/>
                  <w:rFonts w:ascii="Times New Roman;Times;serif" w:hAnsi="Times New Roman;Times;serif"/>
                  <w:b w:val="false"/>
                  <w:i w:val="false"/>
                  <w:caps w:val="false"/>
                  <w:smallCaps w:val="false"/>
                  <w:sz w:val="20"/>
                </w:rPr>
                <w:t>Item 1.</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1FinancialStatements_168789">
              <w:r>
                <w:rPr>
                  <w:rStyle w:val="InternetLink"/>
                  <w:rFonts w:ascii="Times New Roman;Times;serif" w:hAnsi="Times New Roman;Times;serif"/>
                  <w:b w:val="false"/>
                  <w:i w:val="false"/>
                  <w:caps w:val="false"/>
                  <w:smallCaps w:val="false"/>
                  <w:sz w:val="20"/>
                </w:rPr>
                <w:t>Financial Statements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pBdr/>
              <w:bidi w:val="0"/>
              <w:spacing w:before="0" w:after="0"/>
              <w:ind w:left="0" w:right="0" w:hanging="0"/>
              <w:jc w:val="left"/>
              <w:rPr/>
            </w:pPr>
            <w:hyperlink w:anchor="CondensedConsolidatedBalanceSheets_49440">
              <w:r>
                <w:rPr>
                  <w:rStyle w:val="InternetLink"/>
                  <w:rFonts w:ascii="Times New Roman;Times;serif" w:hAnsi="Times New Roman;Times;serif"/>
                  <w:b w:val="false"/>
                  <w:i w:val="false"/>
                  <w:caps w:val="false"/>
                  <w:smallCaps w:val="false"/>
                  <w:sz w:val="20"/>
                </w:rPr>
                <w:t>Condensed Consolidated Balance Sheets as of September 30, 2023 and December 31, 2022 (Unaudited)</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pBdr/>
              <w:bidi w:val="0"/>
              <w:spacing w:before="0" w:after="0"/>
              <w:ind w:left="0" w:right="0" w:hanging="0"/>
              <w:jc w:val="left"/>
              <w:rPr/>
            </w:pPr>
            <w:hyperlink w:anchor="CondensedConsolidatedStatementsofLossand">
              <w:r>
                <w:rPr>
                  <w:rStyle w:val="InternetLink"/>
                  <w:rFonts w:ascii="Times New Roman;Times;serif" w:hAnsi="Times New Roman;Times;serif"/>
                  <w:b w:val="false"/>
                  <w:i w:val="false"/>
                  <w:caps w:val="false"/>
                  <w:smallCaps w:val="false"/>
                  <w:sz w:val="20"/>
                </w:rPr>
                <w:t>Condensed Consolidated Statements of Loss and Comprehensive Loss for the three and nine months ended September 30, 2023 and 2022 (Unaudited)</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pBdr/>
              <w:bidi w:val="0"/>
              <w:spacing w:before="0" w:after="0"/>
              <w:ind w:left="0" w:right="0" w:hanging="0"/>
              <w:jc w:val="left"/>
              <w:rPr/>
            </w:pPr>
            <w:hyperlink w:anchor="CondensedConsolidatedStatementsofChanges">
              <w:r>
                <w:rPr>
                  <w:rStyle w:val="InternetLink"/>
                  <w:rFonts w:ascii="Times New Roman;Times;serif" w:hAnsi="Times New Roman;Times;serif"/>
                  <w:b w:val="false"/>
                  <w:i w:val="false"/>
                  <w:caps w:val="false"/>
                  <w:smallCaps w:val="false"/>
                  <w:sz w:val="20"/>
                </w:rPr>
                <w:t>Condensed Consolidated Statements of Changes in Equity for the three and nine months ended September 30, 2023 and 2022 (Unaudited)</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pBdr/>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for the nine months ended September 30, 2023 and 2022 (Unaudited)</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a1NatureofOperations_669125">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4ControlsandProcedures_279483">
              <w:r>
                <w:rPr>
                  <w:rStyle w:val="InternetLink"/>
                  <w:rFonts w:ascii="Times New Roman;Times;serif" w:hAnsi="Times New Roman;Times;serif"/>
                  <w:b w:val="false"/>
                  <w:i w:val="false"/>
                  <w:caps w:val="false"/>
                  <w:smallCaps w:val="false"/>
                  <w:sz w:val="20"/>
                </w:rPr>
                <w:t>Item 4.</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4ControlsandProcedures_279483">
              <w:r>
                <w:rPr>
                  <w:rStyle w:val="InternetLink"/>
                  <w:rFonts w:ascii="Times New Roman;Times;serif" w:hAnsi="Times New Roman;Times;serif"/>
                  <w:b w:val="false"/>
                  <w:i w:val="false"/>
                  <w:caps w:val="false"/>
                  <w:smallCaps w:val="false"/>
                  <w:sz w:val="20"/>
                </w:rPr>
                <w:t>Controls and Procedures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PARTIIOTHERINFORMATION_322011">
              <w:r>
                <w:rPr>
                  <w:rStyle w:val="InternetLink"/>
                  <w:rFonts w:ascii="Times New Roman;Times;serif" w:hAnsi="Times New Roman;Times;serif"/>
                  <w:b/>
                  <w:i w:val="false"/>
                  <w:caps w:val="false"/>
                  <w:smallCaps w:val="false"/>
                  <w:sz w:val="20"/>
                </w:rPr>
                <w:t>Part II</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PARTIIOTHERINFORMATION_322011">
              <w:r>
                <w:rPr>
                  <w:rStyle w:val="InternetLink"/>
                  <w:rFonts w:ascii="Times New Roman;Times;serif" w:hAnsi="Times New Roman;Times;serif"/>
                  <w:b/>
                  <w:i w:val="false"/>
                  <w:caps w:val="false"/>
                  <w:smallCaps w:val="false"/>
                  <w:sz w:val="20"/>
                </w:rPr>
                <w:t>Other Information</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1LEGALPROCEEDINGS_208283">
              <w:r>
                <w:rPr>
                  <w:rStyle w:val="InternetLink"/>
                  <w:rFonts w:ascii="Times New Roman;Times;serif" w:hAnsi="Times New Roman;Times;serif"/>
                  <w:b w:val="false"/>
                  <w:i w:val="false"/>
                  <w:caps w:val="false"/>
                  <w:smallCaps w:val="false"/>
                  <w:sz w:val="20"/>
                </w:rPr>
                <w:t>Item 1.</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1LEGALPROCEEDINGS_208283">
              <w:r>
                <w:rPr>
                  <w:rStyle w:val="InternetLink"/>
                  <w:rFonts w:ascii="Times New Roman;Times;serif" w:hAnsi="Times New Roman;Times;serif"/>
                  <w:b w:val="false"/>
                  <w:i w:val="false"/>
                  <w:caps w:val="false"/>
                  <w:smallCaps w:val="false"/>
                  <w:sz w:val="20"/>
                </w:rPr>
                <w:t>Legal Proceedings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1ARISKFACTORS_765069">
              <w:r>
                <w:rPr>
                  <w:rStyle w:val="InternetLink"/>
                  <w:rFonts w:ascii="Times New Roman;Times;serif" w:hAnsi="Times New Roman;Times;serif"/>
                  <w:b w:val="false"/>
                  <w:i w:val="false"/>
                  <w:caps w:val="false"/>
                  <w:smallCaps w:val="false"/>
                  <w:sz w:val="20"/>
                </w:rPr>
                <w:t>Item 1A.</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1ARISKFACTORS_765069">
              <w:r>
                <w:rPr>
                  <w:rStyle w:val="InternetLink"/>
                  <w:rFonts w:ascii="Times New Roman;Times;serif" w:hAnsi="Times New Roman;Times;serif"/>
                  <w:b w:val="false"/>
                  <w:i w:val="false"/>
                  <w:caps w:val="false"/>
                  <w:smallCaps w:val="false"/>
                  <w:sz w:val="20"/>
                </w:rPr>
                <w:t>Risk Factors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3DEFAULTSUPONSENIORSECURITIES_440018">
              <w:r>
                <w:rPr>
                  <w:rStyle w:val="InternetLink"/>
                  <w:rFonts w:ascii="Times New Roman;Times;serif" w:hAnsi="Times New Roman;Times;serif"/>
                  <w:b w:val="false"/>
                  <w:i w:val="false"/>
                  <w:caps w:val="false"/>
                  <w:smallCaps w:val="false"/>
                  <w:sz w:val="20"/>
                </w:rPr>
                <w:t>Item 3.</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3DEFAULTSUPONSENIORSECURITIES_440018">
              <w:r>
                <w:rPr>
                  <w:rStyle w:val="InternetLink"/>
                  <w:rFonts w:ascii="Times New Roman;Times;serif" w:hAnsi="Times New Roman;Times;serif"/>
                  <w:b w:val="false"/>
                  <w:i w:val="false"/>
                  <w:caps w:val="false"/>
                  <w:smallCaps w:val="false"/>
                  <w:sz w:val="20"/>
                </w:rPr>
                <w:t>Defaults Upon Senior Securities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4MINESAFETYDISCLOSURES_620629">
              <w:r>
                <w:rPr>
                  <w:rStyle w:val="InternetLink"/>
                  <w:rFonts w:ascii="Times New Roman;Times;serif" w:hAnsi="Times New Roman;Times;serif"/>
                  <w:b w:val="false"/>
                  <w:i w:val="false"/>
                  <w:caps w:val="false"/>
                  <w:smallCaps w:val="false"/>
                  <w:sz w:val="20"/>
                </w:rPr>
                <w:t>Item 4.</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4MINESAFETYDISCLOSURES_620629">
              <w:r>
                <w:rPr>
                  <w:rStyle w:val="InternetLink"/>
                  <w:rFonts w:ascii="Times New Roman;Times;serif" w:hAnsi="Times New Roman;Times;serif"/>
                  <w:b w:val="false"/>
                  <w:i w:val="false"/>
                  <w:caps w:val="false"/>
                  <w:smallCaps w:val="false"/>
                  <w:sz w:val="20"/>
                </w:rPr>
                <w:t>Mine Safety Disclosures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5OTHERINFORMATION_798310">
              <w:r>
                <w:rPr>
                  <w:rStyle w:val="InternetLink"/>
                  <w:rFonts w:ascii="Times New Roman;Times;serif" w:hAnsi="Times New Roman;Times;serif"/>
                  <w:b w:val="false"/>
                  <w:i w:val="false"/>
                  <w:caps w:val="false"/>
                  <w:smallCaps w:val="false"/>
                  <w:sz w:val="20"/>
                </w:rPr>
                <w:t>Item 5.</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5OTHERINFORMATION_798310">
              <w:r>
                <w:rPr>
                  <w:rStyle w:val="InternetLink"/>
                  <w:rFonts w:ascii="Times New Roman;Times;serif" w:hAnsi="Times New Roman;Times;serif"/>
                  <w:b w:val="false"/>
                  <w:i w:val="false"/>
                  <w:caps w:val="false"/>
                  <w:smallCaps w:val="false"/>
                  <w:sz w:val="20"/>
                </w:rPr>
                <w:t>Other Information</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TEM6EXHIBITS_305687">
              <w:r>
                <w:rPr>
                  <w:rStyle w:val="InternetLink"/>
                  <w:rFonts w:ascii="Times New Roman;Times;serif" w:hAnsi="Times New Roman;Times;serif"/>
                  <w:b w:val="false"/>
                  <w:i w:val="false"/>
                  <w:caps w:val="false"/>
                  <w:smallCaps w:val="false"/>
                  <w:sz w:val="20"/>
                </w:rPr>
                <w:t>Item 6.</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hyperlink w:anchor="ITEM6EXHIBITS_305687">
              <w:r>
                <w:rPr>
                  <w:rStyle w:val="InternetLink"/>
                  <w:rFonts w:ascii="Times New Roman;Times;serif" w:hAnsi="Times New Roman;Times;serif"/>
                  <w:b w:val="false"/>
                  <w:i w:val="false"/>
                  <w:caps w:val="false"/>
                  <w:smallCaps w:val="false"/>
                  <w:sz w:val="20"/>
                </w:rPr>
                <w:t>Exhibits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shd w:fill="CCEEFF" w:val="clear"/>
            <w:vAlign w:val="center"/>
          </w:tcPr>
          <w:p>
            <w:pPr>
              <w:pStyle w:val="TableContents"/>
              <w:pBdr/>
              <w:bidi w:val="0"/>
              <w:spacing w:before="0" w:after="0"/>
              <w:ind w:left="0" w:right="0" w:hanging="0"/>
              <w:jc w:val="left"/>
              <w:rPr/>
            </w:pPr>
            <w:hyperlink w:anchor="iSkippedRange_90101">
              <w:r>
                <w:rPr>
                  <w:rStyle w:val="InternetLink"/>
                  <w:rFonts w:ascii="Times New Roman;Times;serif" w:hAnsi="Times New Roman;Times;serif"/>
                  <w:b w:val="false"/>
                  <w:i w:val="false"/>
                  <w:caps w:val="false"/>
                  <w:smallCaps w:val="false"/>
                  <w:sz w:val="20"/>
                </w:rPr>
                <w:t>Signatures</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0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48" w:name="_bfc29b69_3fde_4356_9c57_e089ff988485"/>
      <w:bookmarkEnd w:id="48"/>
      <w:r>
        <w:rPr>
          <w:rFonts w:ascii="Times New Roman;Times;serif" w:hAnsi="Times New Roman;Times;serif"/>
          <w:sz w:val="20"/>
        </w:rPr>
        <w:t>In this Quarterly Report on Form 10-Q, the terms “we,” “us,” “our,” the “Company” and “TMC” mean TMC the metals company Inc. (formerly Sustainable Opportunities Acquisition Corp.) and our subsidiaries. On September 9, 2021, Sustainable Opportunities Acquisition Corp. (“SOAC” and after the Business Combination described herein, the “Company”) consummated a business combination (the “Business Combination”) pursuant to the terms of the business combination agreement dated as of March 4, 2021  by and among SOAC, 1291924 B.C. Unlimited Liability Company, an unlimited liability company existing under the laws of British Columbia, Canada, and DeepGreen Metals Inc., a company existing under the laws of British Columbia, Canada (“DeepGreen”). In connection with the Business Combination, SOAC changed its name to “TMC the metals company Inc”.  The combined company’s common shares and warrants to purchase common shares commenced trading on the Nasdaq Global Select Market (“Nasdaq”) on September 10, 2021, under the symbols “TMC” and “TMCWW,” respectively.</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bookmarkStart w:id="49" w:name="CAUTIONARYNOTEREGARDINGFORWARDLOOKINGSTA"/>
      <w:bookmarkEnd w:id="49"/>
      <w:r>
        <w:rPr>
          <w:rFonts w:ascii="Times New Roman;Times;serif" w:hAnsi="Times New Roman;Times;serif"/>
          <w:b/>
          <w:sz w:val="20"/>
        </w:rPr>
        <w:t>CAUTIONARY NOTE REGARDING FORWARD-LOOKING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This Quarterly Report on Form 10-Q includes forward-looking statements within the meaning of Section 27A of the Securities Act of 1933, as amended (the “Securities Act”), and Section 21E of the Securities Exchange Act of 1934, as amended (the “Exchange Act”),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These statements may be preceded by, followed by or include the words “believes,” “estimates,” “expects,” “projects,” “forecasts,” “may,” “will,” “should,” “seeks,” “plans,” “scheduled,” “anticipates” or “intends” or the negative of these terms, or other comparable terminology intended to identify statements about the future, although not all forward-looking statements contain these identifying words. The forward-looking statements are based on projections prepared by, and are the responsibility of, our management. Forward-looking statements contained in this Quarterly Report on Form 10-Q include, but are not limited to, statements about:</w:t>
      </w:r>
    </w:p>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and technical feasibility of seafloor polymetallic nodule collection and processing;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and our partners’ development and operational plans, including with respect to the planned uses of polymetallic nodules, where and how nodules will be obtained and processed, the expected environmental, social and governance impacts thereof and our plans to assess these impacts and the timing and scope of these plans, including the timing and expectations with respect to our receipt of exploitation contracts and our commercialization plans;</w:t>
            </w:r>
          </w:p>
        </w:tc>
      </w:tr>
    </w:tbl>
    <w:tbl>
      <w:tblPr>
        <w:tblW w:w="9456" w:type="dxa"/>
        <w:jc w:val="left"/>
        <w:tblInd w:w="0" w:type="dxa"/>
        <w:tblLayout w:type="fixed"/>
        <w:tblCellMar>
          <w:top w:w="28" w:type="dxa"/>
          <w:left w:w="28" w:type="dxa"/>
          <w:bottom w:w="28" w:type="dxa"/>
          <w:right w:w="28" w:type="dxa"/>
        </w:tblCellMar>
      </w:tblPr>
      <w:tblGrid>
        <w:gridCol w:w="124"/>
        <w:gridCol w:w="256"/>
        <w:gridCol w:w="9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supply and demand for nickel, cobalt and battery cathode feedstocks, copper cathode and manganese ores;</w:t>
            </w:r>
          </w:p>
        </w:tc>
      </w:tr>
    </w:tbl>
    <w:tbl>
      <w:tblPr>
        <w:tblW w:w="8811" w:type="dxa"/>
        <w:jc w:val="left"/>
        <w:tblInd w:w="0" w:type="dxa"/>
        <w:tblLayout w:type="fixed"/>
        <w:tblCellMar>
          <w:top w:w="28" w:type="dxa"/>
          <w:left w:w="28" w:type="dxa"/>
          <w:bottom w:w="28" w:type="dxa"/>
          <w:right w:w="28" w:type="dxa"/>
        </w:tblCellMar>
      </w:tblPr>
      <w:tblGrid>
        <w:gridCol w:w="124"/>
        <w:gridCol w:w="256"/>
        <w:gridCol w:w="8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prices of nickel, cobalt and battery cathode feedstocks, copper cathode and manganese ores;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content of International Seabed Authority’s (“ISA”) final exploitation regulations that will create the legal and technical framework for exploitation of polymetallic nodules in the Clarion Clipperton Zone of the Pacific Ocean (“CCZ”);</w:t>
            </w:r>
          </w:p>
        </w:tc>
      </w:tr>
    </w:tbl>
    <w:tbl>
      <w:tblPr>
        <w:tblW w:w="9636" w:type="dxa"/>
        <w:jc w:val="left"/>
        <w:tblInd w:w="0" w:type="dxa"/>
        <w:tblLayout w:type="fixed"/>
        <w:tblCellMar>
          <w:top w:w="28" w:type="dxa"/>
          <w:left w:w="28" w:type="dxa"/>
          <w:bottom w:w="28" w:type="dxa"/>
          <w:right w:w="28" w:type="dxa"/>
        </w:tblCellMar>
      </w:tblPr>
      <w:tblGrid>
        <w:gridCol w:w="124"/>
        <w:gridCol w:w="256"/>
        <w:gridCol w:w="9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regulation of mineral extraction from the deep seafloor and changes in mining laws and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technical, operational, environmental, social and governance risks of developing and deploying equipment to collect and ship polymetallic nodules at sea, and to process such nodules on land;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sources and timing of potential revenue as well as the timing and amount of estimated future production, costs of production, other expenses, capital expenditures and requirements for additional capital;</w:t>
            </w:r>
          </w:p>
        </w:tc>
      </w:tr>
    </w:tbl>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 provided by operating activities;</w:t>
            </w:r>
          </w:p>
        </w:tc>
      </w:tr>
    </w:tbl>
    <w:tbl>
      <w:tblPr>
        <w:tblW w:w="6636" w:type="dxa"/>
        <w:jc w:val="left"/>
        <w:tblInd w:w="0" w:type="dxa"/>
        <w:tblLayout w:type="fixed"/>
        <w:tblCellMar>
          <w:top w:w="28" w:type="dxa"/>
          <w:left w:w="28" w:type="dxa"/>
          <w:bottom w:w="28" w:type="dxa"/>
          <w:right w:w="28" w:type="dxa"/>
        </w:tblCellMar>
      </w:tblPr>
      <w:tblGrid>
        <w:gridCol w:w="124"/>
        <w:gridCol w:w="256"/>
        <w:gridCol w:w="6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activities of our partners under our key strategic relationships;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sufficiency of our cash on hand to meet our working capital and capital expenditure requirements, the need for additional financing and our ability to continue as a going concern;</w:t>
            </w:r>
          </w:p>
        </w:tc>
      </w:tr>
    </w:tbl>
    <w:tbl>
      <w:tblPr>
        <w:tblW w:w="9411" w:type="dxa"/>
        <w:jc w:val="left"/>
        <w:tblInd w:w="0" w:type="dxa"/>
        <w:tblLayout w:type="fixed"/>
        <w:tblCellMar>
          <w:top w:w="28" w:type="dxa"/>
          <w:left w:w="28" w:type="dxa"/>
          <w:bottom w:w="28" w:type="dxa"/>
          <w:right w:w="28" w:type="dxa"/>
        </w:tblCellMar>
      </w:tblPr>
      <w:tblGrid>
        <w:gridCol w:w="124"/>
        <w:gridCol w:w="256"/>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financing in the future, the nature of any such financing and our plans with respect thereto;</w:t>
            </w:r>
          </w:p>
        </w:tc>
      </w:tr>
    </w:tbl>
    <w:tbl>
      <w:tblPr>
        <w:tblW w:w="3606" w:type="dxa"/>
        <w:jc w:val="left"/>
        <w:tblInd w:w="0" w:type="dxa"/>
        <w:tblLayout w:type="fixed"/>
        <w:tblCellMar>
          <w:top w:w="28" w:type="dxa"/>
          <w:left w:w="28" w:type="dxa"/>
          <w:bottom w:w="28" w:type="dxa"/>
          <w:right w:w="28" w:type="dxa"/>
        </w:tblCellMar>
      </w:tblPr>
      <w:tblGrid>
        <w:gridCol w:w="124"/>
        <w:gridCol w:w="256"/>
        <w:gridCol w:w="3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litigation to which we are a party;</w:t>
            </w:r>
          </w:p>
        </w:tc>
      </w:tr>
    </w:tbl>
    <w:tbl>
      <w:tblPr>
        <w:tblW w:w="4251" w:type="dxa"/>
        <w:jc w:val="left"/>
        <w:tblInd w:w="0" w:type="dxa"/>
        <w:tblLayout w:type="fixed"/>
        <w:tblCellMar>
          <w:top w:w="28" w:type="dxa"/>
          <w:left w:w="28" w:type="dxa"/>
          <w:bottom w:w="28" w:type="dxa"/>
          <w:right w:w="28" w:type="dxa"/>
        </w:tblCellMar>
      </w:tblPr>
      <w:tblGrid>
        <w:gridCol w:w="124"/>
        <w:gridCol w:w="256"/>
        <w:gridCol w:w="3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claims and limitations on insurance coverage;</w:t>
            </w:r>
          </w:p>
        </w:tc>
      </w:tr>
    </w:tbl>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restatement of our financial statements;</w:t>
            </w:r>
          </w:p>
        </w:tc>
      </w:tr>
    </w:tbl>
    <w:tbl>
      <w:tblPr>
        <w:tblW w:w="5796" w:type="dxa"/>
        <w:jc w:val="left"/>
        <w:tblInd w:w="0" w:type="dxa"/>
        <w:tblLayout w:type="fixed"/>
        <w:tblCellMar>
          <w:top w:w="28" w:type="dxa"/>
          <w:left w:w="28" w:type="dxa"/>
          <w:bottom w:w="28" w:type="dxa"/>
          <w:right w:w="28" w:type="dxa"/>
        </w:tblCellMar>
      </w:tblPr>
      <w:tblGrid>
        <w:gridCol w:w="124"/>
        <w:gridCol w:w="256"/>
        <w:gridCol w:w="5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geological, metallurgical and geotechnical studies and opinions;</w:t>
            </w:r>
          </w:p>
        </w:tc>
      </w:tr>
    </w:tbl>
    <w:tbl>
      <w:tblPr>
        <w:tblW w:w="7116" w:type="dxa"/>
        <w:jc w:val="left"/>
        <w:tblInd w:w="0" w:type="dxa"/>
        <w:tblLayout w:type="fixed"/>
        <w:tblCellMar>
          <w:top w:w="28" w:type="dxa"/>
          <w:left w:w="28" w:type="dxa"/>
          <w:bottom w:w="28" w:type="dxa"/>
          <w:right w:w="28" w:type="dxa"/>
        </w:tblCellMar>
      </w:tblPr>
      <w:tblGrid>
        <w:gridCol w:w="124"/>
        <w:gridCol w:w="256"/>
        <w:gridCol w:w="6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 resource estimates and our ability to define and declare reserve estimates;</w:t>
            </w:r>
          </w:p>
        </w:tc>
      </w:tr>
    </w:tbl>
    <w:tbl>
      <w:tblPr>
        <w:tblW w:w="9951" w:type="dxa"/>
        <w:jc w:val="left"/>
        <w:tblInd w:w="0" w:type="dxa"/>
        <w:tblLayout w:type="fixed"/>
        <w:tblCellMar>
          <w:top w:w="28" w:type="dxa"/>
          <w:left w:w="28" w:type="dxa"/>
          <w:bottom w:w="28" w:type="dxa"/>
          <w:right w:w="28" w:type="dxa"/>
        </w:tblCellMar>
      </w:tblPr>
      <w:tblGrid>
        <w:gridCol w:w="124"/>
        <w:gridCol w:w="256"/>
        <w:gridCol w:w="9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status as an emerging growth company, non-reporting Canadian issuer and passive foreign investment company;</w:t>
            </w:r>
          </w:p>
        </w:tc>
      </w:tr>
    </w:tbl>
    <w:tbl>
      <w:tblPr>
        <w:tblW w:w="2091" w:type="dxa"/>
        <w:jc w:val="left"/>
        <w:tblInd w:w="0" w:type="dxa"/>
        <w:tblLayout w:type="fixed"/>
        <w:tblCellMar>
          <w:top w:w="28" w:type="dxa"/>
          <w:left w:w="28" w:type="dxa"/>
          <w:bottom w:w="28" w:type="dxa"/>
          <w:right w:w="28" w:type="dxa"/>
        </w:tblCellMar>
      </w:tblPr>
      <w:tblGrid>
        <w:gridCol w:w="124"/>
        <w:gridCol w:w="256"/>
        <w:gridCol w:w="1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infrastructure risks;</w:t>
            </w:r>
          </w:p>
        </w:tc>
      </w:tr>
    </w:tbl>
    <w:tbl>
      <w:tblPr>
        <w:tblW w:w="5916" w:type="dxa"/>
        <w:jc w:val="left"/>
        <w:tblInd w:w="0" w:type="dxa"/>
        <w:tblLayout w:type="fixed"/>
        <w:tblCellMar>
          <w:top w:w="28" w:type="dxa"/>
          <w:left w:w="28" w:type="dxa"/>
          <w:bottom w:w="28" w:type="dxa"/>
          <w:right w:w="28" w:type="dxa"/>
        </w:tblCellMar>
      </w:tblPr>
      <w:tblGrid>
        <w:gridCol w:w="124"/>
        <w:gridCol w:w="256"/>
        <w:gridCol w:w="5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dependence on key management personnel and executive officers;</w:t>
            </w:r>
          </w:p>
        </w:tc>
      </w:tr>
    </w:tbl>
    <w:tbl>
      <w:tblPr>
        <w:tblW w:w="4746" w:type="dxa"/>
        <w:jc w:val="left"/>
        <w:tblInd w:w="0" w:type="dxa"/>
        <w:tblLayout w:type="fixed"/>
        <w:tblCellMar>
          <w:top w:w="28" w:type="dxa"/>
          <w:left w:w="28" w:type="dxa"/>
          <w:bottom w:w="28" w:type="dxa"/>
          <w:right w:w="28" w:type="dxa"/>
        </w:tblCellMar>
      </w:tblPr>
      <w:tblGrid>
        <w:gridCol w:w="124"/>
        <w:gridCol w:w="256"/>
        <w:gridCol w:w="4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and market conditions beyond our control;</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221" w:type="dxa"/>
        <w:jc w:val="left"/>
        <w:tblInd w:w="0" w:type="dxa"/>
        <w:tblLayout w:type="fixed"/>
        <w:tblCellMar>
          <w:top w:w="28" w:type="dxa"/>
          <w:left w:w="28" w:type="dxa"/>
          <w:bottom w:w="28" w:type="dxa"/>
          <w:right w:w="28" w:type="dxa"/>
        </w:tblCellMar>
      </w:tblPr>
      <w:tblGrid>
        <w:gridCol w:w="124"/>
        <w:gridCol w:w="256"/>
        <w:gridCol w:w="3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pandemics on our business; and</w:t>
            </w:r>
          </w:p>
        </w:tc>
      </w:tr>
    </w:tbl>
    <w:tbl>
      <w:tblPr>
        <w:tblW w:w="2661" w:type="dxa"/>
        <w:jc w:val="left"/>
        <w:tblInd w:w="0" w:type="dxa"/>
        <w:tblLayout w:type="fixed"/>
        <w:tblCellMar>
          <w:top w:w="28" w:type="dxa"/>
          <w:left w:w="28" w:type="dxa"/>
          <w:bottom w:w="28" w:type="dxa"/>
          <w:right w:w="28" w:type="dxa"/>
        </w:tblCellMar>
      </w:tblPr>
      <w:tblGrid>
        <w:gridCol w:w="124"/>
        <w:gridCol w:w="256"/>
        <w:gridCol w:w="2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performance.</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These forward-looking statements are based on information available as of the date of this Quarterly Report on Form 10-Q,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under the caption “Risk Factors” in Item 1A of Part I of our Annual Report on Form 10-K for the year ended December 31, 2022 as filed with the Securities and Exchange Commission (“SEC”), on March 27, 2023 (the “2022 Annual Report on Form 10-K”), as updated and supplemented under the caption “Risk Factors” in Item 1A of Part II of our Quarterly Report on Form 10-Q for the quarter ended June 30, 2023 as filed with the SEC on August 14, 2023 and this Quarterly Report on Form 10-Q, as updated and/or supplemented in subsequent filings we make with the SEC. Such risks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50" w:name="PARTIFINANCIALINFORMATION_598400"/>
      <w:bookmarkStart w:id="51" w:name="_69f0c8ed_9ae4_4f49_b96e_2bbff28e9dbd"/>
      <w:bookmarkStart w:id="52" w:name="FinancialStatements_913138"/>
      <w:bookmarkEnd w:id="50"/>
      <w:bookmarkEnd w:id="51"/>
      <w:bookmarkEnd w:id="52"/>
      <w:r>
        <w:rPr>
          <w:rFonts w:ascii="Times New Roman;Times;serif" w:hAnsi="Times New Roman;Times;serif"/>
          <w:b/>
          <w:sz w:val="20"/>
        </w:rPr>
        <w:t>PART I – FINANCIAL INFORMATION</w:t>
      </w:r>
    </w:p>
    <w:p>
      <w:pPr>
        <w:pStyle w:val="TextBody"/>
        <w:bidi w:val="0"/>
        <w:spacing w:before="0" w:after="240"/>
        <w:ind w:left="0" w:right="0" w:hanging="0"/>
        <w:jc w:val="left"/>
        <w:rPr>
          <w:rFonts w:ascii="Times New Roman;Times;serif" w:hAnsi="Times New Roman;Times;serif"/>
          <w:sz w:val="20"/>
        </w:rPr>
      </w:pPr>
      <w:bookmarkStart w:id="53" w:name="Item1FinancialStatements_168789"/>
      <w:bookmarkEnd w:id="53"/>
      <w:r>
        <w:rPr>
          <w:rFonts w:ascii="Times New Roman;Times;serif" w:hAnsi="Times New Roman;Times;serif"/>
          <w:b/>
          <w:i w:val="false"/>
          <w:caps w:val="false"/>
          <w:smallCaps w:val="false"/>
          <w:sz w:val="20"/>
        </w:rPr>
        <w:t>Item 1.</w:t>
      </w:r>
      <w:r>
        <w:rPr>
          <w:rFonts w:ascii="Times New Roman;Times;serif" w:hAnsi="Times New Roman;Times;serif"/>
          <w:b/>
          <w:sz w:val="20"/>
        </w:rPr>
        <w:t>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bookmarkStart w:id="54" w:name="CondensedConsolidatedBalanceSheets_49440"/>
      <w:bookmarkEnd w:id="54"/>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amounts)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55" w:name="Tc_BwVG9xgqt0KcPdpOqgvpVw_34_7"/>
      <w:bookmarkStart w:id="56" w:name="Tc_OPqlcpw2SkOMmaqg8xwoOg_34_4"/>
      <w:bookmarkStart w:id="57" w:name="Tc_PBJ1a9ny8Ua7j535qaMjpA_34_0"/>
      <w:bookmarkStart w:id="58" w:name="Tc_oqYVU1flsESMczDj1mBcXQ_32_0"/>
      <w:bookmarkStart w:id="59" w:name="Tc_VAeQMwwgWUeEGIwxLRUypA_31_0"/>
      <w:bookmarkStart w:id="60" w:name="Tc_ZOaC-85WqECY3WqrOSq0VQ_30_0"/>
      <w:bookmarkStart w:id="61" w:name="Tc_YKjUVx8wpE63FvFa-hH0Zw_29_0"/>
      <w:bookmarkStart w:id="62" w:name="Tc_OpT5pwzN2UWs-EmKQv1f9Q_28_0"/>
      <w:bookmarkStart w:id="63" w:name="Tc_9f9Bd1fkCU6lC17UHw0i0A_27_0"/>
      <w:bookmarkStart w:id="64" w:name="Tc_0QKFIDX3DkeFpj5ORBSFOg_26_0"/>
      <w:bookmarkStart w:id="65" w:name="Tc_gzp8Kn0yKk-7ew1VmQnh2g_24_7"/>
      <w:bookmarkStart w:id="66" w:name="Tc_aa8iCvztKEGBuwOaBNSUYg_24_4"/>
      <w:bookmarkStart w:id="67" w:name="Tc_oxmCeRkgb0WDtDX5Xhsrbw_24_0"/>
      <w:bookmarkStart w:id="68" w:name="Tc_pSLEG-IOTEufakEt0ybBFg_23_2"/>
      <w:bookmarkStart w:id="69" w:name="Tc_OMen0WISsUO7CtUYGAykdA_23_0"/>
      <w:bookmarkStart w:id="70" w:name="Tc_T2k9ZKsy_0ukqCs8QCAB8g_22_0"/>
      <w:bookmarkStart w:id="71" w:name="Tc_ZdtVuqwMLkGTnaFZ-nXpmg_21_0"/>
      <w:bookmarkStart w:id="72" w:name="Tc_P3o5M5a-dUy-ZXuJINftNQ_19_0"/>
      <w:bookmarkStart w:id="73" w:name="Tc_DZJix4LjM0mrOOEaMh-VKA_18_0"/>
      <w:bookmarkStart w:id="74" w:name="Tc_jP2k9_6BMkOzX-g_qp7Oeg_17_0"/>
      <w:bookmarkStart w:id="75" w:name="Tc_gDhn5HFpwUmf_tFnNIoibg_15_7"/>
      <w:bookmarkStart w:id="76" w:name="Tc_mfsHdpHF0kOFfzvu58LeRg_15_4"/>
      <w:bookmarkStart w:id="77" w:name="Tc_As2yIKkC1kKN_NPETmwksA_15_0"/>
      <w:bookmarkStart w:id="78" w:name="Tc_GUpynQexzkOT2yrYkbbepg_12_8"/>
      <w:bookmarkStart w:id="79" w:name="Tc_lRJdQKNBdEaUeX6Thyb5Fg_12_2"/>
      <w:bookmarkStart w:id="80" w:name="Tc_FJv-eZqmtEyQvnWnBcOVjQ_12_0"/>
      <w:bookmarkStart w:id="81" w:name="Tc_uE0thiDDlUCUDr4c-iPIJg_11_8"/>
      <w:bookmarkStart w:id="82" w:name="Tc_SUK35IR1EE6o6TBWRYrZSw_11_2"/>
      <w:bookmarkStart w:id="83" w:name="Tc_HJUaguRLkEm2wrzL9dkJ3g_11_0"/>
      <w:bookmarkStart w:id="84" w:name="Tc_IQ-qeZb39UyBOgE7VRkGKA_10_0"/>
      <w:bookmarkStart w:id="85" w:name="Tc_2HywlKlP-UCmHNpJWeUMmQ_9_0"/>
      <w:bookmarkStart w:id="86" w:name="Tc_wbuXRB__gkiXMMawUfHc2Q_8_0"/>
      <w:bookmarkStart w:id="87" w:name="Tc_VsIyaYadEECBMFV-bViOGw_6_0"/>
      <w:bookmarkStart w:id="88" w:name="Tc_Hrwls7yQpEyWgpXl2YM24A_5_7"/>
      <w:bookmarkStart w:id="89" w:name="Tc_pcH5vpif6U-4jCh4UrcT1w_5_4"/>
      <w:bookmarkStart w:id="90" w:name="Tc_rQSp8C4JIUudtJWuk5ISeQ_5_0"/>
      <w:bookmarkStart w:id="91" w:name="Tc_LUISNBLdkkyRfZ3un1jd8w_4_0"/>
      <w:bookmarkStart w:id="92" w:name="Tc_WYcu1SgmQE65h-bwfKN4jw_3_7"/>
      <w:bookmarkStart w:id="93" w:name="Tc_DKTUCW8NQ0qkYWodcnmaBg_3_4"/>
      <w:bookmarkStart w:id="94" w:name="Tc_dvDGNaFJqUy_smbnuM_DOA_3_2"/>
      <w:bookmarkStart w:id="95" w:name="Tc_Xr2M4abFxUCGpwUmgXuhSg_3_0"/>
      <w:bookmarkStart w:id="96" w:name="Tc_l2rXHiFzgEugjfZq1ogRWw_2_7"/>
      <w:bookmarkStart w:id="97" w:name="Tc_hX-fCgxfzEGXBSCEWvPmKQ_2_4"/>
      <w:bookmarkStart w:id="98" w:name="Tc_V-gmH6kfZUaQIQRJQOImAA_1_7"/>
      <w:bookmarkStart w:id="99" w:name="Tc_GCXx43pz70-1BzgtqqEWPQ_1_4"/>
      <w:bookmarkStart w:id="100" w:name="_00ac2f38_1b33_436c_bec1_a19593469e83"/>
      <w:bookmarkStart w:id="101" w:name="Tc_BwVG9xgqt0KcPdpOqgvpVw_34_7"/>
      <w:bookmarkStart w:id="102" w:name="Tc_OPqlcpw2SkOMmaqg8xwoOg_34_4"/>
      <w:bookmarkStart w:id="103" w:name="Tc_PBJ1a9ny8Ua7j535qaMjpA_34_0"/>
      <w:bookmarkStart w:id="104" w:name="Tc_oqYVU1flsESMczDj1mBcXQ_32_0"/>
      <w:bookmarkStart w:id="105" w:name="Tc_VAeQMwwgWUeEGIwxLRUypA_31_0"/>
      <w:bookmarkStart w:id="106" w:name="Tc_ZOaC-85WqECY3WqrOSq0VQ_30_0"/>
      <w:bookmarkStart w:id="107" w:name="Tc_YKjUVx8wpE63FvFa-hH0Zw_29_0"/>
      <w:bookmarkStart w:id="108" w:name="Tc_OpT5pwzN2UWs-EmKQv1f9Q_28_0"/>
      <w:bookmarkStart w:id="109" w:name="Tc_9f9Bd1fkCU6lC17UHw0i0A_27_0"/>
      <w:bookmarkStart w:id="110" w:name="Tc_0QKFIDX3DkeFpj5ORBSFOg_26_0"/>
      <w:bookmarkStart w:id="111" w:name="Tc_gzp8Kn0yKk-7ew1VmQnh2g_24_7"/>
      <w:bookmarkStart w:id="112" w:name="Tc_aa8iCvztKEGBuwOaBNSUYg_24_4"/>
      <w:bookmarkStart w:id="113" w:name="Tc_oxmCeRkgb0WDtDX5Xhsrbw_24_0"/>
      <w:bookmarkStart w:id="114" w:name="Tc_pSLEG-IOTEufakEt0ybBFg_23_2"/>
      <w:bookmarkStart w:id="115" w:name="Tc_OMen0WISsUO7CtUYGAykdA_23_0"/>
      <w:bookmarkStart w:id="116" w:name="Tc_T2k9ZKsy_0ukqCs8QCAB8g_22_0"/>
      <w:bookmarkStart w:id="117" w:name="Tc_ZdtVuqwMLkGTnaFZ-nXpmg_21_0"/>
      <w:bookmarkStart w:id="118" w:name="Tc_P3o5M5a-dUy-ZXuJINftNQ_19_0"/>
      <w:bookmarkStart w:id="119" w:name="Tc_DZJix4LjM0mrOOEaMh-VKA_18_0"/>
      <w:bookmarkStart w:id="120" w:name="Tc_jP2k9_6BMkOzX-g_qp7Oeg_17_0"/>
      <w:bookmarkStart w:id="121" w:name="Tc_gDhn5HFpwUmf_tFnNIoibg_15_7"/>
      <w:bookmarkStart w:id="122" w:name="Tc_mfsHdpHF0kOFfzvu58LeRg_15_4"/>
      <w:bookmarkStart w:id="123" w:name="Tc_As2yIKkC1kKN_NPETmwksA_15_0"/>
      <w:bookmarkStart w:id="124" w:name="Tc_GUpynQexzkOT2yrYkbbepg_12_8"/>
      <w:bookmarkStart w:id="125" w:name="Tc_lRJdQKNBdEaUeX6Thyb5Fg_12_2"/>
      <w:bookmarkStart w:id="126" w:name="Tc_FJv-eZqmtEyQvnWnBcOVjQ_12_0"/>
      <w:bookmarkStart w:id="127" w:name="Tc_uE0thiDDlUCUDr4c-iPIJg_11_8"/>
      <w:bookmarkStart w:id="128" w:name="Tc_SUK35IR1EE6o6TBWRYrZSw_11_2"/>
      <w:bookmarkStart w:id="129" w:name="Tc_HJUaguRLkEm2wrzL9dkJ3g_11_0"/>
      <w:bookmarkStart w:id="130" w:name="Tc_IQ-qeZb39UyBOgE7VRkGKA_10_0"/>
      <w:bookmarkStart w:id="131" w:name="Tc_2HywlKlP-UCmHNpJWeUMmQ_9_0"/>
      <w:bookmarkStart w:id="132" w:name="Tc_wbuXRB__gkiXMMawUfHc2Q_8_0"/>
      <w:bookmarkStart w:id="133" w:name="Tc_VsIyaYadEECBMFV-bViOGw_6_0"/>
      <w:bookmarkStart w:id="134" w:name="Tc_Hrwls7yQpEyWgpXl2YM24A_5_7"/>
      <w:bookmarkStart w:id="135" w:name="Tc_pcH5vpif6U-4jCh4UrcT1w_5_4"/>
      <w:bookmarkStart w:id="136" w:name="Tc_rQSp8C4JIUudtJWuk5ISeQ_5_0"/>
      <w:bookmarkStart w:id="137" w:name="Tc_LUISNBLdkkyRfZ3un1jd8w_4_0"/>
      <w:bookmarkStart w:id="138" w:name="Tc_WYcu1SgmQE65h-bwfKN4jw_3_7"/>
      <w:bookmarkStart w:id="139" w:name="Tc_DKTUCW8NQ0qkYWodcnmaBg_3_4"/>
      <w:bookmarkStart w:id="140" w:name="Tc_dvDGNaFJqUy_smbnuM_DOA_3_2"/>
      <w:bookmarkStart w:id="141" w:name="Tc_Xr2M4abFxUCGpwUmgXuhSg_3_0"/>
      <w:bookmarkStart w:id="142" w:name="Tc_l2rXHiFzgEugjfZq1ogRWw_2_7"/>
      <w:bookmarkStart w:id="143" w:name="Tc_hX-fCgxfzEGXBSCEWvPmKQ_2_4"/>
      <w:bookmarkStart w:id="144" w:name="Tc_V-gmH6kfZUaQIQRJQOImAA_1_7"/>
      <w:bookmarkStart w:id="145" w:name="Tc_GCXx43pz70-1BzgtqqEWPQ_1_4"/>
      <w:bookmarkStart w:id="146" w:name="_00ac2f38_1b33_436c_bec1_a19593469e83"/>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tbl>
      <w:tblPr>
        <w:tblW w:w="10205" w:type="dxa"/>
        <w:jc w:val="left"/>
        <w:tblInd w:w="0" w:type="dxa"/>
        <w:tblLayout w:type="fixed"/>
        <w:tblCellMar>
          <w:top w:w="0" w:type="dxa"/>
          <w:left w:w="0" w:type="dxa"/>
          <w:bottom w:w="0" w:type="dxa"/>
          <w:right w:w="0" w:type="dxa"/>
        </w:tblCellMar>
      </w:tblPr>
      <w:tblGrid>
        <w:gridCol w:w="6465"/>
        <w:gridCol w:w="326"/>
        <w:gridCol w:w="451"/>
        <w:gridCol w:w="326"/>
        <w:gridCol w:w="220"/>
        <w:gridCol w:w="934"/>
        <w:gridCol w:w="326"/>
        <w:gridCol w:w="214"/>
        <w:gridCol w:w="943"/>
      </w:tblGrid>
      <w:tr>
        <w:trPr/>
        <w:tc>
          <w:tcPr>
            <w:tcW w:w="6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105275" cy="175260"/>
                      <wp:effectExtent l="0" t="0" r="0" b="0"/>
                      <wp:wrapNone/>
                      <wp:docPr id="6" name="Frame6"/>
                      <a:graphic xmlns:a="http://schemas.openxmlformats.org/drawingml/2006/main">
                        <a:graphicData uri="http://schemas.microsoft.com/office/word/2010/wordprocessingShape">
                          <wps:wsp>
                            <wps:cNvSpPr txBox="1"/>
                            <wps:spPr>
                              <a:xfrm>
                                <a:off x="0" y="0"/>
                                <a:ext cx="4105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86385" cy="175260"/>
                      <wp:effectExtent l="0" t="0" r="0" b="0"/>
                      <wp:wrapNone/>
                      <wp:docPr id="8" name="Frame8"/>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9700" cy="175260"/>
                      <wp:effectExtent l="0" t="0" r="0" b="0"/>
                      <wp:wrapNone/>
                      <wp:docPr id="10" name="Frame10"/>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93090" cy="175260"/>
                      <wp:effectExtent l="0" t="0" r="0" b="0"/>
                      <wp:wrapNone/>
                      <wp:docPr id="11" name="Frame11"/>
                      <a:graphic xmlns:a="http://schemas.openxmlformats.org/drawingml/2006/main">
                        <a:graphicData uri="http://schemas.microsoft.com/office/word/2010/wordprocessingShape">
                          <wps:wsp>
                            <wps:cNvSpPr txBox="1"/>
                            <wps:spPr>
                              <a:xfrm>
                                <a:off x="0" y="0"/>
                                <a:ext cx="593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5890" cy="175260"/>
                      <wp:effectExtent l="0" t="0" r="0" b="0"/>
                      <wp:wrapNone/>
                      <wp:docPr id="13" name="Frame13"/>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98805" cy="175260"/>
                      <wp:effectExtent l="0" t="0" r="0" b="0"/>
                      <wp:wrapNone/>
                      <wp:docPr id="14" name="Frame14"/>
                      <a:graphic xmlns:a="http://schemas.openxmlformats.org/drawingml/2006/main">
                        <a:graphicData uri="http://schemas.microsoft.com/office/word/2010/wordprocessingShape">
                          <wps:wsp>
                            <wps:cNvSpPr txBox="1"/>
                            <wps:spPr>
                              <a:xfrm>
                                <a:off x="0" y="0"/>
                                <a:ext cx="598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54"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As at</w:t>
            </w:r>
          </w:p>
        </w:tc>
        <w:tc>
          <w:tcPr>
            <w:tcW w:w="326" w:type="dxa"/>
            <w:tcBorders/>
            <w:vAlign w:val="center"/>
          </w:tcPr>
          <w:p>
            <w:pPr>
              <w:pStyle w:val="TableContents"/>
              <w:bidi w:val="0"/>
              <w:spacing w:before="0" w:after="0"/>
              <w:ind w:left="0" w:right="0" w:hanging="0"/>
              <w:jc w:val="left"/>
              <w:rPr/>
            </w:pPr>
            <w:r>
              <w:rPr/>
              <w:t>​</w:t>
            </w:r>
          </w:p>
        </w:tc>
        <w:tc>
          <w:tcPr>
            <w:tcW w:w="1157"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As at</w:t>
            </w:r>
          </w:p>
        </w:tc>
      </w:tr>
      <w:tr>
        <w:trPr/>
        <w:tc>
          <w:tcPr>
            <w:tcW w:w="646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154"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    </w:t>
            </w:r>
          </w:p>
        </w:tc>
        <w:tc>
          <w:tcPr>
            <w:tcW w:w="1157"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December 31, </w:t>
            </w:r>
          </w:p>
        </w:tc>
      </w:tr>
      <w:tr>
        <w:trPr/>
        <w:tc>
          <w:tcPr>
            <w:tcW w:w="6465"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26" w:type="dxa"/>
            <w:tcBorders/>
            <w:vAlign w:val="center"/>
          </w:tcPr>
          <w:p>
            <w:pPr>
              <w:pStyle w:val="TableContents"/>
              <w:bidi w:val="0"/>
              <w:spacing w:before="0" w:after="0"/>
              <w:ind w:left="0" w:right="0" w:hanging="0"/>
              <w:jc w:val="center"/>
              <w:rPr/>
            </w:pPr>
            <w:r>
              <w:rPr/>
              <w:t>   </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vAlign w:val="center"/>
          </w:tcPr>
          <w:p>
            <w:pPr>
              <w:pStyle w:val="TableContents"/>
              <w:bidi w:val="0"/>
              <w:spacing w:before="0" w:after="0"/>
              <w:ind w:left="0" w:right="0" w:hanging="0"/>
              <w:jc w:val="center"/>
              <w:rPr/>
            </w:pPr>
            <w:r>
              <w:rPr/>
              <w:t>   </w:t>
            </w:r>
          </w:p>
        </w:tc>
        <w:tc>
          <w:tcPr>
            <w:tcW w:w="1154"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2022</w:t>
            </w:r>
          </w:p>
        </w:tc>
      </w:tr>
      <w:tr>
        <w:trPr/>
        <w:tc>
          <w:tcPr>
            <w:tcW w:w="646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pPr>
            <w:r>
              <w:rPr/>
              <w:t>  </w:t>
            </w:r>
          </w:p>
        </w:tc>
      </w:tr>
      <w:tr>
        <w:trPr/>
        <w:tc>
          <w:tcPr>
            <w:tcW w:w="646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22,548</w:t>
            </w:r>
          </w:p>
        </w:tc>
        <w:tc>
          <w:tcPr>
            <w:tcW w:w="32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46,842</w:t>
            </w:r>
          </w:p>
        </w:tc>
      </w:tr>
      <w:tr>
        <w:trPr/>
        <w:tc>
          <w:tcPr>
            <w:tcW w:w="646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 and prepayments</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5,325</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2,760</w:t>
            </w:r>
          </w:p>
        </w:tc>
      </w:tr>
      <w:tr>
        <w:trPr/>
        <w:tc>
          <w:tcPr>
            <w:tcW w:w="64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27,873</w:t>
            </w:r>
          </w:p>
        </w:tc>
        <w:tc>
          <w:tcPr>
            <w:tcW w:w="32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49,602</w:t>
            </w:r>
          </w:p>
        </w:tc>
      </w:tr>
      <w:tr>
        <w:trPr/>
        <w:tc>
          <w:tcPr>
            <w:tcW w:w="646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pPr>
            <w:r>
              <w:rPr/>
              <w:t>​</w:t>
            </w:r>
          </w:p>
        </w:tc>
      </w:tr>
      <w:tr>
        <w:trPr/>
        <w:tc>
          <w:tcPr>
            <w:tcW w:w="646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Exploration contracts</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20"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42,900</w:t>
            </w:r>
          </w:p>
        </w:tc>
        <w:tc>
          <w:tcPr>
            <w:tcW w:w="32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43,150</w:t>
            </w:r>
          </w:p>
        </w:tc>
      </w:tr>
      <w:tr>
        <w:trPr/>
        <w:tc>
          <w:tcPr>
            <w:tcW w:w="646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2,078</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2,025</w:t>
            </w:r>
          </w:p>
        </w:tc>
      </w:tr>
      <w:tr>
        <w:trPr/>
        <w:tc>
          <w:tcPr>
            <w:tcW w:w="646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6,198</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pPr>
            <w:r>
              <w:rPr/>
              <w:t>—</w:t>
            </w:r>
          </w:p>
        </w:tc>
      </w:tr>
      <w:tr>
        <w:trPr/>
        <w:tc>
          <w:tcPr>
            <w:tcW w:w="646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8,525</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4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59,701</w:t>
            </w:r>
          </w:p>
        </w:tc>
        <w:tc>
          <w:tcPr>
            <w:tcW w:w="32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45,175</w:t>
            </w:r>
          </w:p>
        </w:tc>
      </w:tr>
      <w:tr>
        <w:trPr/>
        <w:tc>
          <w:tcPr>
            <w:tcW w:w="646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465"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87,574</w:t>
            </w:r>
          </w:p>
        </w:tc>
        <w:tc>
          <w:tcPr>
            <w:tcW w:w="326" w:type="dxa"/>
            <w:tcBorders/>
            <w:vAlign w:val="center"/>
          </w:tcPr>
          <w:p>
            <w:pPr>
              <w:pStyle w:val="TableContents"/>
              <w:bidi w:val="0"/>
              <w:spacing w:before="0" w:after="0"/>
              <w:ind w:left="0" w:right="0" w:hanging="0"/>
              <w:jc w:val="left"/>
              <w:rPr/>
            </w:pPr>
            <w:r>
              <w:rPr/>
              <w:t> </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94,777</w:t>
            </w:r>
          </w:p>
        </w:tc>
      </w:tr>
      <w:tr>
        <w:trPr/>
        <w:tc>
          <w:tcPr>
            <w:tcW w:w="646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9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pPr>
            <w:r>
              <w:rPr/>
              <w:t>​</w:t>
            </w:r>
          </w:p>
        </w:tc>
      </w:tr>
      <w:tr>
        <w:trPr/>
        <w:tc>
          <w:tcPr>
            <w:tcW w:w="6465"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pPr>
            <w:r>
              <w:rPr/>
              <w:t>​</w:t>
            </w:r>
          </w:p>
        </w:tc>
      </w:tr>
      <w:tr>
        <w:trPr/>
        <w:tc>
          <w:tcPr>
            <w:tcW w:w="646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pPr>
            <w:r>
              <w:rPr/>
              <w:t>​</w:t>
            </w:r>
          </w:p>
        </w:tc>
      </w:tr>
      <w:tr>
        <w:trPr/>
        <w:tc>
          <w:tcPr>
            <w:tcW w:w="646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19,344</w:t>
            </w:r>
          </w:p>
        </w:tc>
        <w:tc>
          <w:tcPr>
            <w:tcW w:w="326" w:type="dxa"/>
            <w:tcBorders/>
            <w:vAlign w:val="center"/>
          </w:tcPr>
          <w:p>
            <w:pPr>
              <w:pStyle w:val="TableContents"/>
              <w:bidi w:val="0"/>
              <w:spacing w:before="0" w:after="0"/>
              <w:ind w:left="0" w:right="0" w:hanging="0"/>
              <w:jc w:val="left"/>
              <w:rPr/>
            </w:pPr>
            <w:r>
              <w:rPr/>
              <w:t> </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41,614</w:t>
            </w:r>
          </w:p>
        </w:tc>
      </w:tr>
      <w:tr>
        <w:trPr/>
        <w:tc>
          <w:tcPr>
            <w:tcW w:w="646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19,344</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41,614</w:t>
            </w:r>
          </w:p>
        </w:tc>
      </w:tr>
      <w:tr>
        <w:trPr/>
        <w:tc>
          <w:tcPr>
            <w:tcW w:w="6465"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pPr>
            <w:r>
              <w:rPr/>
              <w:t>​</w:t>
            </w:r>
          </w:p>
        </w:tc>
      </w:tr>
      <w:tr>
        <w:trPr/>
        <w:tc>
          <w:tcPr>
            <w:tcW w:w="646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liability</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10,675</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10,675</w:t>
            </w:r>
          </w:p>
        </w:tc>
      </w:tr>
      <w:tr>
        <w:trPr/>
        <w:tc>
          <w:tcPr>
            <w:tcW w:w="646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 liability</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tc>
        <w:tc>
          <w:tcPr>
            <w:tcW w:w="326" w:type="dxa"/>
            <w:tcBorders/>
            <w:vAlign w:val="center"/>
          </w:tcPr>
          <w:p>
            <w:pPr>
              <w:pStyle w:val="TableContents"/>
              <w:bidi w:val="0"/>
              <w:spacing w:before="0" w:after="0"/>
              <w:ind w:left="0" w:right="0" w:hanging="0"/>
              <w:jc w:val="center"/>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2,197</w:t>
            </w:r>
          </w:p>
        </w:tc>
        <w:tc>
          <w:tcPr>
            <w:tcW w:w="326" w:type="dxa"/>
            <w:tcBorders/>
            <w:vAlign w:val="center"/>
          </w:tcPr>
          <w:p>
            <w:pPr>
              <w:pStyle w:val="TableContents"/>
              <w:bidi w:val="0"/>
              <w:spacing w:before="0" w:after="0"/>
              <w:ind w:left="0" w:right="0" w:hanging="0"/>
              <w:jc w:val="left"/>
              <w:rPr/>
            </w:pPr>
            <w:r>
              <w:rPr/>
              <w:t> </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w:t>
            </w:r>
          </w:p>
        </w:tc>
      </w:tr>
      <w:tr>
        <w:trPr/>
        <w:tc>
          <w:tcPr>
            <w:tcW w:w="646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32,216</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53,272</w:t>
            </w:r>
          </w:p>
        </w:tc>
      </w:tr>
      <w:tr>
        <w:trPr/>
        <w:tc>
          <w:tcPr>
            <w:tcW w:w="64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9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pPr>
            <w:r>
              <w:rPr/>
              <w:t>​</w:t>
            </w:r>
          </w:p>
        </w:tc>
      </w:tr>
      <w:tr>
        <w:trPr/>
        <w:tc>
          <w:tcPr>
            <w:tcW w:w="646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pPr>
            <w:r>
              <w:rPr/>
              <w:t>​</w:t>
            </w:r>
          </w:p>
        </w:tc>
      </w:tr>
      <w:tr>
        <w:trPr/>
        <w:tc>
          <w:tcPr>
            <w:tcW w:w="646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Common shares (unlimited shares, no</w:t>
            </w:r>
            <w:r>
              <w:rPr>
                <w:rFonts w:ascii="Times New Roman;Times;serif" w:hAnsi="Times New Roman;Times;serif"/>
                <w:sz w:val="20"/>
              </w:rPr>
              <w:t xml:space="preserve"> </w:t>
            </w:r>
            <w:r>
              <w:rPr>
                <w:rFonts w:ascii="Times New Roman;Times;serif" w:hAnsi="Times New Roman;Times;serif"/>
                <w:i/>
                <w:sz w:val="20"/>
              </w:rPr>
              <w:t>par value – issued: 305,129,856</w:t>
            </w:r>
            <w:r>
              <w:rPr>
                <w:rFonts w:ascii="Times New Roman;Times;serif" w:hAnsi="Times New Roman;Times;serif"/>
                <w:sz w:val="20"/>
              </w:rPr>
              <w:t xml:space="preserve"> </w:t>
            </w:r>
            <w:r>
              <w:rPr>
                <w:rFonts w:ascii="Times New Roman;Times;serif" w:hAnsi="Times New Roman;Times;serif"/>
                <w:i/>
                <w:sz w:val="20"/>
              </w:rPr>
              <w:t>(December 31, 2022 – 266,812,131))</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20"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434,099</w:t>
            </w:r>
          </w:p>
        </w:tc>
        <w:tc>
          <w:tcPr>
            <w:tcW w:w="32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332,882</w:t>
            </w:r>
          </w:p>
        </w:tc>
      </w:tr>
      <w:tr>
        <w:trPr/>
        <w:tc>
          <w:tcPr>
            <w:tcW w:w="646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Special Shares</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pPr>
            <w:r>
              <w:rPr/>
              <w:t>—</w:t>
            </w:r>
          </w:p>
        </w:tc>
      </w:tr>
      <w:tr>
        <w:trPr/>
        <w:tc>
          <w:tcPr>
            <w:tcW w:w="646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 in capital</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124,168</w:t>
            </w:r>
          </w:p>
        </w:tc>
        <w:tc>
          <w:tcPr>
            <w:tcW w:w="32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184,960</w:t>
            </w:r>
          </w:p>
        </w:tc>
      </w:tr>
      <w:tr>
        <w:trPr/>
        <w:tc>
          <w:tcPr>
            <w:tcW w:w="646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w:t>
            </w:r>
          </w:p>
        </w:tc>
      </w:tr>
      <w:tr>
        <w:trPr/>
        <w:tc>
          <w:tcPr>
            <w:tcW w:w="646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Deficit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(501,693)</w:t>
            </w:r>
          </w:p>
        </w:tc>
        <w:tc>
          <w:tcPr>
            <w:tcW w:w="326" w:type="dxa"/>
            <w:tcBorders/>
            <w:vAlign w:val="center"/>
          </w:tcPr>
          <w:p>
            <w:pPr>
              <w:pStyle w:val="TableContents"/>
              <w:bidi w:val="0"/>
              <w:spacing w:before="0" w:after="0"/>
              <w:ind w:left="0" w:right="0" w:hanging="0"/>
              <w:jc w:val="left"/>
              <w:rPr/>
            </w:pPr>
            <w:r>
              <w:rPr/>
              <w:t> </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(475,121)</w:t>
            </w:r>
          </w:p>
        </w:tc>
      </w:tr>
      <w:tr>
        <w:trPr/>
        <w:tc>
          <w:tcPr>
            <w:tcW w:w="646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EQUITY</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55,358</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41,505</w:t>
            </w:r>
          </w:p>
        </w:tc>
      </w:tr>
      <w:tr>
        <w:trPr/>
        <w:tc>
          <w:tcPr>
            <w:tcW w:w="64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46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EQUITY</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87,574</w:t>
            </w:r>
          </w:p>
        </w:tc>
        <w:tc>
          <w:tcPr>
            <w:tcW w:w="326" w:type="dxa"/>
            <w:tcBorders/>
            <w:shd w:fill="CCEEFF" w:val="clear"/>
            <w:vAlign w:val="center"/>
          </w:tcPr>
          <w:p>
            <w:pPr>
              <w:pStyle w:val="TableContents"/>
              <w:bidi w:val="0"/>
              <w:spacing w:before="0" w:after="0"/>
              <w:ind w:left="0" w:right="0" w:hanging="0"/>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94,777</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Nature of Operations </w:t>
      </w:r>
      <w:r>
        <w:rPr>
          <w:rFonts w:ascii="Times New Roman;Times;serif" w:hAnsi="Times New Roman;Times;serif"/>
          <w:i/>
          <w:sz w:val="20"/>
        </w:rPr>
        <w:t>(Note 1)</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 xml:space="preserve">Commitments and Contingent Liabilities </w:t>
      </w:r>
      <w:r>
        <w:rPr>
          <w:rFonts w:ascii="Times New Roman;Times;serif" w:hAnsi="Times New Roman;Times;serif"/>
          <w:i/>
          <w:sz w:val="20"/>
        </w:rPr>
        <w:t>(Note 15)</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7" w:name="_20a503ef_d8dd_4d0a_9444_c9d18a8c9a9a"/>
      <w:bookmarkEnd w:id="147"/>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bookmarkStart w:id="148" w:name="CondensedConsolidatedStatementsofLossand"/>
      <w:bookmarkEnd w:id="148"/>
      <w:r>
        <w:rPr>
          <w:rFonts w:ascii="Times New Roman;Times;serif" w:hAnsi="Times New Roman;Times;serif"/>
          <w:b/>
          <w:sz w:val="20"/>
        </w:rPr>
        <w:t>Condensed Consolidated Statements of Loss and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and per share amounts)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49" w:name="Tc_eLVJyufOb06EwAw92rOWew_21_0"/>
      <w:bookmarkStart w:id="150" w:name="Tc_UrHSzjJHuk6LRfnZtC4F0w_19_13"/>
      <w:bookmarkStart w:id="151" w:name="Tc_r-CkKc_kSUaSzLJSiZ0iZw_19_10"/>
      <w:bookmarkStart w:id="152" w:name="Tc_5q-RdNFWiE-v6dtNXiwy9g_19_7"/>
      <w:bookmarkStart w:id="153" w:name="Tc_StjGk2w6P0mSZwpZEFlZ-Q_19_4"/>
      <w:bookmarkStart w:id="154" w:name="Tc_jX3NyEeTZEC3-D9JI2Pj8Q_19_2"/>
      <w:bookmarkStart w:id="155" w:name="Tc_CW2PGMfmy0OyGrLo3TtwLQ_19_0"/>
      <w:bookmarkStart w:id="156" w:name="Tc_GiB3FRccMEevm3sn0vqY7Q_17_13"/>
      <w:bookmarkStart w:id="157" w:name="Tc_UAhQkR6FF0GosrPo85tyIw_17_10"/>
      <w:bookmarkStart w:id="158" w:name="Tc_ox5y6pOJnUuNLNTRKf_55w_17_7"/>
      <w:bookmarkStart w:id="159" w:name="Tc_dVPGc7lFwUal1AiWRGVyRQ_17_4"/>
      <w:bookmarkStart w:id="160" w:name="Tc_Nal9xxHZPkm8GTJqT6Q9ow_17_0"/>
      <w:bookmarkStart w:id="161" w:name="Tc_LkjjvyFuqUO0wwG34QrJvg_15_14"/>
      <w:bookmarkStart w:id="162" w:name="Tc_97yt-bQ-fUO0BN5_zHTo9w_15_8"/>
      <w:bookmarkStart w:id="163" w:name="Tc_rAsTwP5pGU-XrTN3BWD37Q_15_2"/>
      <w:bookmarkStart w:id="164" w:name="Tc_QjBEIegF8E6E8FJPYrHMgQ_15_0"/>
      <w:bookmarkStart w:id="165" w:name="Tc_U2V_ZLjh2Ei9GHt14KFiBA_14_0"/>
      <w:bookmarkStart w:id="166" w:name="Tc_VJ_OzV65iEq8sdk2FCNJsQ_13_0"/>
      <w:bookmarkStart w:id="167" w:name="Tc_l2OFaUoNfkOryL_EfWKpYQ_12_2"/>
      <w:bookmarkStart w:id="168" w:name="Tc_z_RwdarbHkWvyb1XyMLg0Q_12_0"/>
      <w:bookmarkStart w:id="169" w:name="Tc_VSsbGzcbj0usox7kLO-39Q_11_14"/>
      <w:bookmarkStart w:id="170" w:name="Tc_B4YYzGpPAkWTdfBuVo2wFA_11_8"/>
      <w:bookmarkStart w:id="171" w:name="Tc_dTjG5eGTtE23cr_T6tZXlw_11_5"/>
      <w:bookmarkStart w:id="172" w:name="Tc_9Pk6DJQymEyZJRMxoWw-sw_11_2"/>
      <w:bookmarkStart w:id="173" w:name="Tc_604O9uOYxUWRDUwI7D9ocg_11_0"/>
      <w:bookmarkStart w:id="174" w:name="Tc_8eRSJBp8X0O_mHCswXhp7Q_10_14"/>
      <w:bookmarkStart w:id="175" w:name="Tc_emNg_nk9Hki_YNdbjCxr2w_10_8"/>
      <w:bookmarkStart w:id="176" w:name="Tc_a7hdORf6X0axcPbt9Kwdbw_10_2"/>
      <w:bookmarkStart w:id="177" w:name="Tc_O4CwGytLhEuWd_PebqvkFg_10_0"/>
      <w:bookmarkStart w:id="178" w:name="Tc_wNNa_Gkob0uqVckReV6x9g_9_0"/>
      <w:bookmarkStart w:id="179" w:name="Tc_V3UUu_zvVkuJVR07WpwThA_7_0"/>
      <w:bookmarkStart w:id="180" w:name="Tc_92OLZkDWAkaOfrFtFj9sNw_6_0"/>
      <w:bookmarkStart w:id="181" w:name="Tc_sGmwvTcXA0yZBJJdnU5MVw_5_13"/>
      <w:bookmarkStart w:id="182" w:name="Tc_eIsa9iey-0e6U-6rjkTc8Q_5_10"/>
      <w:bookmarkStart w:id="183" w:name="Tc_SBDpNxY2ok6oRxM2ARR0VA_5_7"/>
      <w:bookmarkStart w:id="184" w:name="Tc_z4X2CrerN0GqqEVRzIzUUA_5_4"/>
      <w:bookmarkStart w:id="185" w:name="Tc_K4J86D__5kKl3hdr18u9TQ_5_2"/>
      <w:bookmarkStart w:id="186" w:name="Tc_6PJjM-OnS0Sdi6HrBtvUqA_5_0"/>
      <w:bookmarkStart w:id="187" w:name="Tc_DC7Wol9aIU6niwPN_e1DDA_4_0"/>
      <w:bookmarkStart w:id="188" w:name="Tc_IBusYRT8V06yDQO5vN_9hQ_3_13"/>
      <w:bookmarkStart w:id="189" w:name="Tc_69avF2G4LUWGEX1ny-7nUw_3_10"/>
      <w:bookmarkStart w:id="190" w:name="Tc_A9sxjfDWx0iRhFNVxN0k5w_3_7"/>
      <w:bookmarkStart w:id="191" w:name="Tc_z67uFvL3CEqevCWTVqFouQ_3_4"/>
      <w:bookmarkStart w:id="192" w:name="Tc_9amF6T8xjU-5wytDtpUAow_3_2"/>
      <w:bookmarkStart w:id="193" w:name="Tc_n9og9ULenki5OdSt4TJVoA_2_10"/>
      <w:bookmarkStart w:id="194" w:name="Tc_F2FhUsZdR02ua85BftYvFg_2_4"/>
      <w:bookmarkStart w:id="195" w:name="Tc_Fetg6Z7um0qTV4nFsyZKsA_1_10"/>
      <w:bookmarkStart w:id="196" w:name="Tc_6tSx-bq0_Uiqu2r9fGW1sw_1_4"/>
      <w:bookmarkStart w:id="197" w:name="_3c378384_f80d_45b6_817c_5d7d2d2c0dc6"/>
      <w:bookmarkStart w:id="198" w:name="_83638f38_b21e_43d4_8831_7e9dd46db38b"/>
      <w:bookmarkStart w:id="199" w:name="Tc_eLVJyufOb06EwAw92rOWew_21_0"/>
      <w:bookmarkStart w:id="200" w:name="Tc_UrHSzjJHuk6LRfnZtC4F0w_19_13"/>
      <w:bookmarkStart w:id="201" w:name="Tc_r-CkKc_kSUaSzLJSiZ0iZw_19_10"/>
      <w:bookmarkStart w:id="202" w:name="Tc_5q-RdNFWiE-v6dtNXiwy9g_19_7"/>
      <w:bookmarkStart w:id="203" w:name="Tc_StjGk2w6P0mSZwpZEFlZ-Q_19_4"/>
      <w:bookmarkStart w:id="204" w:name="Tc_jX3NyEeTZEC3-D9JI2Pj8Q_19_2"/>
      <w:bookmarkStart w:id="205" w:name="Tc_CW2PGMfmy0OyGrLo3TtwLQ_19_0"/>
      <w:bookmarkStart w:id="206" w:name="Tc_GiB3FRccMEevm3sn0vqY7Q_17_13"/>
      <w:bookmarkStart w:id="207" w:name="Tc_UAhQkR6FF0GosrPo85tyIw_17_10"/>
      <w:bookmarkStart w:id="208" w:name="Tc_ox5y6pOJnUuNLNTRKf_55w_17_7"/>
      <w:bookmarkStart w:id="209" w:name="Tc_dVPGc7lFwUal1AiWRGVyRQ_17_4"/>
      <w:bookmarkStart w:id="210" w:name="Tc_Nal9xxHZPkm8GTJqT6Q9ow_17_0"/>
      <w:bookmarkStart w:id="211" w:name="Tc_LkjjvyFuqUO0wwG34QrJvg_15_14"/>
      <w:bookmarkStart w:id="212" w:name="Tc_97yt-bQ-fUO0BN5_zHTo9w_15_8"/>
      <w:bookmarkStart w:id="213" w:name="Tc_rAsTwP5pGU-XrTN3BWD37Q_15_2"/>
      <w:bookmarkStart w:id="214" w:name="Tc_QjBEIegF8E6E8FJPYrHMgQ_15_0"/>
      <w:bookmarkStart w:id="215" w:name="Tc_U2V_ZLjh2Ei9GHt14KFiBA_14_0"/>
      <w:bookmarkStart w:id="216" w:name="Tc_VJ_OzV65iEq8sdk2FCNJsQ_13_0"/>
      <w:bookmarkStart w:id="217" w:name="Tc_l2OFaUoNfkOryL_EfWKpYQ_12_2"/>
      <w:bookmarkStart w:id="218" w:name="Tc_z_RwdarbHkWvyb1XyMLg0Q_12_0"/>
      <w:bookmarkStart w:id="219" w:name="Tc_VSsbGzcbj0usox7kLO-39Q_11_14"/>
      <w:bookmarkStart w:id="220" w:name="Tc_B4YYzGpPAkWTdfBuVo2wFA_11_8"/>
      <w:bookmarkStart w:id="221" w:name="Tc_dTjG5eGTtE23cr_T6tZXlw_11_5"/>
      <w:bookmarkStart w:id="222" w:name="Tc_9Pk6DJQymEyZJRMxoWw-sw_11_2"/>
      <w:bookmarkStart w:id="223" w:name="Tc_604O9uOYxUWRDUwI7D9ocg_11_0"/>
      <w:bookmarkStart w:id="224" w:name="Tc_8eRSJBp8X0O_mHCswXhp7Q_10_14"/>
      <w:bookmarkStart w:id="225" w:name="Tc_emNg_nk9Hki_YNdbjCxr2w_10_8"/>
      <w:bookmarkStart w:id="226" w:name="Tc_a7hdORf6X0axcPbt9Kwdbw_10_2"/>
      <w:bookmarkStart w:id="227" w:name="Tc_O4CwGytLhEuWd_PebqvkFg_10_0"/>
      <w:bookmarkStart w:id="228" w:name="Tc_wNNa_Gkob0uqVckReV6x9g_9_0"/>
      <w:bookmarkStart w:id="229" w:name="Tc_V3UUu_zvVkuJVR07WpwThA_7_0"/>
      <w:bookmarkStart w:id="230" w:name="Tc_92OLZkDWAkaOfrFtFj9sNw_6_0"/>
      <w:bookmarkStart w:id="231" w:name="Tc_sGmwvTcXA0yZBJJdnU5MVw_5_13"/>
      <w:bookmarkStart w:id="232" w:name="Tc_eIsa9iey-0e6U-6rjkTc8Q_5_10"/>
      <w:bookmarkStart w:id="233" w:name="Tc_SBDpNxY2ok6oRxM2ARR0VA_5_7"/>
      <w:bookmarkStart w:id="234" w:name="Tc_z4X2CrerN0GqqEVRzIzUUA_5_4"/>
      <w:bookmarkStart w:id="235" w:name="Tc_K4J86D__5kKl3hdr18u9TQ_5_2"/>
      <w:bookmarkStart w:id="236" w:name="Tc_6PJjM-OnS0Sdi6HrBtvUqA_5_0"/>
      <w:bookmarkStart w:id="237" w:name="Tc_DC7Wol9aIU6niwPN_e1DDA_4_0"/>
      <w:bookmarkStart w:id="238" w:name="Tc_IBusYRT8V06yDQO5vN_9hQ_3_13"/>
      <w:bookmarkStart w:id="239" w:name="Tc_69avF2G4LUWGEX1ny-7nUw_3_10"/>
      <w:bookmarkStart w:id="240" w:name="Tc_A9sxjfDWx0iRhFNVxN0k5w_3_7"/>
      <w:bookmarkStart w:id="241" w:name="Tc_z67uFvL3CEqevCWTVqFouQ_3_4"/>
      <w:bookmarkStart w:id="242" w:name="Tc_9amF6T8xjU-5wytDtpUAow_3_2"/>
      <w:bookmarkStart w:id="243" w:name="Tc_n9og9ULenki5OdSt4TJVoA_2_10"/>
      <w:bookmarkStart w:id="244" w:name="Tc_F2FhUsZdR02ua85BftYvFg_2_4"/>
      <w:bookmarkStart w:id="245" w:name="Tc_Fetg6Z7um0qTV4nFsyZKsA_1_10"/>
      <w:bookmarkStart w:id="246" w:name="Tc_6tSx-bq0_Uiqu2r9fGW1sw_1_4"/>
      <w:bookmarkStart w:id="247" w:name="_3c378384_f80d_45b6_817c_5d7d2d2c0dc6"/>
      <w:bookmarkStart w:id="248" w:name="_83638f38_b21e_43d4_8831_7e9dd46db38b"/>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p>
    <w:tbl>
      <w:tblPr>
        <w:tblW w:w="10205" w:type="dxa"/>
        <w:jc w:val="left"/>
        <w:tblInd w:w="0" w:type="dxa"/>
        <w:tblLayout w:type="fixed"/>
        <w:tblCellMar>
          <w:top w:w="0" w:type="dxa"/>
          <w:left w:w="0" w:type="dxa"/>
          <w:bottom w:w="0" w:type="dxa"/>
          <w:right w:w="0" w:type="dxa"/>
        </w:tblCellMar>
      </w:tblPr>
      <w:tblGrid>
        <w:gridCol w:w="2611"/>
        <w:gridCol w:w="326"/>
        <w:gridCol w:w="451"/>
        <w:gridCol w:w="326"/>
        <w:gridCol w:w="211"/>
        <w:gridCol w:w="1141"/>
        <w:gridCol w:w="326"/>
        <w:gridCol w:w="211"/>
        <w:gridCol w:w="1141"/>
        <w:gridCol w:w="326"/>
        <w:gridCol w:w="211"/>
        <w:gridCol w:w="1141"/>
        <w:gridCol w:w="326"/>
        <w:gridCol w:w="211"/>
        <w:gridCol w:w="1246"/>
      </w:tblGrid>
      <w:tr>
        <w:trPr/>
        <w:tc>
          <w:tcPr>
            <w:tcW w:w="2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657985" cy="175260"/>
                      <wp:effectExtent l="0" t="0" r="0" b="0"/>
                      <wp:wrapNone/>
                      <wp:docPr id="15" name="Frame15"/>
                      <a:graphic xmlns:a="http://schemas.openxmlformats.org/drawingml/2006/main">
                        <a:graphicData uri="http://schemas.microsoft.com/office/word/2010/wordprocessingShape">
                          <wps:wsp>
                            <wps:cNvSpPr txBox="1"/>
                            <wps:spPr>
                              <a:xfrm>
                                <a:off x="0" y="0"/>
                                <a:ext cx="1657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86385" cy="175260"/>
                      <wp:effectExtent l="0" t="0" r="0" b="0"/>
                      <wp:wrapNone/>
                      <wp:docPr id="17" name="Frame17"/>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724535" cy="175260"/>
                      <wp:effectExtent l="0" t="0" r="0" b="0"/>
                      <wp:wrapNone/>
                      <wp:docPr id="20" name="Frame2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1"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724535" cy="175260"/>
                      <wp:effectExtent l="0" t="0" r="0" b="0"/>
                      <wp:wrapNone/>
                      <wp:docPr id="23" name="Frame2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5"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724535" cy="175260"/>
                      <wp:effectExtent l="0" t="0" r="0" b="0"/>
                      <wp:wrapNone/>
                      <wp:docPr id="26" name="Frame2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3985" cy="175260"/>
                      <wp:effectExtent l="0" t="0" r="0" b="0"/>
                      <wp:wrapNone/>
                      <wp:docPr id="28"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791210" cy="175260"/>
                      <wp:effectExtent l="0" t="0" r="0" b="0"/>
                      <wp:wrapNone/>
                      <wp:docPr id="29" name="Frame29"/>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0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31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2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0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31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2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vAlign w:val="center"/>
          </w:tcPr>
          <w:p>
            <w:pPr>
              <w:pStyle w:val="TableContents"/>
              <w:bidi w:val="0"/>
              <w:spacing w:before="0" w:after="0"/>
              <w:ind w:left="0" w:right="0" w:hanging="0"/>
              <w:jc w:val="left"/>
              <w:rPr/>
            </w:pPr>
            <w:r>
              <w:rPr/>
              <w:t>    </w:t>
            </w:r>
          </w:p>
        </w:tc>
        <w:tc>
          <w:tcPr>
            <w:tcW w:w="1352"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2023</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    </w:t>
            </w:r>
          </w:p>
        </w:tc>
        <w:tc>
          <w:tcPr>
            <w:tcW w:w="1352"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45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2022</w:t>
            </w:r>
          </w:p>
        </w:tc>
      </w:tr>
      <w:tr>
        <w:trPr/>
        <w:tc>
          <w:tcPr>
            <w:tcW w:w="261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left"/>
              <w:rPr/>
            </w:pPr>
            <w:r>
              <w:rPr/>
              <w:t>  </w:t>
            </w:r>
          </w:p>
        </w:tc>
      </w:tr>
      <w:tr>
        <w:trPr/>
        <w:tc>
          <w:tcPr>
            <w:tcW w:w="26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Exploration and evaluation expenses</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7,905</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22,663</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23,172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40,340</w:t>
            </w:r>
          </w:p>
        </w:tc>
      </w:tr>
      <w:tr>
        <w:trPr/>
        <w:tc>
          <w:tcPr>
            <w:tcW w:w="26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15,958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22,502</w:t>
            </w:r>
          </w:p>
        </w:tc>
      </w:tr>
      <w:tr>
        <w:trPr/>
        <w:tc>
          <w:tcPr>
            <w:tcW w:w="261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loss</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12,518</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28,607</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39,130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62,842</w:t>
            </w:r>
          </w:p>
        </w:tc>
      </w:tr>
      <w:tr>
        <w:trPr/>
        <w:tc>
          <w:tcPr>
            <w:tcW w:w="26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pPr>
            <w:r>
              <w:rPr/>
              <w:t>​</w:t>
            </w:r>
          </w:p>
        </w:tc>
      </w:tr>
      <w:tr>
        <w:trPr/>
        <w:tc>
          <w:tcPr>
            <w:tcW w:w="261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items</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pPr>
            <w:r>
              <w:rPr/>
              <w:t>  </w:t>
            </w:r>
          </w:p>
        </w:tc>
      </w:tr>
      <w:tr>
        <w:trPr/>
        <w:tc>
          <w:tcPr>
            <w:tcW w:w="26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Equity-accounted investment loss</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pPr>
            <w:r>
              <w:rPr/>
              <w:t>—</w:t>
            </w:r>
          </w:p>
        </w:tc>
      </w:tr>
      <w:tr>
        <w:trPr/>
        <w:tc>
          <w:tcPr>
            <w:tcW w:w="26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asset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(13,750)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pPr>
            <w:r>
              <w:rPr/>
              <w:t>—</w:t>
            </w:r>
          </w:p>
        </w:tc>
      </w:tr>
      <w:tr>
        <w:trPr/>
        <w:tc>
          <w:tcPr>
            <w:tcW w:w="26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warrants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(892)</w:t>
            </w:r>
          </w:p>
        </w:tc>
      </w:tr>
      <w:tr>
        <w:trPr/>
        <w:tc>
          <w:tcPr>
            <w:tcW w:w="26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loss (gain)</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26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w:t>
            </w:r>
          </w:p>
        </w:tc>
      </w:tr>
      <w:tr>
        <w:trPr/>
        <w:tc>
          <w:tcPr>
            <w:tcW w:w="26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Fees and interest on credit facility</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6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pPr>
            <w:r>
              <w:rPr/>
              <w:t>​</w:t>
            </w:r>
          </w:p>
        </w:tc>
      </w:tr>
      <w:tr>
        <w:trPr/>
        <w:tc>
          <w:tcPr>
            <w:tcW w:w="261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and comprehensive loss for the period</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12,467</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27,894</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26,572</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61,395</w:t>
            </w:r>
          </w:p>
        </w:tc>
      </w:tr>
      <w:tr>
        <w:trPr/>
        <w:tc>
          <w:tcPr>
            <w:tcW w:w="26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pPr>
            <w:r>
              <w:rPr/>
              <w:t>​</w:t>
            </w:r>
          </w:p>
        </w:tc>
      </w:tr>
      <w:tr>
        <w:trPr/>
        <w:tc>
          <w:tcPr>
            <w:tcW w:w="261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per share - basic and diluted</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0.04</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0.12</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0.09</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0.27</w:t>
            </w:r>
          </w:p>
        </w:tc>
      </w:tr>
      <w:tr>
        <w:trPr/>
        <w:tc>
          <w:tcPr>
            <w:tcW w:w="26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pPr>
            <w:r>
              <w:rPr/>
              <w:t>​</w:t>
            </w:r>
          </w:p>
        </w:tc>
      </w:tr>
      <w:tr>
        <w:trPr/>
        <w:tc>
          <w:tcPr>
            <w:tcW w:w="261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Weighted average number of common shares outstanding – basic and diluted</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294,636,496</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239,740,984</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282,745,892</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231,028,587</w:t>
            </w:r>
          </w:p>
        </w:tc>
      </w:tr>
    </w:tbl>
    <w:p>
      <w:pPr>
        <w:pStyle w:val="TextBody"/>
        <w:bidi w:val="0"/>
        <w:spacing w:before="0" w:after="0"/>
        <w:ind w:left="0" w:right="0" w:hanging="0"/>
        <w:jc w:val="left"/>
        <w:rPr/>
      </w:pPr>
      <w:r>
        <w:rPr/>
        <w:t>​</w:t>
      </w:r>
    </w:p>
    <w:p>
      <w:pPr>
        <w:pStyle w:val="TextBody"/>
        <w:bidi w:val="0"/>
        <w:spacing w:before="0" w:after="24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36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49" w:name="_eaba3108_b1da_4a79_a2b0_745560f9aff6"/>
      <w:bookmarkEnd w:id="249"/>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bookmarkStart w:id="250" w:name="CondensedConsolidatedStatementsofChanges"/>
      <w:bookmarkEnd w:id="250"/>
      <w:r>
        <w:rPr>
          <w:rFonts w:ascii="Times New Roman;Times;serif" w:hAnsi="Times New Roman;Times;serif"/>
          <w:b/>
          <w:sz w:val="20"/>
        </w:rPr>
        <w:t>Condensed Consolidated Statements of Changes in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51" w:name="Tc_CDW280ssKUCYeFHjbT-WVg_13_19"/>
      <w:bookmarkStart w:id="252" w:name="Tc_pH6JZWwZ3EOVMnehZi_3xA_13_16"/>
      <w:bookmarkStart w:id="253" w:name="Tc_k48040KLv0y00UdgEJSu4g_13_13"/>
      <w:bookmarkStart w:id="254" w:name="Tc_a_CQTd4NNUmUmJ6sEapmVA_13_10"/>
      <w:bookmarkStart w:id="255" w:name="Tc_Nka_67PDzkaOhb6kVc0Meg_13_8"/>
      <w:bookmarkStart w:id="256" w:name="Tc_7fUW-m44NUWvxkGbwkWlUA_13_7"/>
      <w:bookmarkStart w:id="257" w:name="Tc_tds-jQw3sk-IzRWqeeKjFA_13_4"/>
      <w:bookmarkStart w:id="258" w:name="Tc_ompNcO29EkCjvhmX23Xj_g_13_0"/>
      <w:bookmarkStart w:id="259" w:name="Tc_bLDwc1ALJUiH29Oco3tj5g_12_14"/>
      <w:bookmarkStart w:id="260" w:name="Tc_0OcJikMal0KBaMnPtmAatQ_12_11"/>
      <w:bookmarkStart w:id="261" w:name="Tc_59zJO4lV_U67pyEvZTXeJA_12_8"/>
      <w:bookmarkStart w:id="262" w:name="Tc_3QMoDOhV20m1jvRf1m9H8Q_12_5"/>
      <w:bookmarkStart w:id="263" w:name="Tc_wTqZh9InCk-iVXKPlyRpzA_12_2"/>
      <w:bookmarkStart w:id="264" w:name="Tc_kdjpvLEZ_kaFooehZ02HUg_12_0"/>
      <w:bookmarkStart w:id="265" w:name="Tc_yqmxxe3J3E2v2oT1kbYHKg_11_17"/>
      <w:bookmarkStart w:id="266" w:name="Tc_sQcmwZTUOUmmOIhaAbXPyw_11_14"/>
      <w:bookmarkStart w:id="267" w:name="Tc_yk_cMoqJeEKx15HoLGQmQw_11_8"/>
      <w:bookmarkStart w:id="268" w:name="Tc_2-zG_5T9J0m2iZ6guDLXNg_11_5"/>
      <w:bookmarkStart w:id="269" w:name="Tc_rk1ZoTf_rESzA7YdpR4Ldw_11_2"/>
      <w:bookmarkStart w:id="270" w:name="Tc_xCeBHUMAskaqlSjo4XfvsQ_11_0"/>
      <w:bookmarkStart w:id="271" w:name="Tc_2c4NLOLukEiKDshJPCIlPw_10_17"/>
      <w:bookmarkStart w:id="272" w:name="Tc_vnituzsnFkeTyZ2ucqU2hw_10_14"/>
      <w:bookmarkStart w:id="273" w:name="Tc_81W1gJ676EW6nsntGOOaoQ_10_8"/>
      <w:bookmarkStart w:id="274" w:name="Tc_y5xd8_xH_UWqNR8nYnD9tg_10_0"/>
      <w:bookmarkStart w:id="275" w:name="Tc_-iyJZ9MrwU-VI-3EJILOAQ_9_20"/>
      <w:bookmarkStart w:id="276" w:name="Tc_3H_3Zsp-xUCFoVhfAV3mIw_9_17"/>
      <w:bookmarkStart w:id="277" w:name="Tc_re0I0OhrhEyF6I6vOEoUHw_9_14"/>
      <w:bookmarkStart w:id="278" w:name="Tc_DbrV3wiThkSQEedW5JGrqg_9_8"/>
      <w:bookmarkStart w:id="279" w:name="Tc_3MKtFWKT9EeT26t6cgWHbg_9_0"/>
      <w:bookmarkStart w:id="280" w:name="Tc_yrR_LcSTm0Otb-mRgisL7A_8_17"/>
      <w:bookmarkStart w:id="281" w:name="Tc_zltX0REr8kqK1832RQkUAw_8_14"/>
      <w:bookmarkStart w:id="282" w:name="Tc_MaANDmHYfEq53zFqjjWfHA_8_11"/>
      <w:bookmarkStart w:id="283" w:name="Tc_HCam1joD602Dw8RgTke4rg_8_8"/>
      <w:bookmarkStart w:id="284" w:name="Tc_nU49A4SQ7U-d3R8evlmIXA_8_0"/>
      <w:bookmarkStart w:id="285" w:name="Tc_5Op4qSbbAE2Fy-qy8BNTDQ_7_17"/>
      <w:bookmarkStart w:id="286" w:name="Tc_QA8lExsdZ0ifwxRcshg6Mw_7_14"/>
      <w:bookmarkStart w:id="287" w:name="Tc_AHK5VbziOEizvmwJ2czcCg_7_8"/>
      <w:bookmarkStart w:id="288" w:name="Tc_0q9IuN1_R02uPUNc6Sp4XA_7_0"/>
      <w:bookmarkStart w:id="289" w:name="Tc_GjXdnUFYKE2ER1NBEBbINQ_6_17"/>
      <w:bookmarkStart w:id="290" w:name="Tc_aU2qaaHWzEGNpYdsbdZJEw_6_14"/>
      <w:bookmarkStart w:id="291" w:name="Tc_d2qApoAWSUevPS_kY9Ia4A_6_8"/>
      <w:bookmarkStart w:id="292" w:name="Tc_mbVzgRbIXk6pFPQXQB6VJg_6_0"/>
      <w:bookmarkStart w:id="293" w:name="Tc_zaTHuBkku0iSDCTCR3N1sg_5_19"/>
      <w:bookmarkStart w:id="294" w:name="Tc_ulD5_p0BZk6rg7yt0GUL-g_5_16"/>
      <w:bookmarkStart w:id="295" w:name="Tc_nRoa38BpcE-y4jfil7O5wg_5_13"/>
      <w:bookmarkStart w:id="296" w:name="Tc_L3Rl8-JlvEewb7xDEwSfUA_5_10"/>
      <w:bookmarkStart w:id="297" w:name="Tc_KVx1ripAC0KYYlfNHIKvPg_5_8"/>
      <w:bookmarkStart w:id="298" w:name="Tc_qDo20pY9I0yC6Bype1n5Gw_5_7"/>
      <w:bookmarkStart w:id="299" w:name="Tc_VmvGgKfh-kCrTdBAMbZnyw_5_4"/>
      <w:bookmarkStart w:id="300" w:name="Tc_XfJKh_OW_kqte2AqWo6OTg_5_0"/>
      <w:bookmarkStart w:id="301" w:name="Tc_DQ2yXctBkUGWiwvr7_sqxQ_4_19"/>
      <w:bookmarkStart w:id="302" w:name="Tc_ypFKUGWdP0an-uDKxIOtCw_4_16"/>
      <w:bookmarkStart w:id="303" w:name="Tc_PaqURgjLGEGFGOqS5eorQw_4_13"/>
      <w:bookmarkStart w:id="304" w:name="Tc_oc5JifebhE2Ey6_KEAGJaA_4_10"/>
      <w:bookmarkStart w:id="305" w:name="Tc_3krjbJzu_0StqWvB5PaOVg_4_7"/>
      <w:bookmarkStart w:id="306" w:name="Tc_cOhqOGKBDUqRbZm9ddIBew_4_5"/>
      <w:bookmarkStart w:id="307" w:name="Tc_TlyyLSXuJkGSJ2I4T_tINQ_4_2"/>
      <w:bookmarkStart w:id="308" w:name="Tc_QiCpk9HQ3kCULEo3gnpFqg_4_0"/>
      <w:bookmarkStart w:id="309" w:name="Tc_bZtTnt2Cv06yCjppR80joQ_3_13"/>
      <w:bookmarkStart w:id="310" w:name="Tc_mKxf8y_cX06o0H-jNN6hBw_3_10"/>
      <w:bookmarkStart w:id="311" w:name="Tc_MLQfrEb3Y0eFoEHx4OgRXw_3_7"/>
      <w:bookmarkStart w:id="312" w:name="Tc_ikeHdNESt0yjvzbufPTa4g_2_13"/>
      <w:bookmarkStart w:id="313" w:name="Tc_lYVRoVExMESxB99qLfzkww_2_10"/>
      <w:bookmarkStart w:id="314" w:name="Tc_7Fht46BbukSLZLWGBAxtBQ_2_2"/>
      <w:bookmarkStart w:id="315" w:name="Tc_WfdySjB7uU6nL2df8rsSYg_1_13"/>
      <w:bookmarkStart w:id="316" w:name="_e0a85aaa_9394_41de_bf68_8fc47e235eca"/>
      <w:bookmarkStart w:id="317" w:name="Tc_CDW280ssKUCYeFHjbT-WVg_13_19"/>
      <w:bookmarkStart w:id="318" w:name="Tc_pH6JZWwZ3EOVMnehZi_3xA_13_16"/>
      <w:bookmarkStart w:id="319" w:name="Tc_k48040KLv0y00UdgEJSu4g_13_13"/>
      <w:bookmarkStart w:id="320" w:name="Tc_a_CQTd4NNUmUmJ6sEapmVA_13_10"/>
      <w:bookmarkStart w:id="321" w:name="Tc_Nka_67PDzkaOhb6kVc0Meg_13_8"/>
      <w:bookmarkStart w:id="322" w:name="Tc_7fUW-m44NUWvxkGbwkWlUA_13_7"/>
      <w:bookmarkStart w:id="323" w:name="Tc_tds-jQw3sk-IzRWqeeKjFA_13_4"/>
      <w:bookmarkStart w:id="324" w:name="Tc_ompNcO29EkCjvhmX23Xj_g_13_0"/>
      <w:bookmarkStart w:id="325" w:name="Tc_bLDwc1ALJUiH29Oco3tj5g_12_14"/>
      <w:bookmarkStart w:id="326" w:name="Tc_0OcJikMal0KBaMnPtmAatQ_12_11"/>
      <w:bookmarkStart w:id="327" w:name="Tc_59zJO4lV_U67pyEvZTXeJA_12_8"/>
      <w:bookmarkStart w:id="328" w:name="Tc_3QMoDOhV20m1jvRf1m9H8Q_12_5"/>
      <w:bookmarkStart w:id="329" w:name="Tc_wTqZh9InCk-iVXKPlyRpzA_12_2"/>
      <w:bookmarkStart w:id="330" w:name="Tc_kdjpvLEZ_kaFooehZ02HUg_12_0"/>
      <w:bookmarkStart w:id="331" w:name="Tc_yqmxxe3J3E2v2oT1kbYHKg_11_17"/>
      <w:bookmarkStart w:id="332" w:name="Tc_sQcmwZTUOUmmOIhaAbXPyw_11_14"/>
      <w:bookmarkStart w:id="333" w:name="Tc_yk_cMoqJeEKx15HoLGQmQw_11_8"/>
      <w:bookmarkStart w:id="334" w:name="Tc_2-zG_5T9J0m2iZ6guDLXNg_11_5"/>
      <w:bookmarkStart w:id="335" w:name="Tc_rk1ZoTf_rESzA7YdpR4Ldw_11_2"/>
      <w:bookmarkStart w:id="336" w:name="Tc_xCeBHUMAskaqlSjo4XfvsQ_11_0"/>
      <w:bookmarkStart w:id="337" w:name="Tc_2c4NLOLukEiKDshJPCIlPw_10_17"/>
      <w:bookmarkStart w:id="338" w:name="Tc_vnituzsnFkeTyZ2ucqU2hw_10_14"/>
      <w:bookmarkStart w:id="339" w:name="Tc_81W1gJ676EW6nsntGOOaoQ_10_8"/>
      <w:bookmarkStart w:id="340" w:name="Tc_y5xd8_xH_UWqNR8nYnD9tg_10_0"/>
      <w:bookmarkStart w:id="341" w:name="Tc_-iyJZ9MrwU-VI-3EJILOAQ_9_20"/>
      <w:bookmarkStart w:id="342" w:name="Tc_3H_3Zsp-xUCFoVhfAV3mIw_9_17"/>
      <w:bookmarkStart w:id="343" w:name="Tc_re0I0OhrhEyF6I6vOEoUHw_9_14"/>
      <w:bookmarkStart w:id="344" w:name="Tc_DbrV3wiThkSQEedW5JGrqg_9_8"/>
      <w:bookmarkStart w:id="345" w:name="Tc_3MKtFWKT9EeT26t6cgWHbg_9_0"/>
      <w:bookmarkStart w:id="346" w:name="Tc_yrR_LcSTm0Otb-mRgisL7A_8_17"/>
      <w:bookmarkStart w:id="347" w:name="Tc_zltX0REr8kqK1832RQkUAw_8_14"/>
      <w:bookmarkStart w:id="348" w:name="Tc_MaANDmHYfEq53zFqjjWfHA_8_11"/>
      <w:bookmarkStart w:id="349" w:name="Tc_HCam1joD602Dw8RgTke4rg_8_8"/>
      <w:bookmarkStart w:id="350" w:name="Tc_nU49A4SQ7U-d3R8evlmIXA_8_0"/>
      <w:bookmarkStart w:id="351" w:name="Tc_5Op4qSbbAE2Fy-qy8BNTDQ_7_17"/>
      <w:bookmarkStart w:id="352" w:name="Tc_QA8lExsdZ0ifwxRcshg6Mw_7_14"/>
      <w:bookmarkStart w:id="353" w:name="Tc_AHK5VbziOEizvmwJ2czcCg_7_8"/>
      <w:bookmarkStart w:id="354" w:name="Tc_0q9IuN1_R02uPUNc6Sp4XA_7_0"/>
      <w:bookmarkStart w:id="355" w:name="Tc_GjXdnUFYKE2ER1NBEBbINQ_6_17"/>
      <w:bookmarkStart w:id="356" w:name="Tc_aU2qaaHWzEGNpYdsbdZJEw_6_14"/>
      <w:bookmarkStart w:id="357" w:name="Tc_d2qApoAWSUevPS_kY9Ia4A_6_8"/>
      <w:bookmarkStart w:id="358" w:name="Tc_mbVzgRbIXk6pFPQXQB6VJg_6_0"/>
      <w:bookmarkStart w:id="359" w:name="Tc_zaTHuBkku0iSDCTCR3N1sg_5_19"/>
      <w:bookmarkStart w:id="360" w:name="Tc_ulD5_p0BZk6rg7yt0GUL-g_5_16"/>
      <w:bookmarkStart w:id="361" w:name="Tc_nRoa38BpcE-y4jfil7O5wg_5_13"/>
      <w:bookmarkStart w:id="362" w:name="Tc_L3Rl8-JlvEewb7xDEwSfUA_5_10"/>
      <w:bookmarkStart w:id="363" w:name="Tc_KVx1ripAC0KYYlfNHIKvPg_5_8"/>
      <w:bookmarkStart w:id="364" w:name="Tc_qDo20pY9I0yC6Bype1n5Gw_5_7"/>
      <w:bookmarkStart w:id="365" w:name="Tc_VmvGgKfh-kCrTdBAMbZnyw_5_4"/>
      <w:bookmarkStart w:id="366" w:name="Tc_XfJKh_OW_kqte2AqWo6OTg_5_0"/>
      <w:bookmarkStart w:id="367" w:name="Tc_DQ2yXctBkUGWiwvr7_sqxQ_4_19"/>
      <w:bookmarkStart w:id="368" w:name="Tc_ypFKUGWdP0an-uDKxIOtCw_4_16"/>
      <w:bookmarkStart w:id="369" w:name="Tc_PaqURgjLGEGFGOqS5eorQw_4_13"/>
      <w:bookmarkStart w:id="370" w:name="Tc_oc5JifebhE2Ey6_KEAGJaA_4_10"/>
      <w:bookmarkStart w:id="371" w:name="Tc_3krjbJzu_0StqWvB5PaOVg_4_7"/>
      <w:bookmarkStart w:id="372" w:name="Tc_cOhqOGKBDUqRbZm9ddIBew_4_5"/>
      <w:bookmarkStart w:id="373" w:name="Tc_TlyyLSXuJkGSJ2I4T_tINQ_4_2"/>
      <w:bookmarkStart w:id="374" w:name="Tc_QiCpk9HQ3kCULEo3gnpFqg_4_0"/>
      <w:bookmarkStart w:id="375" w:name="Tc_bZtTnt2Cv06yCjppR80joQ_3_13"/>
      <w:bookmarkStart w:id="376" w:name="Tc_mKxf8y_cX06o0H-jNN6hBw_3_10"/>
      <w:bookmarkStart w:id="377" w:name="Tc_MLQfrEb3Y0eFoEHx4OgRXw_3_7"/>
      <w:bookmarkStart w:id="378" w:name="Tc_ikeHdNESt0yjvzbufPTa4g_2_13"/>
      <w:bookmarkStart w:id="379" w:name="Tc_lYVRoVExMESxB99qLfzkww_2_10"/>
      <w:bookmarkStart w:id="380" w:name="Tc_7Fht46BbukSLZLWGBAxtBQ_2_2"/>
      <w:bookmarkStart w:id="381" w:name="Tc_WfdySjB7uU6nL2df8rsSYg_1_13"/>
      <w:bookmarkStart w:id="382" w:name="_e0a85aaa_9394_41de_bf68_8fc47e235eca"/>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tbl>
      <w:tblPr>
        <w:tblW w:w="10304" w:type="dxa"/>
        <w:jc w:val="left"/>
        <w:tblInd w:w="0" w:type="dxa"/>
        <w:tblLayout w:type="fixed"/>
        <w:tblCellMar>
          <w:top w:w="0" w:type="dxa"/>
          <w:left w:w="0" w:type="dxa"/>
          <w:bottom w:w="0" w:type="dxa"/>
          <w:right w:w="0" w:type="dxa"/>
        </w:tblCellMar>
      </w:tblPr>
      <w:tblGrid>
        <w:gridCol w:w="1561"/>
        <w:gridCol w:w="326"/>
        <w:gridCol w:w="1006"/>
        <w:gridCol w:w="326"/>
        <w:gridCol w:w="196"/>
        <w:gridCol w:w="691"/>
        <w:gridCol w:w="326"/>
        <w:gridCol w:w="222"/>
        <w:gridCol w:w="394"/>
        <w:gridCol w:w="326"/>
        <w:gridCol w:w="196"/>
        <w:gridCol w:w="691"/>
        <w:gridCol w:w="326"/>
        <w:gridCol w:w="310"/>
        <w:gridCol w:w="906"/>
        <w:gridCol w:w="326"/>
        <w:gridCol w:w="196"/>
        <w:gridCol w:w="751"/>
        <w:gridCol w:w="326"/>
        <w:gridCol w:w="196"/>
        <w:gridCol w:w="706"/>
      </w:tblGrid>
      <w:tr>
        <w:trPr/>
        <w:tc>
          <w:tcPr>
            <w:tcW w:w="15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38810" cy="175260"/>
                      <wp:effectExtent l="0" t="0" r="0" b="0"/>
                      <wp:wrapNone/>
                      <wp:docPr id="31" name="Frame31"/>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24460" cy="175260"/>
                      <wp:effectExtent l="0" t="0" r="0" b="0"/>
                      <wp:wrapNone/>
                      <wp:docPr id="33" name="Frame3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438785" cy="175260"/>
                      <wp:effectExtent l="0" t="0" r="0" b="0"/>
                      <wp:wrapNone/>
                      <wp:docPr id="34" name="Frame3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40970" cy="175260"/>
                      <wp:effectExtent l="0" t="0" r="0" b="0"/>
                      <wp:wrapNone/>
                      <wp:docPr id="36" name="Frame36"/>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50190" cy="175260"/>
                      <wp:effectExtent l="0" t="0" r="0" b="0"/>
                      <wp:wrapNone/>
                      <wp:docPr id="37" name="Frame37"/>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24460" cy="175260"/>
                      <wp:effectExtent l="0" t="0" r="0" b="0"/>
                      <wp:wrapNone/>
                      <wp:docPr id="39" name="Frame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38785" cy="175260"/>
                      <wp:effectExtent l="0" t="0" r="0" b="0"/>
                      <wp:wrapNone/>
                      <wp:docPr id="40" name="Frame4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96850" cy="175260"/>
                      <wp:effectExtent l="0" t="0" r="0" b="0"/>
                      <wp:wrapNone/>
                      <wp:docPr id="42" name="Frame42"/>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75310" cy="175260"/>
                      <wp:effectExtent l="0" t="0" r="0" b="0"/>
                      <wp:wrapNone/>
                      <wp:docPr id="43" name="Frame43"/>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24460" cy="175260"/>
                      <wp:effectExtent l="0" t="0" r="0" b="0"/>
                      <wp:wrapNone/>
                      <wp:docPr id="45" name="Frame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76885" cy="175260"/>
                      <wp:effectExtent l="0" t="0" r="0" b="0"/>
                      <wp:wrapNone/>
                      <wp:docPr id="46" name="Frame46"/>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24460" cy="175260"/>
                      <wp:effectExtent l="0" t="0" r="0" b="0"/>
                      <wp:wrapNone/>
                      <wp:docPr id="48" name="Frame4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48310" cy="175260"/>
                      <wp:effectExtent l="0" t="0" r="0" b="0"/>
                      <wp:wrapNone/>
                      <wp:docPr id="49" name="Frame49"/>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left"/>
              <w:rPr/>
            </w:pPr>
            <w:r>
              <w:rPr/>
              <w:t>​</w:t>
            </w:r>
          </w:p>
        </w:tc>
      </w:tr>
      <w:tr>
        <w:trPr/>
        <w:tc>
          <w:tcPr>
            <w:tcW w:w="15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Shares</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left"/>
              <w:rPr/>
            </w:pPr>
            <w:r>
              <w:rPr/>
              <w:t>​</w:t>
            </w:r>
          </w:p>
        </w:tc>
      </w:tr>
      <w:tr>
        <w:trPr/>
        <w:tc>
          <w:tcPr>
            <w:tcW w:w="15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Special</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Paid in</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156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Three months ended September 30, 2023</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61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Loss</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Total</w:t>
            </w:r>
          </w:p>
        </w:tc>
      </w:tr>
      <w:tr>
        <w:trPr/>
        <w:tc>
          <w:tcPr>
            <w:tcW w:w="156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June 30, 2023</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281,136,415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345,775</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3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188,722</w:t>
            </w:r>
          </w:p>
        </w:tc>
        <w:tc>
          <w:tcPr>
            <w:tcW w:w="326" w:type="dxa"/>
            <w:tcBorders/>
            <w:shd w:fill="CCEEFF" w:val="clear"/>
            <w:vAlign w:val="center"/>
          </w:tcPr>
          <w:p>
            <w:pPr>
              <w:pStyle w:val="TableContents"/>
              <w:bidi w:val="0"/>
              <w:spacing w:before="0" w:after="0"/>
              <w:ind w:left="0" w:right="0" w:hanging="0"/>
              <w:jc w:val="left"/>
              <w:rPr/>
            </w:pPr>
            <w:r>
              <w:rPr/>
              <w:t> </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(1,216)</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(489,226)</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44,055</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stock options (Note 10)</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120,000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w:t>
            </w:r>
          </w:p>
        </w:tc>
      </w:tr>
      <w:tr>
        <w:trPr/>
        <w:tc>
          <w:tcPr>
            <w:tcW w:w="15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warrant by Allseas (Note 9)</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11,578,620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70,016</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(69,900)</w:t>
            </w:r>
          </w:p>
        </w:tc>
        <w:tc>
          <w:tcPr>
            <w:tcW w:w="326" w:type="dxa"/>
            <w:tcBorders/>
            <w:shd w:fill="CCEEFF" w:val="clear"/>
            <w:vAlign w:val="center"/>
          </w:tcPr>
          <w:p>
            <w:pPr>
              <w:pStyle w:val="TableContents"/>
              <w:bidi w:val="0"/>
              <w:spacing w:before="0" w:after="0"/>
              <w:ind w:left="0" w:right="0" w:hanging="0"/>
              <w:jc w:val="left"/>
              <w:rPr/>
            </w:pPr>
            <w:r>
              <w:rPr/>
              <w:t> </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issued to Allseas (Note 13)</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4,150,000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6,516</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6,516</w:t>
            </w:r>
          </w:p>
        </w:tc>
      </w:tr>
      <w:tr>
        <w:trPr/>
        <w:tc>
          <w:tcPr>
            <w:tcW w:w="15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Conversion of restricted share units, net of shares withheld for taxes (Note 10)</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183,281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shares and warrants under Registered Direct Offering, net of expenses (Note 8)</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7,961,540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11,349</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3,179</w:t>
            </w:r>
          </w:p>
        </w:tc>
        <w:tc>
          <w:tcPr>
            <w:tcW w:w="32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14,528</w:t>
            </w:r>
          </w:p>
        </w:tc>
      </w:tr>
      <w:tr>
        <w:trPr/>
        <w:tc>
          <w:tcPr>
            <w:tcW w:w="15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Share-based compensation (Note 10)</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2,533</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2,533</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for the period</w:t>
            </w:r>
          </w:p>
        </w:tc>
        <w:tc>
          <w:tcPr>
            <w:tcW w:w="326"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(12,467)</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(12,467)</w:t>
            </w:r>
          </w:p>
        </w:tc>
      </w:tr>
      <w:tr>
        <w:trPr/>
        <w:tc>
          <w:tcPr>
            <w:tcW w:w="156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September 30, 2023</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305,129,856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434,099</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3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124,168</w:t>
            </w:r>
          </w:p>
        </w:tc>
        <w:tc>
          <w:tcPr>
            <w:tcW w:w="326" w:type="dxa"/>
            <w:tcBorders/>
            <w:shd w:fill="CCEEFF" w:val="clear"/>
            <w:vAlign w:val="center"/>
          </w:tcPr>
          <w:p>
            <w:pPr>
              <w:pStyle w:val="TableContents"/>
              <w:bidi w:val="0"/>
              <w:spacing w:before="0" w:after="0"/>
              <w:ind w:left="0" w:right="0" w:hanging="0"/>
              <w:jc w:val="left"/>
              <w:rPr/>
            </w:pPr>
            <w:r>
              <w:rPr/>
              <w:t> </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(1,216)</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(501,693)</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55,358</w:t>
            </w:r>
          </w:p>
        </w:tc>
      </w:tr>
    </w:tbl>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83" w:name="Tc_9Yxsn0RM2U-UZfial-CidQ_11_19"/>
      <w:bookmarkStart w:id="384" w:name="Tc_q1M59cdS4km4Y2KBcXz0vw_11_16"/>
      <w:bookmarkStart w:id="385" w:name="Tc_3-Y77BWU5Ua2dLbMNqpXQg_11_13"/>
      <w:bookmarkStart w:id="386" w:name="Tc_RIV2o7JNKUm3I0UXtfXycA_11_10"/>
      <w:bookmarkStart w:id="387" w:name="Tc_rG8IgdfEu0SUbLQr1o0oyA_11_8"/>
      <w:bookmarkStart w:id="388" w:name="Tc_2c3cRISVZE-Q9h2M-D6TxQ_11_7"/>
      <w:bookmarkStart w:id="389" w:name="Tc_s7u5BDuI3EexITiDZXBibA_11_4"/>
      <w:bookmarkStart w:id="390" w:name="Tc_MxJZo4h_G060RyX8owQnxQ_11_0"/>
      <w:bookmarkStart w:id="391" w:name="Tc_93u-PLJrOU2whPwpPKjndQ_10_14"/>
      <w:bookmarkStart w:id="392" w:name="Tc_8v311JUg5UKMAjA5QHNw_g_10_11"/>
      <w:bookmarkStart w:id="393" w:name="Tc_znPLiE-kmE-LbtqQkitEPA_10_8"/>
      <w:bookmarkStart w:id="394" w:name="Tc_oeE_JBgT60GfTaH2sws_KA_10_5"/>
      <w:bookmarkStart w:id="395" w:name="Tc_Eh7zLY-6qEa372x2pD4qCQ_10_2"/>
      <w:bookmarkStart w:id="396" w:name="Tc__CT-fYqXSE2xcB9XNphPeQ_10_0"/>
      <w:bookmarkStart w:id="397" w:name="Tc_r-hO2xiZ2Uy7WNf7GteBTQ_9_17"/>
      <w:bookmarkStart w:id="398" w:name="Tc_JD-Z_5ptqEC8ZIpfQh_3kQ_9_14"/>
      <w:bookmarkStart w:id="399" w:name="Tc_3fYt2mfWCkixFIMM_uy7zQ_9_8"/>
      <w:bookmarkStart w:id="400" w:name="Tc_rGewmrZqv0aUx8m7xIqghg_9_5"/>
      <w:bookmarkStart w:id="401" w:name="Tc_AppYORg9N0SqJdRMDsueVQ_9_2"/>
      <w:bookmarkStart w:id="402" w:name="Tc_xp654VRJI02aVD2vDoj-zg_9_0"/>
      <w:bookmarkStart w:id="403" w:name="Tc_bRgtq-5do0mx2F5SlghLgg_8_17"/>
      <w:bookmarkStart w:id="404" w:name="Tc_lGZ2C3Mk70CgS8YRCLwl3Q_8_14"/>
      <w:bookmarkStart w:id="405" w:name="Tc_2JUgqg8xLU6-8z1nHpTkzw_8_11"/>
      <w:bookmarkStart w:id="406" w:name="Tc_QpHWXWqypEmz_gEp1bDjyw_8_8"/>
      <w:bookmarkStart w:id="407" w:name="Tc_6t87maD4_kirRZxO8RqGZA_8_0"/>
      <w:bookmarkStart w:id="408" w:name="Tc_dmIVQPANck2ygCnTFf_WbQ_7_20"/>
      <w:bookmarkStart w:id="409" w:name="Tc_nUdAdeHxBU2iIyaneHqkTA_7_17"/>
      <w:bookmarkStart w:id="410" w:name="Tc_KFdtQ-e0zkizrIoGRdYZNw_7_14"/>
      <w:bookmarkStart w:id="411" w:name="Tc_8QJe41HIdEOce9FYcYQ3dA_7_8"/>
      <w:bookmarkStart w:id="412" w:name="Tc_27r0xBJUNUmrioqVc6KEdg_7_0"/>
      <w:bookmarkStart w:id="413" w:name="Tc_XzJ8p3YcRkyinu-OKWEYig_6_17"/>
      <w:bookmarkStart w:id="414" w:name="Tc_o4xd7lx5rEWRgz21663IrQ_6_14"/>
      <w:bookmarkStart w:id="415" w:name="Tc_-ddmub5UNECrRNbIA-DzYw_6_8"/>
      <w:bookmarkStart w:id="416" w:name="Tc_KC7X7GQYU0yzdJ-j7zFZZw_6_0"/>
      <w:bookmarkStart w:id="417" w:name="Tc_AEZPQKfzeEmHhI8cYNC24g_5_19"/>
      <w:bookmarkStart w:id="418" w:name="Tc_7H1ctSXPDk2XoUdoPmJfrg_5_16"/>
      <w:bookmarkStart w:id="419" w:name="Tc_Hj6Mp64dUEmV59IZ_Evmpg_5_13"/>
      <w:bookmarkStart w:id="420" w:name="Tc_7VLh3sy8RkGJaYahsYJcWg_5_10"/>
      <w:bookmarkStart w:id="421" w:name="Tc_3PJBury5yUKYnX6XGnnPlA_5_8"/>
      <w:bookmarkStart w:id="422" w:name="Tc_Wt3vx_Dx10-hWmxQ2HiqJA_5_7"/>
      <w:bookmarkStart w:id="423" w:name="Tc_N6noRzODrEqkceVosyhpFQ_5_4"/>
      <w:bookmarkStart w:id="424" w:name="Tc_jWS6rz9o2USunDs1iHAT_Q_5_0"/>
      <w:bookmarkStart w:id="425" w:name="Tc_-WDCL2dTYECrkfxcD7B1ow_4_19"/>
      <w:bookmarkStart w:id="426" w:name="Tc_EuRbYyHbc06h447GQttkKQ_4_16"/>
      <w:bookmarkStart w:id="427" w:name="Tc_DXXGS1UKmEqOFPfV9tcwOg_4_13"/>
      <w:bookmarkStart w:id="428" w:name="Tc_W_YGygyAFUCVRuaoPNyMTg_4_10"/>
      <w:bookmarkStart w:id="429" w:name="Tc_lmA2NBNuT0yNTScEed4C5g_4_7"/>
      <w:bookmarkStart w:id="430" w:name="Tc_b7so9giVcUOVcdSjpdDlZQ_4_4"/>
      <w:bookmarkStart w:id="431" w:name="Tc_uGIPRyPhBEeMCFEOTQjHhA_4_2"/>
      <w:bookmarkStart w:id="432" w:name="Tc_L_LfV70HI0K8viiVsUX6Jg_4_0"/>
      <w:bookmarkStart w:id="433" w:name="Tc_RBlgp4PKLEOb7yESXFbbEA_3_13"/>
      <w:bookmarkStart w:id="434" w:name="Tc_4JR8IbqrYkWn_4rallPbxQ_3_10"/>
      <w:bookmarkStart w:id="435" w:name="Tc_p6Nb7O-7zkuXJ_8p5_f_cQ_3_7"/>
      <w:bookmarkStart w:id="436" w:name="Tc_KofJB3rAqk-mdoA_JFD4ig_2_13"/>
      <w:bookmarkStart w:id="437" w:name="Tc_DAG3IwaJYUmgH2ELbHJHtQ_2_10"/>
      <w:bookmarkStart w:id="438" w:name="Tc_ck8dotDz6kiBfrCeDmDrgQ_2_2"/>
      <w:bookmarkStart w:id="439" w:name="Tc_bgIYPFg0K0a7Z81KvJGHkA_1_13"/>
      <w:bookmarkStart w:id="440" w:name="_89fbf542_da31_4161_9450_db00cbfb418b"/>
      <w:bookmarkStart w:id="441" w:name="Tc_9Yxsn0RM2U-UZfial-CidQ_11_19"/>
      <w:bookmarkStart w:id="442" w:name="Tc_q1M59cdS4km4Y2KBcXz0vw_11_16"/>
      <w:bookmarkStart w:id="443" w:name="Tc_3-Y77BWU5Ua2dLbMNqpXQg_11_13"/>
      <w:bookmarkStart w:id="444" w:name="Tc_RIV2o7JNKUm3I0UXtfXycA_11_10"/>
      <w:bookmarkStart w:id="445" w:name="Tc_rG8IgdfEu0SUbLQr1o0oyA_11_8"/>
      <w:bookmarkStart w:id="446" w:name="Tc_2c3cRISVZE-Q9h2M-D6TxQ_11_7"/>
      <w:bookmarkStart w:id="447" w:name="Tc_s7u5BDuI3EexITiDZXBibA_11_4"/>
      <w:bookmarkStart w:id="448" w:name="Tc_MxJZo4h_G060RyX8owQnxQ_11_0"/>
      <w:bookmarkStart w:id="449" w:name="Tc_93u-PLJrOU2whPwpPKjndQ_10_14"/>
      <w:bookmarkStart w:id="450" w:name="Tc_8v311JUg5UKMAjA5QHNw_g_10_11"/>
      <w:bookmarkStart w:id="451" w:name="Tc_znPLiE-kmE-LbtqQkitEPA_10_8"/>
      <w:bookmarkStart w:id="452" w:name="Tc_oeE_JBgT60GfTaH2sws_KA_10_5"/>
      <w:bookmarkStart w:id="453" w:name="Tc_Eh7zLY-6qEa372x2pD4qCQ_10_2"/>
      <w:bookmarkStart w:id="454" w:name="Tc__CT-fYqXSE2xcB9XNphPeQ_10_0"/>
      <w:bookmarkStart w:id="455" w:name="Tc_r-hO2xiZ2Uy7WNf7GteBTQ_9_17"/>
      <w:bookmarkStart w:id="456" w:name="Tc_JD-Z_5ptqEC8ZIpfQh_3kQ_9_14"/>
      <w:bookmarkStart w:id="457" w:name="Tc_3fYt2mfWCkixFIMM_uy7zQ_9_8"/>
      <w:bookmarkStart w:id="458" w:name="Tc_rGewmrZqv0aUx8m7xIqghg_9_5"/>
      <w:bookmarkStart w:id="459" w:name="Tc_AppYORg9N0SqJdRMDsueVQ_9_2"/>
      <w:bookmarkStart w:id="460" w:name="Tc_xp654VRJI02aVD2vDoj-zg_9_0"/>
      <w:bookmarkStart w:id="461" w:name="Tc_bRgtq-5do0mx2F5SlghLgg_8_17"/>
      <w:bookmarkStart w:id="462" w:name="Tc_lGZ2C3Mk70CgS8YRCLwl3Q_8_14"/>
      <w:bookmarkStart w:id="463" w:name="Tc_2JUgqg8xLU6-8z1nHpTkzw_8_11"/>
      <w:bookmarkStart w:id="464" w:name="Tc_QpHWXWqypEmz_gEp1bDjyw_8_8"/>
      <w:bookmarkStart w:id="465" w:name="Tc_6t87maD4_kirRZxO8RqGZA_8_0"/>
      <w:bookmarkStart w:id="466" w:name="Tc_dmIVQPANck2ygCnTFf_WbQ_7_20"/>
      <w:bookmarkStart w:id="467" w:name="Tc_nUdAdeHxBU2iIyaneHqkTA_7_17"/>
      <w:bookmarkStart w:id="468" w:name="Tc_KFdtQ-e0zkizrIoGRdYZNw_7_14"/>
      <w:bookmarkStart w:id="469" w:name="Tc_8QJe41HIdEOce9FYcYQ3dA_7_8"/>
      <w:bookmarkStart w:id="470" w:name="Tc_27r0xBJUNUmrioqVc6KEdg_7_0"/>
      <w:bookmarkStart w:id="471" w:name="Tc_XzJ8p3YcRkyinu-OKWEYig_6_17"/>
      <w:bookmarkStart w:id="472" w:name="Tc_o4xd7lx5rEWRgz21663IrQ_6_14"/>
      <w:bookmarkStart w:id="473" w:name="Tc_-ddmub5UNECrRNbIA-DzYw_6_8"/>
      <w:bookmarkStart w:id="474" w:name="Tc_KC7X7GQYU0yzdJ-j7zFZZw_6_0"/>
      <w:bookmarkStart w:id="475" w:name="Tc_AEZPQKfzeEmHhI8cYNC24g_5_19"/>
      <w:bookmarkStart w:id="476" w:name="Tc_7H1ctSXPDk2XoUdoPmJfrg_5_16"/>
      <w:bookmarkStart w:id="477" w:name="Tc_Hj6Mp64dUEmV59IZ_Evmpg_5_13"/>
      <w:bookmarkStart w:id="478" w:name="Tc_7VLh3sy8RkGJaYahsYJcWg_5_10"/>
      <w:bookmarkStart w:id="479" w:name="Tc_3PJBury5yUKYnX6XGnnPlA_5_8"/>
      <w:bookmarkStart w:id="480" w:name="Tc_Wt3vx_Dx10-hWmxQ2HiqJA_5_7"/>
      <w:bookmarkStart w:id="481" w:name="Tc_N6noRzODrEqkceVosyhpFQ_5_4"/>
      <w:bookmarkStart w:id="482" w:name="Tc_jWS6rz9o2USunDs1iHAT_Q_5_0"/>
      <w:bookmarkStart w:id="483" w:name="Tc_-WDCL2dTYECrkfxcD7B1ow_4_19"/>
      <w:bookmarkStart w:id="484" w:name="Tc_EuRbYyHbc06h447GQttkKQ_4_16"/>
      <w:bookmarkStart w:id="485" w:name="Tc_DXXGS1UKmEqOFPfV9tcwOg_4_13"/>
      <w:bookmarkStart w:id="486" w:name="Tc_W_YGygyAFUCVRuaoPNyMTg_4_10"/>
      <w:bookmarkStart w:id="487" w:name="Tc_lmA2NBNuT0yNTScEed4C5g_4_7"/>
      <w:bookmarkStart w:id="488" w:name="Tc_b7so9giVcUOVcdSjpdDlZQ_4_4"/>
      <w:bookmarkStart w:id="489" w:name="Tc_uGIPRyPhBEeMCFEOTQjHhA_4_2"/>
      <w:bookmarkStart w:id="490" w:name="Tc_L_LfV70HI0K8viiVsUX6Jg_4_0"/>
      <w:bookmarkStart w:id="491" w:name="Tc_RBlgp4PKLEOb7yESXFbbEA_3_13"/>
      <w:bookmarkStart w:id="492" w:name="Tc_4JR8IbqrYkWn_4rallPbxQ_3_10"/>
      <w:bookmarkStart w:id="493" w:name="Tc_p6Nb7O-7zkuXJ_8p5_f_cQ_3_7"/>
      <w:bookmarkStart w:id="494" w:name="Tc_KofJB3rAqk-mdoA_JFD4ig_2_13"/>
      <w:bookmarkStart w:id="495" w:name="Tc_DAG3IwaJYUmgH2ELbHJHtQ_2_10"/>
      <w:bookmarkStart w:id="496" w:name="Tc_ck8dotDz6kiBfrCeDmDrgQ_2_2"/>
      <w:bookmarkStart w:id="497" w:name="Tc_bgIYPFg0K0a7Z81KvJGHkA_1_13"/>
      <w:bookmarkStart w:id="498" w:name="_89fbf542_da31_4161_9450_db00cbfb418b"/>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p>
    <w:tbl>
      <w:tblPr>
        <w:tblW w:w="10304" w:type="dxa"/>
        <w:jc w:val="left"/>
        <w:tblInd w:w="0" w:type="dxa"/>
        <w:tblLayout w:type="fixed"/>
        <w:tblCellMar>
          <w:top w:w="0" w:type="dxa"/>
          <w:left w:w="0" w:type="dxa"/>
          <w:bottom w:w="0" w:type="dxa"/>
          <w:right w:w="0" w:type="dxa"/>
        </w:tblCellMar>
      </w:tblPr>
      <w:tblGrid>
        <w:gridCol w:w="1561"/>
        <w:gridCol w:w="326"/>
        <w:gridCol w:w="1006"/>
        <w:gridCol w:w="326"/>
        <w:gridCol w:w="196"/>
        <w:gridCol w:w="691"/>
        <w:gridCol w:w="326"/>
        <w:gridCol w:w="222"/>
        <w:gridCol w:w="394"/>
        <w:gridCol w:w="326"/>
        <w:gridCol w:w="196"/>
        <w:gridCol w:w="691"/>
        <w:gridCol w:w="326"/>
        <w:gridCol w:w="310"/>
        <w:gridCol w:w="906"/>
        <w:gridCol w:w="326"/>
        <w:gridCol w:w="196"/>
        <w:gridCol w:w="751"/>
        <w:gridCol w:w="326"/>
        <w:gridCol w:w="196"/>
        <w:gridCol w:w="706"/>
      </w:tblGrid>
      <w:tr>
        <w:trPr/>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991235" cy="175260"/>
                      <wp:effectExtent l="0" t="0" r="0" b="0"/>
                      <wp:wrapNone/>
                      <wp:docPr id="50" name="Frame50"/>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38810" cy="175260"/>
                      <wp:effectExtent l="0" t="0" r="0" b="0"/>
                      <wp:wrapNone/>
                      <wp:docPr id="52" name="Frame52"/>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24460" cy="175260"/>
                      <wp:effectExtent l="0" t="0" r="0" b="0"/>
                      <wp:wrapNone/>
                      <wp:docPr id="54" name="Frame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38785" cy="175260"/>
                      <wp:effectExtent l="0" t="0" r="0" b="0"/>
                      <wp:wrapNone/>
                      <wp:docPr id="55" name="Frame5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40970" cy="175260"/>
                      <wp:effectExtent l="0" t="0" r="0" b="0"/>
                      <wp:wrapNone/>
                      <wp:docPr id="57" name="Frame57"/>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50190" cy="175260"/>
                      <wp:effectExtent l="0" t="0" r="0" b="0"/>
                      <wp:wrapNone/>
                      <wp:docPr id="58" name="Frame58"/>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24460" cy="175260"/>
                      <wp:effectExtent l="0" t="0" r="0" b="0"/>
                      <wp:wrapNone/>
                      <wp:docPr id="60" name="Frame6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38785" cy="175260"/>
                      <wp:effectExtent l="0" t="0" r="0" b="0"/>
                      <wp:wrapNone/>
                      <wp:docPr id="61" name="Frame6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96850" cy="175260"/>
                      <wp:effectExtent l="0" t="0" r="0" b="0"/>
                      <wp:wrapNone/>
                      <wp:docPr id="63" name="Frame63"/>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75310" cy="175260"/>
                      <wp:effectExtent l="0" t="0" r="0" b="0"/>
                      <wp:wrapNone/>
                      <wp:docPr id="64" name="Frame64"/>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65" name="Frame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24460" cy="175260"/>
                      <wp:effectExtent l="0" t="0" r="0" b="0"/>
                      <wp:wrapNone/>
                      <wp:docPr id="66" name="Frame6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76885" cy="175260"/>
                      <wp:effectExtent l="0" t="0" r="0" b="0"/>
                      <wp:wrapNone/>
                      <wp:docPr id="67" name="Frame67"/>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24460" cy="175260"/>
                      <wp:effectExtent l="0" t="0" r="0" b="0"/>
                      <wp:wrapNone/>
                      <wp:docPr id="69" name="Frame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48310" cy="175260"/>
                      <wp:effectExtent l="0" t="0" r="0" b="0"/>
                      <wp:wrapNone/>
                      <wp:docPr id="70" name="Frame70"/>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2" w:type="dxa"/>
            <w:tcBorders/>
            <w:vAlign w:val="center"/>
          </w:tcPr>
          <w:p>
            <w:pPr>
              <w:pStyle w:val="TableContents"/>
              <w:bidi w:val="0"/>
              <w:spacing w:before="0" w:after="0"/>
              <w:ind w:left="0" w:right="0" w:hanging="0"/>
              <w:jc w:val="right"/>
              <w:rPr/>
            </w:pPr>
            <w:r>
              <w:rPr/>
              <w:t>​</w:t>
            </w:r>
          </w:p>
        </w:tc>
        <w:tc>
          <w:tcPr>
            <w:tcW w:w="3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2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Accumulated </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15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2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Shares</w:t>
            </w:r>
          </w:p>
        </w:tc>
        <w:tc>
          <w:tcPr>
            <w:tcW w:w="326" w:type="dxa"/>
            <w:tcBorders/>
            <w:vAlign w:val="center"/>
          </w:tcPr>
          <w:p>
            <w:pPr>
              <w:pStyle w:val="TableContents"/>
              <w:bidi w:val="0"/>
              <w:spacing w:before="0" w:after="0"/>
              <w:ind w:left="0" w:right="0" w:hanging="0"/>
              <w:jc w:val="right"/>
              <w:rPr/>
            </w:pPr>
            <w:r>
              <w:rPr/>
              <w:t>​</w:t>
            </w:r>
          </w:p>
        </w:tc>
        <w:tc>
          <w:tcPr>
            <w:tcW w:w="222" w:type="dxa"/>
            <w:tcBorders/>
            <w:vAlign w:val="center"/>
          </w:tcPr>
          <w:p>
            <w:pPr>
              <w:pStyle w:val="TableContents"/>
              <w:bidi w:val="0"/>
              <w:spacing w:before="0" w:after="0"/>
              <w:ind w:left="0" w:right="0" w:hanging="0"/>
              <w:jc w:val="right"/>
              <w:rPr/>
            </w:pPr>
            <w:r>
              <w:rPr/>
              <w:t>​</w:t>
            </w:r>
          </w:p>
        </w:tc>
        <w:tc>
          <w:tcPr>
            <w:tcW w:w="3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right"/>
              <w:rPr/>
            </w:pPr>
            <w:r>
              <w:rPr/>
              <w:t>    </w:t>
            </w:r>
          </w:p>
        </w:tc>
        <w:tc>
          <w:tcPr>
            <w:tcW w:w="12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15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right"/>
              <w:rPr/>
            </w:pPr>
            <w:r>
              <w:rPr/>
              <w:t>​</w:t>
            </w:r>
          </w:p>
        </w:tc>
        <w:tc>
          <w:tcPr>
            <w:tcW w:w="6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Special</w:t>
            </w:r>
          </w:p>
        </w:tc>
        <w:tc>
          <w:tcPr>
            <w:tcW w:w="326" w:type="dxa"/>
            <w:tcBorders/>
            <w:vAlign w:val="center"/>
          </w:tcPr>
          <w:p>
            <w:pPr>
              <w:pStyle w:val="TableContents"/>
              <w:bidi w:val="0"/>
              <w:spacing w:before="0" w:after="0"/>
              <w:ind w:left="0" w:right="0" w:hanging="0"/>
              <w:jc w:val="right"/>
              <w:rPr/>
            </w:pPr>
            <w:r>
              <w:rPr/>
              <w:t>​</w:t>
            </w:r>
          </w:p>
        </w:tc>
        <w:tc>
          <w:tcPr>
            <w:tcW w:w="887"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Paid in </w:t>
            </w:r>
          </w:p>
        </w:tc>
        <w:tc>
          <w:tcPr>
            <w:tcW w:w="326" w:type="dxa"/>
            <w:tcBorders/>
            <w:vAlign w:val="center"/>
          </w:tcPr>
          <w:p>
            <w:pPr>
              <w:pStyle w:val="TableContents"/>
              <w:bidi w:val="0"/>
              <w:spacing w:before="0" w:after="0"/>
              <w:ind w:left="0" w:right="0" w:hanging="0"/>
              <w:jc w:val="right"/>
              <w:rPr/>
            </w:pPr>
            <w:r>
              <w:rPr/>
              <w:t>​</w:t>
            </w:r>
          </w:p>
        </w:tc>
        <w:tc>
          <w:tcPr>
            <w:tcW w:w="12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Comprehensive </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706" w:type="dxa"/>
            <w:tcBorders/>
            <w:vAlign w:val="center"/>
          </w:tcPr>
          <w:p>
            <w:pPr>
              <w:pStyle w:val="TableContents"/>
              <w:bidi w:val="0"/>
              <w:spacing w:before="0" w:after="0"/>
              <w:ind w:left="0" w:right="0" w:hanging="0"/>
              <w:jc w:val="right"/>
              <w:rPr/>
            </w:pPr>
            <w:r>
              <w:rPr/>
              <w:t>​</w:t>
            </w:r>
          </w:p>
        </w:tc>
      </w:tr>
      <w:tr>
        <w:trPr/>
        <w:tc>
          <w:tcPr>
            <w:tcW w:w="156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Three months ended September 30, 2022</w:t>
            </w:r>
          </w:p>
        </w:tc>
        <w:tc>
          <w:tcPr>
            <w:tcW w:w="326" w:type="dxa"/>
            <w:tcBorders/>
            <w:vAlign w:val="center"/>
          </w:tcPr>
          <w:p>
            <w:pPr>
              <w:pStyle w:val="TableContents"/>
              <w:bidi w:val="0"/>
              <w:spacing w:before="0" w:after="0"/>
              <w:ind w:left="0" w:right="0" w:hanging="0"/>
              <w:jc w:val="righ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righ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right"/>
              <w:rPr/>
            </w:pPr>
            <w:r>
              <w:rPr/>
              <w:t>    </w:t>
            </w:r>
          </w:p>
        </w:tc>
        <w:tc>
          <w:tcPr>
            <w:tcW w:w="61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righ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righ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Loss</w:t>
            </w:r>
          </w:p>
        </w:tc>
        <w:tc>
          <w:tcPr>
            <w:tcW w:w="326" w:type="dxa"/>
            <w:tcBorders/>
            <w:vAlign w:val="center"/>
          </w:tcPr>
          <w:p>
            <w:pPr>
              <w:pStyle w:val="TableContents"/>
              <w:bidi w:val="0"/>
              <w:spacing w:before="0" w:after="0"/>
              <w:ind w:left="0" w:right="0" w:hanging="0"/>
              <w:jc w:val="righ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righ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Total</w:t>
            </w:r>
          </w:p>
        </w:tc>
      </w:tr>
      <w:tr>
        <w:trPr/>
        <w:tc>
          <w:tcPr>
            <w:tcW w:w="156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June 30, 2022</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227,158,455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299,056</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3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113,487</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(1,216)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(337,658)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73,669</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Exercise of stock options </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w:t>
            </w:r>
          </w:p>
        </w:tc>
        <w:tc>
          <w:tcPr>
            <w:tcW w:w="32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w:t>
            </w:r>
          </w:p>
        </w:tc>
      </w:tr>
      <w:tr>
        <w:trPr/>
        <w:tc>
          <w:tcPr>
            <w:tcW w:w="15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Conversion of restricted share units, net of shares withheld for taxes </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5,354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shares under PIPE financing - net of expenses</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38,266,180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29,668</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29,668</w:t>
            </w:r>
          </w:p>
        </w:tc>
      </w:tr>
      <w:tr>
        <w:trPr/>
        <w:tc>
          <w:tcPr>
            <w:tcW w:w="15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Share-based compensation </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3,553</w:t>
            </w:r>
          </w:p>
        </w:tc>
        <w:tc>
          <w:tcPr>
            <w:tcW w:w="326" w:type="dxa"/>
            <w:tcBorders/>
            <w:shd w:fill="CCEEFF" w:val="clear"/>
            <w:vAlign w:val="center"/>
          </w:tcPr>
          <w:p>
            <w:pPr>
              <w:pStyle w:val="TableContents"/>
              <w:bidi w:val="0"/>
              <w:spacing w:before="0" w:after="0"/>
              <w:ind w:left="0" w:right="0" w:hanging="0"/>
              <w:jc w:val="left"/>
              <w:rPr/>
            </w:pPr>
            <w:r>
              <w:rPr/>
              <w:t> </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3,553</w:t>
            </w:r>
          </w:p>
        </w:tc>
      </w:tr>
      <w:tr>
        <w:trPr/>
        <w:tc>
          <w:tcPr>
            <w:tcW w:w="156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for the period</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(27,894)</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(27,894)</w:t>
            </w:r>
          </w:p>
        </w:tc>
      </w:tr>
      <w:tr>
        <w:trPr/>
        <w:tc>
          <w:tcPr>
            <w:tcW w:w="156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September 30, 2022</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265,529,989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328,911</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3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116,917</w:t>
            </w:r>
          </w:p>
        </w:tc>
        <w:tc>
          <w:tcPr>
            <w:tcW w:w="326" w:type="dxa"/>
            <w:tcBorders/>
            <w:shd w:fill="CCEEFF" w:val="clear"/>
            <w:vAlign w:val="center"/>
          </w:tcPr>
          <w:p>
            <w:pPr>
              <w:pStyle w:val="TableContents"/>
              <w:bidi w:val="0"/>
              <w:spacing w:before="0" w:after="0"/>
              <w:ind w:left="0" w:right="0" w:hanging="0"/>
              <w:jc w:val="left"/>
              <w:rPr/>
            </w:pPr>
            <w:r>
              <w:rPr/>
              <w:t> </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(1,216)</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(365,552)</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79,060</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Changes in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 except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99" w:name="Tc_gKKLI3JHEUOone2Vrf3bWA_15_19"/>
      <w:bookmarkStart w:id="500" w:name="Tc_jTaS1CjZHU2lmjS2_IhG3g_15_16"/>
      <w:bookmarkStart w:id="501" w:name="Tc_RdmnriKxckmhO7UN0tml8g_15_13"/>
      <w:bookmarkStart w:id="502" w:name="Tc_Vo4SONnkM0-v7FnF50gYdQ_15_10"/>
      <w:bookmarkStart w:id="503" w:name="Tc_jeE6vRMSPUmlDvbyn3zXRg_15_8"/>
      <w:bookmarkStart w:id="504" w:name="Tc_i3X7BVjt0EO_kJEw5yEYKQ_15_7"/>
      <w:bookmarkStart w:id="505" w:name="Tc_QF7pzfq--E6fgXCKbkFggA_15_4"/>
      <w:bookmarkStart w:id="506" w:name="Tc_ExJprUeLRkqgMak6nPM5tQ_15_0"/>
      <w:bookmarkStart w:id="507" w:name="Tc_dh5mNbY9KkCH4MgOx1hf0A_14_14"/>
      <w:bookmarkStart w:id="508" w:name="Tc_hNt6DF4QOkaRGCh44KPjvA_14_11"/>
      <w:bookmarkStart w:id="509" w:name="Tc_lkUli-OXuUWt98oLFfMqMA_14_8"/>
      <w:bookmarkStart w:id="510" w:name="Tc_Pmab_LWpyEOLf9oaKP8JCg_14_5"/>
      <w:bookmarkStart w:id="511" w:name="Tc_gfeB_JnSdUGrmk0OfHEbqA_14_2"/>
      <w:bookmarkStart w:id="512" w:name="Tc_6O5VeebDr0y4SXCM7SHreA_14_0"/>
      <w:bookmarkStart w:id="513" w:name="Tc_UN69BnPx_kSIq-QfsxxtQQ_13_17"/>
      <w:bookmarkStart w:id="514" w:name="Tc_AUyGpvsBPkmblJsNhk7cqg_13_14"/>
      <w:bookmarkStart w:id="515" w:name="Tc_prTpkhsiL0aWecjrY5d_iQ_13_8"/>
      <w:bookmarkStart w:id="516" w:name="Tc_yw8dWYmPAUm_wgu7qSYYEQ_13_5"/>
      <w:bookmarkStart w:id="517" w:name="Tc_0yxhA4ktCUmU7Clf48WNmg_13_2"/>
      <w:bookmarkStart w:id="518" w:name="Tc_7roZilGxKESCzDPxr_Qwbg_13_0"/>
      <w:bookmarkStart w:id="519" w:name="Tc_AeAtn4ZVh0iNKrvnSep0sg_12_17"/>
      <w:bookmarkStart w:id="520" w:name="Tc_uruc1dAuAkStjjLGN3f-gA_12_14"/>
      <w:bookmarkStart w:id="521" w:name="Tc_0Xwbq49mZUqCZzuVLJFWFA_12_8"/>
      <w:bookmarkStart w:id="522" w:name="Tc_NkwEMMn0_UetwfSJGGPS-Q_12_5"/>
      <w:bookmarkStart w:id="523" w:name="Tc_UUpKJVx4o02H5Zf2Z0Zq5A_12_2"/>
      <w:bookmarkStart w:id="524" w:name="Tc_C-8t8jF9z06nzD6CuMF4fw_12_0"/>
      <w:bookmarkStart w:id="525" w:name="Tc_092NKkTJIUq3z-SYApXYtA_11_17"/>
      <w:bookmarkStart w:id="526" w:name="Tc_PitYcOQfDUCFa4vNVkEEUw_11_14"/>
      <w:bookmarkStart w:id="527" w:name="Tc_YaN1TO-ZbEuB_meBZvYZkQ_11_8"/>
      <w:bookmarkStart w:id="528" w:name="Tc_GEIA7xrbd0i71KmeaRnsdw_11_0"/>
      <w:bookmarkStart w:id="529" w:name="Tc_3p68B5TsRUeNlTDfyJ9wdQ_10_17"/>
      <w:bookmarkStart w:id="530" w:name="Tc_jVlzxJ3Gg0mCDrbQOZ5Ogg_10_14"/>
      <w:bookmarkStart w:id="531" w:name="Tc_-zLMcNwWtkaV5SgHg5cRFQ_10_8"/>
      <w:bookmarkStart w:id="532" w:name="Tc_eCJT719DkEC8sxHvcbSGyw_10_0"/>
      <w:bookmarkStart w:id="533" w:name="Tc_0zEvxgyxjUmLJaBzcfTEAg_9_17"/>
      <w:bookmarkStart w:id="534" w:name="Tc_y0GJ4vELh0SZ1Wi9MU0U5w_9_14"/>
      <w:bookmarkStart w:id="535" w:name="Tc_0jo9_9j8fkyCZjgO1WqQMA_9_8"/>
      <w:bookmarkStart w:id="536" w:name="Tc_kzsvMdzfn0eWGaiwdq2V2Q_9_0"/>
      <w:bookmarkStart w:id="537" w:name="Tc_LOZxLeCnl0qQMaT9nKRVhA_8_17"/>
      <w:bookmarkStart w:id="538" w:name="Tc_Hr0OJjxLrky57SZ6p_jfBQ_8_14"/>
      <w:bookmarkStart w:id="539" w:name="Tc_y2Elqh4SfEWpekKNbf-kOQ_8_11"/>
      <w:bookmarkStart w:id="540" w:name="Tc_C8MCD1WJfkGtFc3bjLyjjQ_8_8"/>
      <w:bookmarkStart w:id="541" w:name="Tc_Xgx16YuPPU-JG5RzsRj5uA_8_0"/>
      <w:bookmarkStart w:id="542" w:name="Tc_wWAU3XL6RUiTKVkXd1E63w_7_17"/>
      <w:bookmarkStart w:id="543" w:name="Tc_5kFA3ncVIE-MYEEfQkFMLg_7_14"/>
      <w:bookmarkStart w:id="544" w:name="Tc_GH1-9L2PKke3LelxIAlMwg_7_8"/>
      <w:bookmarkStart w:id="545" w:name="Tc_NE5H7XI3cEuCmKBlD63WLA_7_0"/>
      <w:bookmarkStart w:id="546" w:name="Tc_SWrxmyhRRkiORFFTWoLmYg_6_17"/>
      <w:bookmarkStart w:id="547" w:name="Tc_hCPorJluc0unC0rr8bM8bA_6_14"/>
      <w:bookmarkStart w:id="548" w:name="Tc_Gh6PduJj1UK_vgo8fQkwXg_6_8"/>
      <w:bookmarkStart w:id="549" w:name="Tc_rasimqVvHk-G1HZWe3cEAg_6_0"/>
      <w:bookmarkStart w:id="550" w:name="Tc_1ma52-gYtE-9AFTB1gBOJA_5_19"/>
      <w:bookmarkStart w:id="551" w:name="Tc_sVIjF2bfxEu6smPoC0q6kg_5_16"/>
      <w:bookmarkStart w:id="552" w:name="Tc_gWgexg61CEyrSwDxnjLrUw_5_13"/>
      <w:bookmarkStart w:id="553" w:name="Tc_JBzuDjm9lkade9F_hu5Jxg_5_10"/>
      <w:bookmarkStart w:id="554" w:name="Tc_sSIyZoHaiEiM-SXF7cahVQ_5_8"/>
      <w:bookmarkStart w:id="555" w:name="Tc_J4S2DCML3kCu2WYuW6eP9Q_5_7"/>
      <w:bookmarkStart w:id="556" w:name="Tc_x0RzxPmV3EGYTsd9cjSDvg_5_4"/>
      <w:bookmarkStart w:id="557" w:name="Tc_4ppwf4KqI0GyZJ0dti1akw_5_0"/>
      <w:bookmarkStart w:id="558" w:name="Tc_ry_mdeOIrkGj9-ZPtHNmNg_4_19"/>
      <w:bookmarkStart w:id="559" w:name="Tc_6P4NOrJYaUeAeuxMbtg-Iw_4_16"/>
      <w:bookmarkStart w:id="560" w:name="Tc_MIXud0pBm0aJc67VPt-eNw_4_13"/>
      <w:bookmarkStart w:id="561" w:name="Tc_PZ63fb9bE0avJhtIv0eIpQ_4_10"/>
      <w:bookmarkStart w:id="562" w:name="Tc_aYlCPvLaKUCqQ-ioUG_xKQ_4_7"/>
      <w:bookmarkStart w:id="563" w:name="Tc_JRRVkyy_3U6ZL9O9amWdbA_4_4"/>
      <w:bookmarkStart w:id="564" w:name="Tc_a_lnKUx7Hk-2oc3JjSodyg_4_2"/>
      <w:bookmarkStart w:id="565" w:name="Tc_O-4-y21cV0i1VxcWqDgLXw_4_0"/>
      <w:bookmarkStart w:id="566" w:name="Tc_v0lw8pQnbEawVtObMgbwbw_3_13"/>
      <w:bookmarkStart w:id="567" w:name="Tc_BP7Mrk45vUCph7IM3_Vctw_3_10"/>
      <w:bookmarkStart w:id="568" w:name="Tc_-Dmx2dZoR0m3Wtu4TsqA4Q_3_7"/>
      <w:bookmarkStart w:id="569" w:name="Tc_Nr25W4lTD0-faTDdvnv7Jg_3_2"/>
      <w:bookmarkStart w:id="570" w:name="Tc_VPF29h7uJEel1zKqRJRl0w_2_13"/>
      <w:bookmarkStart w:id="571" w:name="Tc_AfRJg_grp0q2JyDeIoH0SA_2_10"/>
      <w:bookmarkStart w:id="572" w:name="Tc_KSfMtfMGGU2qbYQadI1QGw_1_13"/>
      <w:bookmarkStart w:id="573" w:name="_235fe388_961f_436e_a383_8527e296a024"/>
      <w:bookmarkStart w:id="574" w:name="Tc_gKKLI3JHEUOone2Vrf3bWA_15_19"/>
      <w:bookmarkStart w:id="575" w:name="Tc_jTaS1CjZHU2lmjS2_IhG3g_15_16"/>
      <w:bookmarkStart w:id="576" w:name="Tc_RdmnriKxckmhO7UN0tml8g_15_13"/>
      <w:bookmarkStart w:id="577" w:name="Tc_Vo4SONnkM0-v7FnF50gYdQ_15_10"/>
      <w:bookmarkStart w:id="578" w:name="Tc_jeE6vRMSPUmlDvbyn3zXRg_15_8"/>
      <w:bookmarkStart w:id="579" w:name="Tc_i3X7BVjt0EO_kJEw5yEYKQ_15_7"/>
      <w:bookmarkStart w:id="580" w:name="Tc_QF7pzfq--E6fgXCKbkFggA_15_4"/>
      <w:bookmarkStart w:id="581" w:name="Tc_ExJprUeLRkqgMak6nPM5tQ_15_0"/>
      <w:bookmarkStart w:id="582" w:name="Tc_dh5mNbY9KkCH4MgOx1hf0A_14_14"/>
      <w:bookmarkStart w:id="583" w:name="Tc_hNt6DF4QOkaRGCh44KPjvA_14_11"/>
      <w:bookmarkStart w:id="584" w:name="Tc_lkUli-OXuUWt98oLFfMqMA_14_8"/>
      <w:bookmarkStart w:id="585" w:name="Tc_Pmab_LWpyEOLf9oaKP8JCg_14_5"/>
      <w:bookmarkStart w:id="586" w:name="Tc_gfeB_JnSdUGrmk0OfHEbqA_14_2"/>
      <w:bookmarkStart w:id="587" w:name="Tc_6O5VeebDr0y4SXCM7SHreA_14_0"/>
      <w:bookmarkStart w:id="588" w:name="Tc_UN69BnPx_kSIq-QfsxxtQQ_13_17"/>
      <w:bookmarkStart w:id="589" w:name="Tc_AUyGpvsBPkmblJsNhk7cqg_13_14"/>
      <w:bookmarkStart w:id="590" w:name="Tc_prTpkhsiL0aWecjrY5d_iQ_13_8"/>
      <w:bookmarkStart w:id="591" w:name="Tc_yw8dWYmPAUm_wgu7qSYYEQ_13_5"/>
      <w:bookmarkStart w:id="592" w:name="Tc_0yxhA4ktCUmU7Clf48WNmg_13_2"/>
      <w:bookmarkStart w:id="593" w:name="Tc_7roZilGxKESCzDPxr_Qwbg_13_0"/>
      <w:bookmarkStart w:id="594" w:name="Tc_AeAtn4ZVh0iNKrvnSep0sg_12_17"/>
      <w:bookmarkStart w:id="595" w:name="Tc_uruc1dAuAkStjjLGN3f-gA_12_14"/>
      <w:bookmarkStart w:id="596" w:name="Tc_0Xwbq49mZUqCZzuVLJFWFA_12_8"/>
      <w:bookmarkStart w:id="597" w:name="Tc_NkwEMMn0_UetwfSJGGPS-Q_12_5"/>
      <w:bookmarkStart w:id="598" w:name="Tc_UUpKJVx4o02H5Zf2Z0Zq5A_12_2"/>
      <w:bookmarkStart w:id="599" w:name="Tc_C-8t8jF9z06nzD6CuMF4fw_12_0"/>
      <w:bookmarkStart w:id="600" w:name="Tc_092NKkTJIUq3z-SYApXYtA_11_17"/>
      <w:bookmarkStart w:id="601" w:name="Tc_PitYcOQfDUCFa4vNVkEEUw_11_14"/>
      <w:bookmarkStart w:id="602" w:name="Tc_YaN1TO-ZbEuB_meBZvYZkQ_11_8"/>
      <w:bookmarkStart w:id="603" w:name="Tc_GEIA7xrbd0i71KmeaRnsdw_11_0"/>
      <w:bookmarkStart w:id="604" w:name="Tc_3p68B5TsRUeNlTDfyJ9wdQ_10_17"/>
      <w:bookmarkStart w:id="605" w:name="Tc_jVlzxJ3Gg0mCDrbQOZ5Ogg_10_14"/>
      <w:bookmarkStart w:id="606" w:name="Tc_-zLMcNwWtkaV5SgHg5cRFQ_10_8"/>
      <w:bookmarkStart w:id="607" w:name="Tc_eCJT719DkEC8sxHvcbSGyw_10_0"/>
      <w:bookmarkStart w:id="608" w:name="Tc_0zEvxgyxjUmLJaBzcfTEAg_9_17"/>
      <w:bookmarkStart w:id="609" w:name="Tc_y0GJ4vELh0SZ1Wi9MU0U5w_9_14"/>
      <w:bookmarkStart w:id="610" w:name="Tc_0jo9_9j8fkyCZjgO1WqQMA_9_8"/>
      <w:bookmarkStart w:id="611" w:name="Tc_kzsvMdzfn0eWGaiwdq2V2Q_9_0"/>
      <w:bookmarkStart w:id="612" w:name="Tc_LOZxLeCnl0qQMaT9nKRVhA_8_17"/>
      <w:bookmarkStart w:id="613" w:name="Tc_Hr0OJjxLrky57SZ6p_jfBQ_8_14"/>
      <w:bookmarkStart w:id="614" w:name="Tc_y2Elqh4SfEWpekKNbf-kOQ_8_11"/>
      <w:bookmarkStart w:id="615" w:name="Tc_C8MCD1WJfkGtFc3bjLyjjQ_8_8"/>
      <w:bookmarkStart w:id="616" w:name="Tc_Xgx16YuPPU-JG5RzsRj5uA_8_0"/>
      <w:bookmarkStart w:id="617" w:name="Tc_wWAU3XL6RUiTKVkXd1E63w_7_17"/>
      <w:bookmarkStart w:id="618" w:name="Tc_5kFA3ncVIE-MYEEfQkFMLg_7_14"/>
      <w:bookmarkStart w:id="619" w:name="Tc_GH1-9L2PKke3LelxIAlMwg_7_8"/>
      <w:bookmarkStart w:id="620" w:name="Tc_NE5H7XI3cEuCmKBlD63WLA_7_0"/>
      <w:bookmarkStart w:id="621" w:name="Tc_SWrxmyhRRkiORFFTWoLmYg_6_17"/>
      <w:bookmarkStart w:id="622" w:name="Tc_hCPorJluc0unC0rr8bM8bA_6_14"/>
      <w:bookmarkStart w:id="623" w:name="Tc_Gh6PduJj1UK_vgo8fQkwXg_6_8"/>
      <w:bookmarkStart w:id="624" w:name="Tc_rasimqVvHk-G1HZWe3cEAg_6_0"/>
      <w:bookmarkStart w:id="625" w:name="Tc_1ma52-gYtE-9AFTB1gBOJA_5_19"/>
      <w:bookmarkStart w:id="626" w:name="Tc_sVIjF2bfxEu6smPoC0q6kg_5_16"/>
      <w:bookmarkStart w:id="627" w:name="Tc_gWgexg61CEyrSwDxnjLrUw_5_13"/>
      <w:bookmarkStart w:id="628" w:name="Tc_JBzuDjm9lkade9F_hu5Jxg_5_10"/>
      <w:bookmarkStart w:id="629" w:name="Tc_sSIyZoHaiEiM-SXF7cahVQ_5_8"/>
      <w:bookmarkStart w:id="630" w:name="Tc_J4S2DCML3kCu2WYuW6eP9Q_5_7"/>
      <w:bookmarkStart w:id="631" w:name="Tc_x0RzxPmV3EGYTsd9cjSDvg_5_4"/>
      <w:bookmarkStart w:id="632" w:name="Tc_4ppwf4KqI0GyZJ0dti1akw_5_0"/>
      <w:bookmarkStart w:id="633" w:name="Tc_ry_mdeOIrkGj9-ZPtHNmNg_4_19"/>
      <w:bookmarkStart w:id="634" w:name="Tc_6P4NOrJYaUeAeuxMbtg-Iw_4_16"/>
      <w:bookmarkStart w:id="635" w:name="Tc_MIXud0pBm0aJc67VPt-eNw_4_13"/>
      <w:bookmarkStart w:id="636" w:name="Tc_PZ63fb9bE0avJhtIv0eIpQ_4_10"/>
      <w:bookmarkStart w:id="637" w:name="Tc_aYlCPvLaKUCqQ-ioUG_xKQ_4_7"/>
      <w:bookmarkStart w:id="638" w:name="Tc_JRRVkyy_3U6ZL9O9amWdbA_4_4"/>
      <w:bookmarkStart w:id="639" w:name="Tc_a_lnKUx7Hk-2oc3JjSodyg_4_2"/>
      <w:bookmarkStart w:id="640" w:name="Tc_O-4-y21cV0i1VxcWqDgLXw_4_0"/>
      <w:bookmarkStart w:id="641" w:name="Tc_v0lw8pQnbEawVtObMgbwbw_3_13"/>
      <w:bookmarkStart w:id="642" w:name="Tc_BP7Mrk45vUCph7IM3_Vctw_3_10"/>
      <w:bookmarkStart w:id="643" w:name="Tc_-Dmx2dZoR0m3Wtu4TsqA4Q_3_7"/>
      <w:bookmarkStart w:id="644" w:name="Tc_Nr25W4lTD0-faTDdvnv7Jg_3_2"/>
      <w:bookmarkStart w:id="645" w:name="Tc_VPF29h7uJEel1zKqRJRl0w_2_13"/>
      <w:bookmarkStart w:id="646" w:name="Tc_AfRJg_grp0q2JyDeIoH0SA_2_10"/>
      <w:bookmarkStart w:id="647" w:name="Tc_KSfMtfMGGU2qbYQadI1QGw_1_13"/>
      <w:bookmarkStart w:id="648" w:name="_235fe388_961f_436e_a383_8527e296a024"/>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tbl>
      <w:tblPr>
        <w:tblW w:w="10205" w:type="dxa"/>
        <w:jc w:val="left"/>
        <w:tblInd w:w="0" w:type="dxa"/>
        <w:tblLayout w:type="fixed"/>
        <w:tblCellMar>
          <w:top w:w="0" w:type="dxa"/>
          <w:left w:w="0" w:type="dxa"/>
          <w:bottom w:w="0" w:type="dxa"/>
          <w:right w:w="0" w:type="dxa"/>
        </w:tblCellMar>
      </w:tblPr>
      <w:tblGrid>
        <w:gridCol w:w="1381"/>
        <w:gridCol w:w="326"/>
        <w:gridCol w:w="1006"/>
        <w:gridCol w:w="326"/>
        <w:gridCol w:w="196"/>
        <w:gridCol w:w="691"/>
        <w:gridCol w:w="326"/>
        <w:gridCol w:w="239"/>
        <w:gridCol w:w="422"/>
        <w:gridCol w:w="326"/>
        <w:gridCol w:w="196"/>
        <w:gridCol w:w="720"/>
        <w:gridCol w:w="326"/>
        <w:gridCol w:w="310"/>
        <w:gridCol w:w="906"/>
        <w:gridCol w:w="326"/>
        <w:gridCol w:w="196"/>
        <w:gridCol w:w="754"/>
        <w:gridCol w:w="326"/>
        <w:gridCol w:w="196"/>
        <w:gridCol w:w="710"/>
      </w:tblGrid>
      <w:tr>
        <w:trPr/>
        <w:tc>
          <w:tcPr>
            <w:tcW w:w="13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38810" cy="175260"/>
                      <wp:effectExtent l="0" t="0" r="0" b="0"/>
                      <wp:wrapNone/>
                      <wp:docPr id="72" name="Frame72"/>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3"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24460" cy="175260"/>
                      <wp:effectExtent l="0" t="0" r="0" b="0"/>
                      <wp:wrapNone/>
                      <wp:docPr id="74" name="Frame7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38785" cy="175260"/>
                      <wp:effectExtent l="0" t="0" r="0" b="0"/>
                      <wp:wrapNone/>
                      <wp:docPr id="75" name="Frame7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6" name="Frame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51765" cy="175260"/>
                      <wp:effectExtent l="0" t="0" r="0" b="0"/>
                      <wp:wrapNone/>
                      <wp:docPr id="77" name="Frame7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67970" cy="175260"/>
                      <wp:effectExtent l="0" t="0" r="0" b="0"/>
                      <wp:wrapNone/>
                      <wp:docPr id="78" name="Frame78"/>
                      <a:graphic xmlns:a="http://schemas.openxmlformats.org/drawingml/2006/main">
                        <a:graphicData uri="http://schemas.microsoft.com/office/word/2010/wordprocessingShape">
                          <wps:wsp>
                            <wps:cNvSpPr txBox="1"/>
                            <wps:spPr>
                              <a:xfrm>
                                <a:off x="0" y="0"/>
                                <a:ext cx="267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24460" cy="175260"/>
                      <wp:effectExtent l="0" t="0" r="0" b="0"/>
                      <wp:wrapNone/>
                      <wp:docPr id="80" name="Frame8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57200" cy="175260"/>
                      <wp:effectExtent l="0" t="0" r="0" b="0"/>
                      <wp:wrapNone/>
                      <wp:docPr id="81" name="Frame8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2"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96850" cy="175260"/>
                      <wp:effectExtent l="0" t="0" r="0" b="0"/>
                      <wp:wrapNone/>
                      <wp:docPr id="83" name="Frame83"/>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75310" cy="175260"/>
                      <wp:effectExtent l="0" t="0" r="0" b="0"/>
                      <wp:wrapNone/>
                      <wp:docPr id="84" name="Frame84"/>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24460" cy="175260"/>
                      <wp:effectExtent l="0" t="0" r="0" b="0"/>
                      <wp:wrapNone/>
                      <wp:docPr id="86" name="Frame8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78790" cy="175260"/>
                      <wp:effectExtent l="0" t="0" r="0" b="0"/>
                      <wp:wrapNone/>
                      <wp:docPr id="87" name="Frame87"/>
                      <a:graphic xmlns:a="http://schemas.openxmlformats.org/drawingml/2006/main">
                        <a:graphicData uri="http://schemas.microsoft.com/office/word/2010/wordprocessingShape">
                          <wps:wsp>
                            <wps:cNvSpPr txBox="1"/>
                            <wps:spPr>
                              <a:xfrm>
                                <a:off x="0" y="0"/>
                                <a:ext cx="478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24460" cy="175260"/>
                      <wp:effectExtent l="0" t="0" r="0" b="0"/>
                      <wp:wrapNone/>
                      <wp:docPr id="89" name="Frame8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50850" cy="175260"/>
                      <wp:effectExtent l="0" t="0" r="0" b="0"/>
                      <wp:wrapNone/>
                      <wp:docPr id="90" name="Frame90"/>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center"/>
              <w:rPr/>
            </w:pPr>
            <w:r>
              <w:rPr/>
              <w:t>​</w:t>
            </w:r>
          </w:p>
        </w:tc>
        <w:tc>
          <w:tcPr>
            <w:tcW w:w="42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2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Accumulated </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5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10" w:type="dxa"/>
            <w:tcBorders/>
            <w:vAlign w:val="center"/>
          </w:tcPr>
          <w:p>
            <w:pPr>
              <w:pStyle w:val="TableContents"/>
              <w:bidi w:val="0"/>
              <w:spacing w:before="0" w:after="0"/>
              <w:ind w:left="0" w:right="0" w:hanging="0"/>
              <w:jc w:val="center"/>
              <w:rPr/>
            </w:pPr>
            <w:r>
              <w:rPr/>
              <w:t>​</w:t>
            </w:r>
          </w:p>
        </w:tc>
      </w:tr>
      <w:tr>
        <w:trPr/>
        <w:tc>
          <w:tcPr>
            <w:tcW w:w="13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center"/>
              <w:rPr/>
            </w:pPr>
            <w:r>
              <w:rPr/>
              <w:t>​</w:t>
            </w:r>
          </w:p>
        </w:tc>
        <w:tc>
          <w:tcPr>
            <w:tcW w:w="42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Additional </w:t>
            </w:r>
          </w:p>
        </w:tc>
        <w:tc>
          <w:tcPr>
            <w:tcW w:w="3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Other </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5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10" w:type="dxa"/>
            <w:tcBorders/>
            <w:vAlign w:val="center"/>
          </w:tcPr>
          <w:p>
            <w:pPr>
              <w:pStyle w:val="TableContents"/>
              <w:bidi w:val="0"/>
              <w:spacing w:before="0" w:after="0"/>
              <w:ind w:left="0" w:right="0" w:hanging="0"/>
              <w:jc w:val="center"/>
              <w:rPr/>
            </w:pPr>
            <w:r>
              <w:rPr/>
              <w:t>​</w:t>
            </w:r>
          </w:p>
        </w:tc>
      </w:tr>
      <w:tr>
        <w:trPr/>
        <w:tc>
          <w:tcPr>
            <w:tcW w:w="13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2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Shares</w:t>
            </w:r>
          </w:p>
        </w:tc>
        <w:tc>
          <w:tcPr>
            <w:tcW w:w="326" w:type="dxa"/>
            <w:tcBorders/>
            <w:vAlign w:val="center"/>
          </w:tcPr>
          <w:p>
            <w:pPr>
              <w:pStyle w:val="TableContents"/>
              <w:bidi w:val="0"/>
              <w:spacing w:before="0" w:after="0"/>
              <w:ind w:left="0" w:right="0" w:hanging="0"/>
              <w:jc w:val="center"/>
              <w:rPr/>
            </w:pPr>
            <w:r>
              <w:rPr/>
              <w:t>​</w:t>
            </w:r>
          </w:p>
        </w:tc>
        <w:tc>
          <w:tcPr>
            <w:tcW w:w="661"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Special </w:t>
            </w:r>
          </w:p>
        </w:tc>
        <w:tc>
          <w:tcPr>
            <w:tcW w:w="32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Paid in</w:t>
            </w:r>
          </w:p>
        </w:tc>
        <w:tc>
          <w:tcPr>
            <w:tcW w:w="3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5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10" w:type="dxa"/>
            <w:tcBorders/>
            <w:vAlign w:val="center"/>
          </w:tcPr>
          <w:p>
            <w:pPr>
              <w:pStyle w:val="TableContents"/>
              <w:bidi w:val="0"/>
              <w:spacing w:before="0" w:after="0"/>
              <w:ind w:left="0" w:right="0" w:hanging="0"/>
              <w:jc w:val="center"/>
              <w:rPr/>
            </w:pPr>
            <w:r>
              <w:rPr/>
              <w:t>​</w:t>
            </w:r>
          </w:p>
        </w:tc>
      </w:tr>
      <w:tr>
        <w:trPr/>
        <w:tc>
          <w:tcPr>
            <w:tcW w:w="138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Nine months ended September 30, 2023</w:t>
            </w:r>
          </w:p>
        </w:tc>
        <w:tc>
          <w:tcPr>
            <w:tcW w:w="326" w:type="dxa"/>
            <w:tcBorders/>
            <w:vAlign w:val="center"/>
          </w:tcPr>
          <w:p>
            <w:pPr>
              <w:pStyle w:val="TableContents"/>
              <w:bidi w:val="0"/>
              <w:spacing w:before="0" w:after="0"/>
              <w:ind w:left="0" w:right="0" w:hanging="0"/>
              <w:jc w:val="center"/>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661"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right"/>
              <w:rPr/>
            </w:pPr>
            <w:r>
              <w:rPr/>
              <w:t> </w:t>
            </w: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right"/>
              <w:rPr/>
            </w:pPr>
            <w:r>
              <w:rPr/>
              <w:t> </w:t>
            </w:r>
            <w:r>
              <w:rPr>
                <w:rFonts w:ascii="Times New Roman;Times;serif" w:hAnsi="Times New Roman;Times;serif"/>
                <w:b/>
                <w:sz w:val="16"/>
              </w:rPr>
              <w:t>Loss</w:t>
            </w:r>
          </w:p>
        </w:tc>
        <w:tc>
          <w:tcPr>
            <w:tcW w:w="326" w:type="dxa"/>
            <w:tcBorders/>
            <w:vAlign w:val="center"/>
          </w:tcPr>
          <w:p>
            <w:pPr>
              <w:pStyle w:val="TableContents"/>
              <w:bidi w:val="0"/>
              <w:spacing w:before="0" w:after="0"/>
              <w:ind w:left="0" w:right="0" w:hanging="0"/>
              <w:jc w:val="center"/>
              <w:rPr/>
            </w:pPr>
            <w:r>
              <w:rPr/>
              <w:t>    </w:t>
            </w:r>
          </w:p>
        </w:tc>
        <w:tc>
          <w:tcPr>
            <w:tcW w:w="95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center"/>
              <w:rPr/>
            </w:pPr>
            <w:r>
              <w:rPr/>
              <w:t>    </w:t>
            </w:r>
          </w:p>
        </w:tc>
        <w:tc>
          <w:tcPr>
            <w:tcW w:w="90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Total</w:t>
            </w:r>
          </w:p>
        </w:tc>
      </w:tr>
      <w:tr>
        <w:trPr/>
        <w:tc>
          <w:tcPr>
            <w:tcW w:w="138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December 31, 2022</w:t>
            </w:r>
          </w:p>
        </w:tc>
        <w:tc>
          <w:tcPr>
            <w:tcW w:w="32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266,812,131</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332,882</w:t>
            </w:r>
          </w:p>
        </w:tc>
        <w:tc>
          <w:tcPr>
            <w:tcW w:w="326" w:type="dxa"/>
            <w:tcBorders/>
            <w:shd w:fill="CCEEFF" w:val="clear"/>
            <w:vAlign w:val="center"/>
          </w:tcPr>
          <w:p>
            <w:pPr>
              <w:pStyle w:val="TableContents"/>
              <w:bidi w:val="0"/>
              <w:spacing w:before="0" w:after="0"/>
              <w:ind w:left="0" w:right="0" w:hanging="0"/>
              <w:jc w:val="center"/>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2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184,960</w:t>
            </w:r>
          </w:p>
        </w:tc>
        <w:tc>
          <w:tcPr>
            <w:tcW w:w="326" w:type="dxa"/>
            <w:tcBorders/>
            <w:shd w:fill="CCEEFF" w:val="clear"/>
            <w:vAlign w:val="center"/>
          </w:tcPr>
          <w:p>
            <w:pPr>
              <w:pStyle w:val="TableContents"/>
              <w:bidi w:val="0"/>
              <w:spacing w:before="0" w:after="0"/>
              <w:ind w:left="0" w:right="0" w:hanging="0"/>
              <w:jc w:val="center"/>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(1,216)</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(475,121)</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41,505</w:t>
            </w:r>
          </w:p>
        </w:tc>
      </w:tr>
      <w:tr>
        <w:trPr/>
        <w:tc>
          <w:tcPr>
            <w:tcW w:w="138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stock options (Note 10)</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120,000</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w:t>
            </w:r>
          </w:p>
        </w:tc>
        <w:tc>
          <w:tcPr>
            <w:tcW w:w="326"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left"/>
              <w:rPr/>
            </w:pPr>
            <w:r>
              <w:rPr/>
              <w:t>​</w:t>
            </w:r>
          </w:p>
        </w:tc>
        <w:tc>
          <w:tcPr>
            <w:tcW w:w="42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w:t>
            </w:r>
          </w:p>
        </w:tc>
        <w:tc>
          <w:tcPr>
            <w:tcW w:w="326" w:type="dxa"/>
            <w:tcBorders/>
            <w:vAlign w:val="center"/>
          </w:tcPr>
          <w:p>
            <w:pPr>
              <w:pStyle w:val="TableContents"/>
              <w:bidi w:val="0"/>
              <w:spacing w:before="0" w:after="0"/>
              <w:ind w:left="0" w:right="0" w:hanging="0"/>
              <w:jc w:val="center"/>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w:t>
            </w:r>
          </w:p>
        </w:tc>
      </w:tr>
      <w:tr>
        <w:trPr/>
        <w:tc>
          <w:tcPr>
            <w:tcW w:w="13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warrant by Allseas (Note 9)</w:t>
            </w:r>
          </w:p>
        </w:tc>
        <w:tc>
          <w:tcPr>
            <w:tcW w:w="32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11,578,620</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70,016</w:t>
            </w:r>
          </w:p>
        </w:tc>
        <w:tc>
          <w:tcPr>
            <w:tcW w:w="326" w:type="dxa"/>
            <w:tcBorders/>
            <w:shd w:fill="CCEEFF" w:val="clear"/>
            <w:vAlign w:val="center"/>
          </w:tcPr>
          <w:p>
            <w:pPr>
              <w:pStyle w:val="TableContents"/>
              <w:bidi w:val="0"/>
              <w:spacing w:before="0" w:after="0"/>
              <w:ind w:left="0" w:right="0" w:hanging="0"/>
              <w:jc w:val="center"/>
              <w:rPr/>
            </w:pPr>
            <w:r>
              <w:rPr/>
              <w:t>​</w:t>
            </w:r>
          </w:p>
        </w:tc>
        <w:tc>
          <w:tcPr>
            <w:tcW w:w="239" w:type="dxa"/>
            <w:tcBorders/>
            <w:shd w:fill="CCEEFF" w:val="clear"/>
            <w:vAlign w:val="center"/>
          </w:tcPr>
          <w:p>
            <w:pPr>
              <w:pStyle w:val="TableContents"/>
              <w:bidi w:val="0"/>
              <w:spacing w:before="0" w:after="0"/>
              <w:ind w:left="0" w:right="0" w:hanging="0"/>
              <w:jc w:val="center"/>
              <w:rPr/>
            </w:pPr>
            <w:r>
              <w:rPr/>
              <w:t>​</w:t>
            </w:r>
          </w:p>
        </w:tc>
        <w:tc>
          <w:tcPr>
            <w:tcW w:w="42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(69,900)</w:t>
            </w:r>
          </w:p>
        </w:tc>
        <w:tc>
          <w:tcPr>
            <w:tcW w:w="326" w:type="dxa"/>
            <w:tcBorders/>
            <w:shd w:fill="CCEEFF" w:val="clear"/>
            <w:vAlign w:val="center"/>
          </w:tcPr>
          <w:p>
            <w:pPr>
              <w:pStyle w:val="TableContents"/>
              <w:bidi w:val="0"/>
              <w:spacing w:before="0" w:after="0"/>
              <w:ind w:left="0" w:right="0" w:hanging="0"/>
              <w:jc w:val="center"/>
              <w:rPr/>
            </w:pPr>
            <w:r>
              <w:rPr/>
              <w:t>​</w:t>
            </w:r>
          </w:p>
        </w:tc>
        <w:tc>
          <w:tcPr>
            <w:tcW w:w="310" w:type="dxa"/>
            <w:tcBorders/>
            <w:shd w:fill="CCEEFF" w:val="clear"/>
            <w:vAlign w:val="center"/>
          </w:tcPr>
          <w:p>
            <w:pPr>
              <w:pStyle w:val="TableContents"/>
              <w:bidi w:val="0"/>
              <w:spacing w:before="0" w:after="0"/>
              <w:ind w:left="0" w:right="0" w:hanging="0"/>
              <w:jc w:val="center"/>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5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w:t>
            </w:r>
          </w:p>
        </w:tc>
      </w:tr>
      <w:tr>
        <w:trPr/>
        <w:tc>
          <w:tcPr>
            <w:tcW w:w="138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issued to Allseas (Notes 6 and 13)</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15,000,000</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15,910</w:t>
            </w:r>
          </w:p>
        </w:tc>
        <w:tc>
          <w:tcPr>
            <w:tcW w:w="326"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center"/>
              <w:rPr/>
            </w:pPr>
            <w:r>
              <w:rPr/>
              <w:t>​</w:t>
            </w:r>
          </w:p>
        </w:tc>
        <w:tc>
          <w:tcPr>
            <w:tcW w:w="42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2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310" w:type="dxa"/>
            <w:tcBorders/>
            <w:vAlign w:val="center"/>
          </w:tcPr>
          <w:p>
            <w:pPr>
              <w:pStyle w:val="TableContents"/>
              <w:bidi w:val="0"/>
              <w:spacing w:before="0" w:after="0"/>
              <w:ind w:left="0" w:right="0" w:hanging="0"/>
              <w:jc w:val="center"/>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15,910</w:t>
            </w:r>
          </w:p>
        </w:tc>
      </w:tr>
      <w:tr>
        <w:trPr/>
        <w:tc>
          <w:tcPr>
            <w:tcW w:w="13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Conversion of restricted share units, net of shares withheld for taxes (Note 10)</w:t>
            </w:r>
          </w:p>
        </w:tc>
        <w:tc>
          <w:tcPr>
            <w:tcW w:w="32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3,573,993</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3,704</w:t>
            </w:r>
          </w:p>
        </w:tc>
        <w:tc>
          <w:tcPr>
            <w:tcW w:w="326" w:type="dxa"/>
            <w:tcBorders/>
            <w:shd w:fill="CCEEFF" w:val="clear"/>
            <w:vAlign w:val="center"/>
          </w:tcPr>
          <w:p>
            <w:pPr>
              <w:pStyle w:val="TableContents"/>
              <w:bidi w:val="0"/>
              <w:spacing w:before="0" w:after="0"/>
              <w:ind w:left="0" w:right="0" w:hanging="0"/>
              <w:jc w:val="center"/>
              <w:rPr/>
            </w:pPr>
            <w:r>
              <w:rPr/>
              <w:t>​</w:t>
            </w:r>
          </w:p>
        </w:tc>
        <w:tc>
          <w:tcPr>
            <w:tcW w:w="239" w:type="dxa"/>
            <w:tcBorders/>
            <w:shd w:fill="CCEEFF" w:val="clear"/>
            <w:vAlign w:val="center"/>
          </w:tcPr>
          <w:p>
            <w:pPr>
              <w:pStyle w:val="TableContents"/>
              <w:bidi w:val="0"/>
              <w:spacing w:before="0" w:after="0"/>
              <w:ind w:left="0" w:right="0" w:hanging="0"/>
              <w:jc w:val="center"/>
              <w:rPr/>
            </w:pPr>
            <w:r>
              <w:rPr/>
              <w:t>​</w:t>
            </w:r>
          </w:p>
        </w:tc>
        <w:tc>
          <w:tcPr>
            <w:tcW w:w="42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(3,674)</w:t>
            </w:r>
          </w:p>
        </w:tc>
        <w:tc>
          <w:tcPr>
            <w:tcW w:w="326" w:type="dxa"/>
            <w:tcBorders/>
            <w:shd w:fill="CCEEFF" w:val="clear"/>
            <w:vAlign w:val="center"/>
          </w:tcPr>
          <w:p>
            <w:pPr>
              <w:pStyle w:val="TableContents"/>
              <w:bidi w:val="0"/>
              <w:spacing w:before="0" w:after="0"/>
              <w:ind w:left="0" w:right="0" w:hanging="0"/>
              <w:jc w:val="center"/>
              <w:rPr/>
            </w:pPr>
            <w:r>
              <w:rPr/>
              <w:t>​</w:t>
            </w:r>
          </w:p>
        </w:tc>
        <w:tc>
          <w:tcPr>
            <w:tcW w:w="310" w:type="dxa"/>
            <w:tcBorders/>
            <w:shd w:fill="CCEEFF" w:val="clear"/>
            <w:vAlign w:val="center"/>
          </w:tcPr>
          <w:p>
            <w:pPr>
              <w:pStyle w:val="TableContents"/>
              <w:bidi w:val="0"/>
              <w:spacing w:before="0" w:after="0"/>
              <w:ind w:left="0" w:right="0" w:hanging="0"/>
              <w:jc w:val="center"/>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5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r>
      <w:tr>
        <w:trPr/>
        <w:tc>
          <w:tcPr>
            <w:tcW w:w="138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shares and warrants under Registered Direct Offering, net of expenses (Note 8)</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7,961,540</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11,349</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w:t>
            </w:r>
          </w:p>
        </w:tc>
        <w:tc>
          <w:tcPr>
            <w:tcW w:w="42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7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3,179</w:t>
            </w:r>
          </w:p>
        </w:tc>
        <w:tc>
          <w:tcPr>
            <w:tcW w:w="32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14,528</w:t>
            </w:r>
          </w:p>
        </w:tc>
      </w:tr>
      <w:tr>
        <w:trPr/>
        <w:tc>
          <w:tcPr>
            <w:tcW w:w="13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 purchase under Employee Share Purchase Plan (Note 10)</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83,572</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left"/>
              <w:rPr/>
            </w:pPr>
            <w:r>
              <w:rPr/>
              <w:t>​</w:t>
            </w:r>
          </w:p>
        </w:tc>
        <w:tc>
          <w:tcPr>
            <w:tcW w:w="42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326" w:type="dxa"/>
            <w:tcBorders/>
            <w:shd w:fill="CCEEFF" w:val="clear"/>
            <w:vAlign w:val="center"/>
          </w:tcPr>
          <w:p>
            <w:pPr>
              <w:pStyle w:val="TableContents"/>
              <w:bidi w:val="0"/>
              <w:spacing w:before="0" w:after="0"/>
              <w:ind w:left="0" w:right="0" w:hanging="0"/>
              <w:jc w:val="left"/>
              <w:rPr/>
            </w:pPr>
            <w:r>
              <w:rPr/>
              <w:t> </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w:t>
            </w:r>
          </w:p>
        </w:tc>
      </w:tr>
      <w:tr>
        <w:trPr/>
        <w:tc>
          <w:tcPr>
            <w:tcW w:w="138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Expenses settled with share-based payments (Note 10)</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42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2,875</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2,875</w:t>
            </w:r>
          </w:p>
        </w:tc>
      </w:tr>
      <w:tr>
        <w:trPr/>
        <w:tc>
          <w:tcPr>
            <w:tcW w:w="13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Share-based compensation (Note 10)</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42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6,840</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6,840</w:t>
            </w:r>
          </w:p>
        </w:tc>
      </w:tr>
      <w:tr>
        <w:trPr/>
        <w:tc>
          <w:tcPr>
            <w:tcW w:w="138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for the period</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(26,572)</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(26,572)</w:t>
            </w:r>
          </w:p>
        </w:tc>
      </w:tr>
      <w:tr>
        <w:trPr/>
        <w:tc>
          <w:tcPr>
            <w:tcW w:w="138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September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305,129,856</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434,099</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124,168</w:t>
            </w:r>
          </w:p>
        </w:tc>
        <w:tc>
          <w:tcPr>
            <w:tcW w:w="326" w:type="dxa"/>
            <w:tcBorders/>
            <w:shd w:fill="CCEEFF" w:val="clear"/>
            <w:vAlign w:val="center"/>
          </w:tcPr>
          <w:p>
            <w:pPr>
              <w:pStyle w:val="TableContents"/>
              <w:bidi w:val="0"/>
              <w:spacing w:before="0" w:after="0"/>
              <w:ind w:left="0" w:right="0" w:hanging="0"/>
              <w:jc w:val="left"/>
              <w:rPr/>
            </w:pPr>
            <w:r>
              <w:rPr/>
              <w:t> </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(1,216)</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(501,693)</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10"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55,358</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49" w:name="Tc_k9Tgrffzj0y3z6Ti6o8hXA_12_19"/>
      <w:bookmarkStart w:id="650" w:name="Tc_BhPXTLzc1EmzwRAYT9wv8w_12_16"/>
      <w:bookmarkStart w:id="651" w:name="Tc_KHwKUxFxZU6L4sskpNhXbA_12_13"/>
      <w:bookmarkStart w:id="652" w:name="Tc_OvClCKqRz0ijwbZFNSUStg_12_8"/>
      <w:bookmarkStart w:id="653" w:name="Tc_lnMjQe0YKEGQl7a3B6Doig_12_7"/>
      <w:bookmarkStart w:id="654" w:name="Tc_g5BJXGx5Fk-yLTjWiiRY0g_12_4"/>
      <w:bookmarkStart w:id="655" w:name="Tc_ms-Z0NzEEUeoUYNI2onsmw_12_0"/>
      <w:bookmarkStart w:id="656" w:name="Tc_2zxwlZooZECaSAXg2CRjNg_11_14"/>
      <w:bookmarkStart w:id="657" w:name="Tc_wc_o0KKdBUanjg3uJiXuLQ_11_11"/>
      <w:bookmarkStart w:id="658" w:name="Tc_1Ht9ihB07kOh8ckXk3N9HA_11_8"/>
      <w:bookmarkStart w:id="659" w:name="Tc_hFqsi641hkGwhV_yrk1hLA_11_5"/>
      <w:bookmarkStart w:id="660" w:name="Tc_Pz5t5SKfzEOSHZLdpd_smw_11_2"/>
      <w:bookmarkStart w:id="661" w:name="Tc_tbO-Ue8Ku0ShFWGMSf8Nhg_11_0"/>
      <w:bookmarkStart w:id="662" w:name="Tc_8tRQjjIgIUaItO_hExPyOQ_10_17"/>
      <w:bookmarkStart w:id="663" w:name="Tc_W47g9ggFxkeDkguo9bX82A_10_14"/>
      <w:bookmarkStart w:id="664" w:name="Tc_xKWwMcWEp0y90Xen_9A_6g_10_8"/>
      <w:bookmarkStart w:id="665" w:name="Tc_n5qq9uLllkKbmLMuiXta4w_10_5"/>
      <w:bookmarkStart w:id="666" w:name="Tc_kVDg8IUOpkOAvVc4HAloeQ_10_2"/>
      <w:bookmarkStart w:id="667" w:name="Tc_T7tZdNpJ6U-G80mnDzXwJA_10_0"/>
      <w:bookmarkStart w:id="668" w:name="Tc_mZlhFGR2G0KykoNnlkRf4A_9_17"/>
      <w:bookmarkStart w:id="669" w:name="Tc_swG1z97sJ0C3DKXcva0agw_9_14"/>
      <w:bookmarkStart w:id="670" w:name="Tc_r5JMskaOQEa8T2BaVvn-zw_9_8"/>
      <w:bookmarkStart w:id="671" w:name="Tc_rP1G5oNZTkiHAj2V16-rSA_9_0"/>
      <w:bookmarkStart w:id="672" w:name="Tc__hQY6S6k30yIANf4vBZBLA_8_17"/>
      <w:bookmarkStart w:id="673" w:name="Tc_hX01J-K4a0udeG8_yx9qZQ_8_14"/>
      <w:bookmarkStart w:id="674" w:name="Tc_xip6KjDNgU-6QQf1I60xCA_8_11"/>
      <w:bookmarkStart w:id="675" w:name="Tc_dF5SM_vfX0uBrmsMk6BYfw_8_8"/>
      <w:bookmarkStart w:id="676" w:name="Tc_VlqLXygDDUe8mJQv1GQ8bA_8_0"/>
      <w:bookmarkStart w:id="677" w:name="Tc_kx8sHUOk1kSVuHhzqTX9MQ_7_17"/>
      <w:bookmarkStart w:id="678" w:name="Tc_PqSnIB4eO02f15O0XlL9yg_7_14"/>
      <w:bookmarkStart w:id="679" w:name="Tc_TV-BOJX71USVJS4YFFvxyA_7_8"/>
      <w:bookmarkStart w:id="680" w:name="Tc_6alYIsw-J06gUevGTcAUVA_7_0"/>
      <w:bookmarkStart w:id="681" w:name="Tc_b564cg9QP0SmX6XbekvwRw_6_17"/>
      <w:bookmarkStart w:id="682" w:name="Tc_ywn9m6ilJ0iVnoikXQXgAw_6_14"/>
      <w:bookmarkStart w:id="683" w:name="Tc_QgX0HhRpVUq3tfsujnnz0A_6_8"/>
      <w:bookmarkStart w:id="684" w:name="Tc_gVjPB9Pp_0alhylgTMh1kA_6_0"/>
      <w:bookmarkStart w:id="685" w:name="Tc_5yo96mnb5kiO6YOv8VaTAQ_5_19"/>
      <w:bookmarkStart w:id="686" w:name="Tc_5BL5DDbzNUCk3eSIRiEOFA_5_16"/>
      <w:bookmarkStart w:id="687" w:name="Tc_pnbSVsk8MkWAO6gYFHSbqA_5_13"/>
      <w:bookmarkStart w:id="688" w:name="Tc_GkV5BGr3LEKXN3siiB8oZg_5_10"/>
      <w:bookmarkStart w:id="689" w:name="Tc_HKO7LQ_-EEaqNoip-B4kZg_5_8"/>
      <w:bookmarkStart w:id="690" w:name="Tc_9coPPftNhkm_YaHI90wSMQ_5_7"/>
      <w:bookmarkStart w:id="691" w:name="Tc_dtk6VKxaE0Wn7fVTIgqg-g_5_4"/>
      <w:bookmarkStart w:id="692" w:name="Tc_kRTX9wlIhEOqfYkJJuvzyA_5_0"/>
      <w:bookmarkStart w:id="693" w:name="Tc_e9uql-CxsUSFX3aR6Uy--A_4_19"/>
      <w:bookmarkStart w:id="694" w:name="Tc_SU8zDYa9g02qOCjBscx5OQ_4_16"/>
      <w:bookmarkStart w:id="695" w:name="Tc_nhbpiXf3l0OM8DSRAyjP2Q_4_13"/>
      <w:bookmarkStart w:id="696" w:name="Tc_I7FShDNJME6VtWnsMXK8og_4_10"/>
      <w:bookmarkStart w:id="697" w:name="Tc_lu-OeYnR70qLd7J75VdoGw_4_7"/>
      <w:bookmarkStart w:id="698" w:name="Tc_ltSPIrT6Vk67Bix-k_VX7A_4_4"/>
      <w:bookmarkStart w:id="699" w:name="Tc_KardXtwmZUqqzXWAJxRXiA_4_2"/>
      <w:bookmarkStart w:id="700" w:name="Tc_CPE1i42EoU6XyaFmhyBzaA_4_0"/>
      <w:bookmarkStart w:id="701" w:name="Tc_EKVaegQLq0Ga8D0AiCSrAg_3_13"/>
      <w:bookmarkStart w:id="702" w:name="Tc_Pyjm3JFlwki4aJx_x0r50A_3_10"/>
      <w:bookmarkStart w:id="703" w:name="Tc_2wLniYhiNEuR1ieP9Xscxw_3_7"/>
      <w:bookmarkStart w:id="704" w:name="Tc_KlUqjE50B0KKncPJe4_Y2Q_3_2"/>
      <w:bookmarkStart w:id="705" w:name="Tc_imd2XAu-o0C4icsT_lWmyQ_2_13"/>
      <w:bookmarkStart w:id="706" w:name="Tc_Ib3zqdWu5EiWIatcTWWuag_2_10"/>
      <w:bookmarkStart w:id="707" w:name="Tc_sLLN7tCsw0O9-V7nhbPoIQ_1_13"/>
      <w:bookmarkStart w:id="708" w:name="_2e725cc5_b316_4a1c_b8ed_4404f299e344"/>
      <w:bookmarkStart w:id="709" w:name="_fca88015_dddd_4858_a633_c60ac3f6b291"/>
      <w:bookmarkStart w:id="710" w:name="Tc_k9Tgrffzj0y3z6Ti6o8hXA_12_19"/>
      <w:bookmarkStart w:id="711" w:name="Tc_BhPXTLzc1EmzwRAYT9wv8w_12_16"/>
      <w:bookmarkStart w:id="712" w:name="Tc_KHwKUxFxZU6L4sskpNhXbA_12_13"/>
      <w:bookmarkStart w:id="713" w:name="Tc_OvClCKqRz0ijwbZFNSUStg_12_8"/>
      <w:bookmarkStart w:id="714" w:name="Tc_lnMjQe0YKEGQl7a3B6Doig_12_7"/>
      <w:bookmarkStart w:id="715" w:name="Tc_g5BJXGx5Fk-yLTjWiiRY0g_12_4"/>
      <w:bookmarkStart w:id="716" w:name="Tc_ms-Z0NzEEUeoUYNI2onsmw_12_0"/>
      <w:bookmarkStart w:id="717" w:name="Tc_2zxwlZooZECaSAXg2CRjNg_11_14"/>
      <w:bookmarkStart w:id="718" w:name="Tc_wc_o0KKdBUanjg3uJiXuLQ_11_11"/>
      <w:bookmarkStart w:id="719" w:name="Tc_1Ht9ihB07kOh8ckXk3N9HA_11_8"/>
      <w:bookmarkStart w:id="720" w:name="Tc_hFqsi641hkGwhV_yrk1hLA_11_5"/>
      <w:bookmarkStart w:id="721" w:name="Tc_Pz5t5SKfzEOSHZLdpd_smw_11_2"/>
      <w:bookmarkStart w:id="722" w:name="Tc_tbO-Ue8Ku0ShFWGMSf8Nhg_11_0"/>
      <w:bookmarkStart w:id="723" w:name="Tc_8tRQjjIgIUaItO_hExPyOQ_10_17"/>
      <w:bookmarkStart w:id="724" w:name="Tc_W47g9ggFxkeDkguo9bX82A_10_14"/>
      <w:bookmarkStart w:id="725" w:name="Tc_xKWwMcWEp0y90Xen_9A_6g_10_8"/>
      <w:bookmarkStart w:id="726" w:name="Tc_n5qq9uLllkKbmLMuiXta4w_10_5"/>
      <w:bookmarkStart w:id="727" w:name="Tc_kVDg8IUOpkOAvVc4HAloeQ_10_2"/>
      <w:bookmarkStart w:id="728" w:name="Tc_T7tZdNpJ6U-G80mnDzXwJA_10_0"/>
      <w:bookmarkStart w:id="729" w:name="Tc_mZlhFGR2G0KykoNnlkRf4A_9_17"/>
      <w:bookmarkStart w:id="730" w:name="Tc_swG1z97sJ0C3DKXcva0agw_9_14"/>
      <w:bookmarkStart w:id="731" w:name="Tc_r5JMskaOQEa8T2BaVvn-zw_9_8"/>
      <w:bookmarkStart w:id="732" w:name="Tc_rP1G5oNZTkiHAj2V16-rSA_9_0"/>
      <w:bookmarkStart w:id="733" w:name="Tc__hQY6S6k30yIANf4vBZBLA_8_17"/>
      <w:bookmarkStart w:id="734" w:name="Tc_hX01J-K4a0udeG8_yx9qZQ_8_14"/>
      <w:bookmarkStart w:id="735" w:name="Tc_xip6KjDNgU-6QQf1I60xCA_8_11"/>
      <w:bookmarkStart w:id="736" w:name="Tc_dF5SM_vfX0uBrmsMk6BYfw_8_8"/>
      <w:bookmarkStart w:id="737" w:name="Tc_VlqLXygDDUe8mJQv1GQ8bA_8_0"/>
      <w:bookmarkStart w:id="738" w:name="Tc_kx8sHUOk1kSVuHhzqTX9MQ_7_17"/>
      <w:bookmarkStart w:id="739" w:name="Tc_PqSnIB4eO02f15O0XlL9yg_7_14"/>
      <w:bookmarkStart w:id="740" w:name="Tc_TV-BOJX71USVJS4YFFvxyA_7_8"/>
      <w:bookmarkStart w:id="741" w:name="Tc_6alYIsw-J06gUevGTcAUVA_7_0"/>
      <w:bookmarkStart w:id="742" w:name="Tc_b564cg9QP0SmX6XbekvwRw_6_17"/>
      <w:bookmarkStart w:id="743" w:name="Tc_ywn9m6ilJ0iVnoikXQXgAw_6_14"/>
      <w:bookmarkStart w:id="744" w:name="Tc_QgX0HhRpVUq3tfsujnnz0A_6_8"/>
      <w:bookmarkStart w:id="745" w:name="Tc_gVjPB9Pp_0alhylgTMh1kA_6_0"/>
      <w:bookmarkStart w:id="746" w:name="Tc_5yo96mnb5kiO6YOv8VaTAQ_5_19"/>
      <w:bookmarkStart w:id="747" w:name="Tc_5BL5DDbzNUCk3eSIRiEOFA_5_16"/>
      <w:bookmarkStart w:id="748" w:name="Tc_pnbSVsk8MkWAO6gYFHSbqA_5_13"/>
      <w:bookmarkStart w:id="749" w:name="Tc_GkV5BGr3LEKXN3siiB8oZg_5_10"/>
      <w:bookmarkStart w:id="750" w:name="Tc_HKO7LQ_-EEaqNoip-B4kZg_5_8"/>
      <w:bookmarkStart w:id="751" w:name="Tc_9coPPftNhkm_YaHI90wSMQ_5_7"/>
      <w:bookmarkStart w:id="752" w:name="Tc_dtk6VKxaE0Wn7fVTIgqg-g_5_4"/>
      <w:bookmarkStart w:id="753" w:name="Tc_kRTX9wlIhEOqfYkJJuvzyA_5_0"/>
      <w:bookmarkStart w:id="754" w:name="Tc_e9uql-CxsUSFX3aR6Uy--A_4_19"/>
      <w:bookmarkStart w:id="755" w:name="Tc_SU8zDYa9g02qOCjBscx5OQ_4_16"/>
      <w:bookmarkStart w:id="756" w:name="Tc_nhbpiXf3l0OM8DSRAyjP2Q_4_13"/>
      <w:bookmarkStart w:id="757" w:name="Tc_I7FShDNJME6VtWnsMXK8og_4_10"/>
      <w:bookmarkStart w:id="758" w:name="Tc_lu-OeYnR70qLd7J75VdoGw_4_7"/>
      <w:bookmarkStart w:id="759" w:name="Tc_ltSPIrT6Vk67Bix-k_VX7A_4_4"/>
      <w:bookmarkStart w:id="760" w:name="Tc_KardXtwmZUqqzXWAJxRXiA_4_2"/>
      <w:bookmarkStart w:id="761" w:name="Tc_CPE1i42EoU6XyaFmhyBzaA_4_0"/>
      <w:bookmarkStart w:id="762" w:name="Tc_EKVaegQLq0Ga8D0AiCSrAg_3_13"/>
      <w:bookmarkStart w:id="763" w:name="Tc_Pyjm3JFlwki4aJx_x0r50A_3_10"/>
      <w:bookmarkStart w:id="764" w:name="Tc_2wLniYhiNEuR1ieP9Xscxw_3_7"/>
      <w:bookmarkStart w:id="765" w:name="Tc_KlUqjE50B0KKncPJe4_Y2Q_3_2"/>
      <w:bookmarkStart w:id="766" w:name="Tc_imd2XAu-o0C4icsT_lWmyQ_2_13"/>
      <w:bookmarkStart w:id="767" w:name="Tc_Ib3zqdWu5EiWIatcTWWuag_2_10"/>
      <w:bookmarkStart w:id="768" w:name="Tc_sLLN7tCsw0O9-V7nhbPoIQ_1_13"/>
      <w:bookmarkStart w:id="769" w:name="_2e725cc5_b316_4a1c_b8ed_4404f299e344"/>
      <w:bookmarkStart w:id="770" w:name="_fca88015_dddd_4858_a633_c60ac3f6b291"/>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p>
    <w:tbl>
      <w:tblPr>
        <w:tblW w:w="10205" w:type="dxa"/>
        <w:jc w:val="left"/>
        <w:tblInd w:w="0" w:type="dxa"/>
        <w:tblLayout w:type="fixed"/>
        <w:tblCellMar>
          <w:top w:w="0" w:type="dxa"/>
          <w:left w:w="0" w:type="dxa"/>
          <w:bottom w:w="0" w:type="dxa"/>
          <w:right w:w="0" w:type="dxa"/>
        </w:tblCellMar>
      </w:tblPr>
      <w:tblGrid>
        <w:gridCol w:w="1378"/>
        <w:gridCol w:w="326"/>
        <w:gridCol w:w="1006"/>
        <w:gridCol w:w="326"/>
        <w:gridCol w:w="196"/>
        <w:gridCol w:w="691"/>
        <w:gridCol w:w="326"/>
        <w:gridCol w:w="239"/>
        <w:gridCol w:w="422"/>
        <w:gridCol w:w="326"/>
        <w:gridCol w:w="202"/>
        <w:gridCol w:w="714"/>
        <w:gridCol w:w="326"/>
        <w:gridCol w:w="310"/>
        <w:gridCol w:w="906"/>
        <w:gridCol w:w="326"/>
        <w:gridCol w:w="196"/>
        <w:gridCol w:w="755"/>
        <w:gridCol w:w="326"/>
        <w:gridCol w:w="196"/>
        <w:gridCol w:w="712"/>
      </w:tblGrid>
      <w:tr>
        <w:trPr/>
        <w:tc>
          <w:tcPr>
            <w:tcW w:w="137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38810" cy="175260"/>
                      <wp:effectExtent l="0" t="0" r="0" b="0"/>
                      <wp:wrapNone/>
                      <wp:docPr id="92" name="Frame92"/>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3" name="Frame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24460" cy="175260"/>
                      <wp:effectExtent l="0" t="0" r="0" b="0"/>
                      <wp:wrapNone/>
                      <wp:docPr id="94" name="Frame9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38785" cy="175260"/>
                      <wp:effectExtent l="0" t="0" r="0" b="0"/>
                      <wp:wrapNone/>
                      <wp:docPr id="95" name="Frame9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6"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51765" cy="175260"/>
                      <wp:effectExtent l="0" t="0" r="0" b="0"/>
                      <wp:wrapNone/>
                      <wp:docPr id="97" name="Frame9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67970" cy="175260"/>
                      <wp:effectExtent l="0" t="0" r="0" b="0"/>
                      <wp:wrapNone/>
                      <wp:docPr id="98" name="Frame98"/>
                      <a:graphic xmlns:a="http://schemas.openxmlformats.org/drawingml/2006/main">
                        <a:graphicData uri="http://schemas.microsoft.com/office/word/2010/wordprocessingShape">
                          <wps:wsp>
                            <wps:cNvSpPr txBox="1"/>
                            <wps:spPr>
                              <a:xfrm>
                                <a:off x="0" y="0"/>
                                <a:ext cx="267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28270" cy="175260"/>
                      <wp:effectExtent l="0" t="0" r="0" b="0"/>
                      <wp:wrapNone/>
                      <wp:docPr id="100" name="Frame100"/>
                      <a:graphic xmlns:a="http://schemas.openxmlformats.org/drawingml/2006/main">
                        <a:graphicData uri="http://schemas.microsoft.com/office/word/2010/wordprocessingShape">
                          <wps:wsp>
                            <wps:cNvSpPr txBox="1"/>
                            <wps:spPr>
                              <a:xfrm>
                                <a:off x="0" y="0"/>
                                <a:ext cx="128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453390" cy="175260"/>
                      <wp:effectExtent l="0" t="0" r="0" b="0"/>
                      <wp:wrapNone/>
                      <wp:docPr id="101" name="Frame101"/>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96850" cy="175260"/>
                      <wp:effectExtent l="0" t="0" r="0" b="0"/>
                      <wp:wrapNone/>
                      <wp:docPr id="103" name="Frame103"/>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575310" cy="175260"/>
                      <wp:effectExtent l="0" t="0" r="0" b="0"/>
                      <wp:wrapNone/>
                      <wp:docPr id="104" name="Frame104"/>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24460" cy="175260"/>
                      <wp:effectExtent l="0" t="0" r="0" b="0"/>
                      <wp:wrapNone/>
                      <wp:docPr id="106" name="Frame10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79425" cy="175260"/>
                      <wp:effectExtent l="0" t="0" r="0" b="0"/>
                      <wp:wrapNone/>
                      <wp:docPr id="107" name="Frame107"/>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24460" cy="175260"/>
                      <wp:effectExtent l="0" t="0" r="0" b="0"/>
                      <wp:wrapNone/>
                      <wp:docPr id="109" name="Frame10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52120" cy="175260"/>
                      <wp:effectExtent l="0" t="0" r="0" b="0"/>
                      <wp:wrapNone/>
                      <wp:docPr id="110" name="Frame110"/>
                      <a:graphic xmlns:a="http://schemas.openxmlformats.org/drawingml/2006/main">
                        <a:graphicData uri="http://schemas.microsoft.com/office/word/2010/wordprocessingShape">
                          <wps:wsp>
                            <wps:cNvSpPr txBox="1"/>
                            <wps:spPr>
                              <a:xfrm>
                                <a:off x="0" y="0"/>
                                <a:ext cx="452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7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center"/>
              <w:rPr/>
            </w:pPr>
            <w:r>
              <w:rPr/>
              <w:t>​</w:t>
            </w:r>
          </w:p>
        </w:tc>
        <w:tc>
          <w:tcPr>
            <w:tcW w:w="42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02" w:type="dxa"/>
            <w:tcBorders/>
            <w:vAlign w:val="center"/>
          </w:tcPr>
          <w:p>
            <w:pPr>
              <w:pStyle w:val="TableContents"/>
              <w:bidi w:val="0"/>
              <w:spacing w:before="0" w:after="0"/>
              <w:ind w:left="0" w:right="0" w:hanging="0"/>
              <w:jc w:val="center"/>
              <w:rPr/>
            </w:pPr>
            <w:r>
              <w:rPr/>
              <w:t>​</w:t>
            </w:r>
          </w:p>
        </w:tc>
        <w:tc>
          <w:tcPr>
            <w:tcW w:w="71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Accumulated </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5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12" w:type="dxa"/>
            <w:tcBorders/>
            <w:vAlign w:val="center"/>
          </w:tcPr>
          <w:p>
            <w:pPr>
              <w:pStyle w:val="TableContents"/>
              <w:bidi w:val="0"/>
              <w:spacing w:before="0" w:after="0"/>
              <w:ind w:left="0" w:right="0" w:hanging="0"/>
              <w:jc w:val="center"/>
              <w:rPr/>
            </w:pPr>
            <w:r>
              <w:rPr/>
              <w:t>​</w:t>
            </w:r>
          </w:p>
        </w:tc>
      </w:tr>
      <w:tr>
        <w:trPr/>
        <w:tc>
          <w:tcPr>
            <w:tcW w:w="137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center"/>
              <w:rPr/>
            </w:pPr>
            <w:r>
              <w:rPr/>
              <w:t>​</w:t>
            </w:r>
          </w:p>
        </w:tc>
        <w:tc>
          <w:tcPr>
            <w:tcW w:w="42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Additional </w:t>
            </w:r>
          </w:p>
        </w:tc>
        <w:tc>
          <w:tcPr>
            <w:tcW w:w="3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Other </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5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12" w:type="dxa"/>
            <w:tcBorders/>
            <w:vAlign w:val="center"/>
          </w:tcPr>
          <w:p>
            <w:pPr>
              <w:pStyle w:val="TableContents"/>
              <w:bidi w:val="0"/>
              <w:spacing w:before="0" w:after="0"/>
              <w:ind w:left="0" w:right="0" w:hanging="0"/>
              <w:jc w:val="center"/>
              <w:rPr/>
            </w:pPr>
            <w:r>
              <w:rPr/>
              <w:t>​</w:t>
            </w:r>
          </w:p>
        </w:tc>
      </w:tr>
      <w:tr>
        <w:trPr/>
        <w:tc>
          <w:tcPr>
            <w:tcW w:w="137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Shares</w:t>
            </w:r>
          </w:p>
        </w:tc>
        <w:tc>
          <w:tcPr>
            <w:tcW w:w="326" w:type="dxa"/>
            <w:tcBorders/>
            <w:vAlign w:val="center"/>
          </w:tcPr>
          <w:p>
            <w:pPr>
              <w:pStyle w:val="TableContents"/>
              <w:bidi w:val="0"/>
              <w:spacing w:before="0" w:after="0"/>
              <w:ind w:left="0" w:right="0" w:hanging="0"/>
              <w:jc w:val="center"/>
              <w:rPr/>
            </w:pPr>
            <w:r>
              <w:rPr/>
              <w:t>​</w:t>
            </w:r>
          </w:p>
        </w:tc>
        <w:tc>
          <w:tcPr>
            <w:tcW w:w="661"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Special </w:t>
            </w:r>
          </w:p>
        </w:tc>
        <w:tc>
          <w:tcPr>
            <w:tcW w:w="32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Paid in</w:t>
            </w:r>
          </w:p>
        </w:tc>
        <w:tc>
          <w:tcPr>
            <w:tcW w:w="32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5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12" w:type="dxa"/>
            <w:tcBorders/>
            <w:vAlign w:val="center"/>
          </w:tcPr>
          <w:p>
            <w:pPr>
              <w:pStyle w:val="TableContents"/>
              <w:bidi w:val="0"/>
              <w:spacing w:before="0" w:after="0"/>
              <w:ind w:left="0" w:right="0" w:hanging="0"/>
              <w:jc w:val="center"/>
              <w:rPr/>
            </w:pPr>
            <w:r>
              <w:rPr/>
              <w:t>​</w:t>
            </w:r>
          </w:p>
        </w:tc>
      </w:tr>
      <w:tr>
        <w:trPr/>
        <w:tc>
          <w:tcPr>
            <w:tcW w:w="1378"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Nine months ended September 30, 2022</w:t>
            </w:r>
          </w:p>
        </w:tc>
        <w:tc>
          <w:tcPr>
            <w:tcW w:w="326" w:type="dxa"/>
            <w:tcBorders/>
            <w:vAlign w:val="center"/>
          </w:tcPr>
          <w:p>
            <w:pPr>
              <w:pStyle w:val="TableContents"/>
              <w:bidi w:val="0"/>
              <w:spacing w:before="0" w:after="0"/>
              <w:ind w:left="0" w:right="0" w:hanging="0"/>
              <w:jc w:val="center"/>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661"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right"/>
              <w:rPr/>
            </w:pPr>
            <w:r>
              <w:rPr/>
              <w:t> </w:t>
            </w: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right"/>
              <w:rPr/>
            </w:pPr>
            <w:r>
              <w:rPr/>
              <w:t> </w:t>
            </w:r>
            <w:r>
              <w:rPr>
                <w:rFonts w:ascii="Times New Roman;Times;serif" w:hAnsi="Times New Roman;Times;serif"/>
                <w:b/>
                <w:sz w:val="16"/>
              </w:rPr>
              <w:t>Loss</w:t>
            </w:r>
          </w:p>
        </w:tc>
        <w:tc>
          <w:tcPr>
            <w:tcW w:w="326" w:type="dxa"/>
            <w:tcBorders/>
            <w:vAlign w:val="center"/>
          </w:tcPr>
          <w:p>
            <w:pPr>
              <w:pStyle w:val="TableContents"/>
              <w:bidi w:val="0"/>
              <w:spacing w:before="0" w:after="0"/>
              <w:ind w:left="0" w:right="0" w:hanging="0"/>
              <w:jc w:val="center"/>
              <w:rPr/>
            </w:pPr>
            <w:r>
              <w:rPr/>
              <w:t>    </w:t>
            </w:r>
          </w:p>
        </w:tc>
        <w:tc>
          <w:tcPr>
            <w:tcW w:w="951"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center"/>
              <w:rPr/>
            </w:pPr>
            <w:r>
              <w:rPr/>
              <w:t>    </w:t>
            </w:r>
          </w:p>
        </w:tc>
        <w:tc>
          <w:tcPr>
            <w:tcW w:w="908"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Total</w:t>
            </w:r>
          </w:p>
        </w:tc>
      </w:tr>
      <w:tr>
        <w:trPr/>
        <w:tc>
          <w:tcPr>
            <w:tcW w:w="137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December 31, 2021</w:t>
            </w:r>
          </w:p>
        </w:tc>
        <w:tc>
          <w:tcPr>
            <w:tcW w:w="326" w:type="dxa"/>
            <w:tcBorders/>
            <w:shd w:fill="CCEEFF" w:val="clear"/>
            <w:vAlign w:val="center"/>
          </w:tcPr>
          <w:p>
            <w:pPr>
              <w:pStyle w:val="TableContents"/>
              <w:bidi w:val="0"/>
              <w:spacing w:before="0" w:after="0"/>
              <w:ind w:left="0" w:right="0" w:hanging="0"/>
              <w:jc w:val="center"/>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225,432,493</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296,051</w:t>
            </w:r>
          </w:p>
        </w:tc>
        <w:tc>
          <w:tcPr>
            <w:tcW w:w="326" w:type="dxa"/>
            <w:tcBorders/>
            <w:shd w:fill="CCEEFF" w:val="clear"/>
            <w:vAlign w:val="center"/>
          </w:tcPr>
          <w:p>
            <w:pPr>
              <w:pStyle w:val="TableContents"/>
              <w:bidi w:val="0"/>
              <w:spacing w:before="0" w:after="0"/>
              <w:ind w:left="0" w:right="0" w:hanging="0"/>
              <w:jc w:val="center"/>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2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02"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102,073</w:t>
            </w:r>
          </w:p>
        </w:tc>
        <w:tc>
          <w:tcPr>
            <w:tcW w:w="326" w:type="dxa"/>
            <w:tcBorders/>
            <w:shd w:fill="CCEEFF" w:val="clear"/>
            <w:vAlign w:val="center"/>
          </w:tcPr>
          <w:p>
            <w:pPr>
              <w:pStyle w:val="TableContents"/>
              <w:bidi w:val="0"/>
              <w:spacing w:before="0" w:after="0"/>
              <w:ind w:left="0" w:right="0" w:hanging="0"/>
              <w:jc w:val="center"/>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(1,216)</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(304,157)</w:t>
            </w:r>
          </w:p>
        </w:tc>
        <w:tc>
          <w:tcPr>
            <w:tcW w:w="326"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92,751</w:t>
            </w:r>
          </w:p>
        </w:tc>
      </w:tr>
      <w:tr>
        <w:trPr/>
        <w:tc>
          <w:tcPr>
            <w:tcW w:w="137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stock options</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118,461</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w:t>
            </w:r>
          </w:p>
        </w:tc>
        <w:tc>
          <w:tcPr>
            <w:tcW w:w="326" w:type="dxa"/>
            <w:tcBorders/>
            <w:vAlign w:val="center"/>
          </w:tcPr>
          <w:p>
            <w:pPr>
              <w:pStyle w:val="TableContents"/>
              <w:bidi w:val="0"/>
              <w:spacing w:before="0" w:after="0"/>
              <w:ind w:left="0" w:right="0" w:hanging="0"/>
              <w:jc w:val="center"/>
              <w:rPr/>
            </w:pPr>
            <w:r>
              <w:rPr/>
              <w:t>​</w:t>
            </w:r>
          </w:p>
        </w:tc>
        <w:tc>
          <w:tcPr>
            <w:tcW w:w="239" w:type="dxa"/>
            <w:tcBorders/>
            <w:vAlign w:val="center"/>
          </w:tcPr>
          <w:p>
            <w:pPr>
              <w:pStyle w:val="TableContents"/>
              <w:bidi w:val="0"/>
              <w:spacing w:before="0" w:after="0"/>
              <w:ind w:left="0" w:right="0" w:hanging="0"/>
              <w:jc w:val="center"/>
              <w:rPr/>
            </w:pPr>
            <w:r>
              <w:rPr/>
              <w:t>​</w:t>
            </w:r>
          </w:p>
        </w:tc>
        <w:tc>
          <w:tcPr>
            <w:tcW w:w="42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02" w:type="dxa"/>
            <w:tcBorders/>
            <w:vAlign w:val="center"/>
          </w:tcPr>
          <w:p>
            <w:pPr>
              <w:pStyle w:val="TableContents"/>
              <w:bidi w:val="0"/>
              <w:spacing w:before="0" w:after="0"/>
              <w:ind w:left="0" w:right="0" w:hanging="0"/>
              <w:jc w:val="center"/>
              <w:rPr/>
            </w:pPr>
            <w:r>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w:t>
            </w:r>
          </w:p>
        </w:tc>
        <w:tc>
          <w:tcPr>
            <w:tcW w:w="326" w:type="dxa"/>
            <w:tcBorders/>
            <w:vAlign w:val="center"/>
          </w:tcPr>
          <w:p>
            <w:pPr>
              <w:pStyle w:val="TableContents"/>
              <w:bidi w:val="0"/>
              <w:spacing w:before="0" w:after="0"/>
              <w:ind w:left="0" w:right="0" w:hanging="0"/>
              <w:jc w:val="center"/>
              <w:rPr/>
            </w:pPr>
            <w:r>
              <w:rPr/>
              <w:t>​</w:t>
            </w:r>
          </w:p>
        </w:tc>
        <w:tc>
          <w:tcPr>
            <w:tcW w:w="310" w:type="dxa"/>
            <w:tcBorders/>
            <w:vAlign w:val="center"/>
          </w:tcPr>
          <w:p>
            <w:pPr>
              <w:pStyle w:val="TableContents"/>
              <w:bidi w:val="0"/>
              <w:spacing w:before="0" w:after="0"/>
              <w:ind w:left="0" w:right="0" w:hanging="0"/>
              <w:jc w:val="center"/>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5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w:t>
            </w:r>
          </w:p>
        </w:tc>
      </w:tr>
      <w:tr>
        <w:trPr/>
        <w:tc>
          <w:tcPr>
            <w:tcW w:w="137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Conversion of restricted share units, net of shares withheld for taxes</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1,670,429</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2,984</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right"/>
              <w:rPr/>
            </w:pPr>
            <w:r>
              <w:rPr/>
              <w:t>​</w:t>
            </w:r>
          </w:p>
        </w:tc>
        <w:tc>
          <w:tcPr>
            <w:tcW w:w="42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right"/>
              <w:rPr/>
            </w:pPr>
            <w:r>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(3,062)</w:t>
            </w:r>
          </w:p>
        </w:tc>
        <w:tc>
          <w:tcPr>
            <w:tcW w:w="326" w:type="dxa"/>
            <w:tcBorders/>
            <w:shd w:fill="CCEEFF" w:val="clear"/>
            <w:vAlign w:val="center"/>
          </w:tcPr>
          <w:p>
            <w:pPr>
              <w:pStyle w:val="TableContents"/>
              <w:bidi w:val="0"/>
              <w:spacing w:before="0" w:after="0"/>
              <w:ind w:left="0" w:right="0" w:hanging="0"/>
              <w:jc w:val="left"/>
              <w:rPr/>
            </w:pPr>
            <w:r>
              <w:rPr/>
              <w:t> </w:t>
            </w:r>
          </w:p>
        </w:tc>
        <w:tc>
          <w:tcPr>
            <w:tcW w:w="310" w:type="dxa"/>
            <w:tcBorders/>
            <w:shd w:fill="CCEEFF" w:val="clear"/>
            <w:vAlign w:val="center"/>
          </w:tcPr>
          <w:p>
            <w:pPr>
              <w:pStyle w:val="TableContents"/>
              <w:bidi w:val="0"/>
              <w:spacing w:before="0" w:after="0"/>
              <w:ind w:left="0" w:right="0" w:hanging="0"/>
              <w:jc w:val="righ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right"/>
              <w:rPr/>
            </w:pPr>
            <w:r>
              <w:rPr/>
              <w:t>​</w:t>
            </w:r>
          </w:p>
        </w:tc>
        <w:tc>
          <w:tcPr>
            <w:tcW w:w="75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right"/>
              <w:rPr/>
            </w:pPr>
            <w:r>
              <w:rPr/>
              <w:t>​</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w:t>
            </w:r>
          </w:p>
        </w:tc>
      </w:tr>
      <w:tr>
        <w:trPr/>
        <w:tc>
          <w:tcPr>
            <w:tcW w:w="137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shares under PIPE financing - net of expenses</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38,266,180</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29,668</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right"/>
              <w:rPr/>
            </w:pPr>
            <w:r>
              <w:rPr/>
              <w:t>​</w:t>
            </w:r>
          </w:p>
        </w:tc>
        <w:tc>
          <w:tcPr>
            <w:tcW w:w="42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right"/>
              <w:rPr/>
            </w:pPr>
            <w:r>
              <w:rPr/>
              <w:t>​</w:t>
            </w:r>
          </w:p>
        </w:tc>
        <w:tc>
          <w:tcPr>
            <w:tcW w:w="7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right"/>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right"/>
              <w:rPr/>
            </w:pPr>
            <w:r>
              <w:rPr/>
              <w:t>​</w:t>
            </w:r>
          </w:p>
        </w:tc>
        <w:tc>
          <w:tcPr>
            <w:tcW w:w="75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right"/>
              <w:rPr/>
            </w:pPr>
            <w:r>
              <w:rPr/>
              <w:t>​</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29,668</w:t>
            </w:r>
          </w:p>
        </w:tc>
      </w:tr>
      <w:tr>
        <w:trPr/>
        <w:tc>
          <w:tcPr>
            <w:tcW w:w="137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 purchase under Employee Share Purchase Plan</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42,426</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right"/>
              <w:rPr/>
            </w:pPr>
            <w:r>
              <w:rPr/>
              <w:t>​</w:t>
            </w:r>
          </w:p>
        </w:tc>
        <w:tc>
          <w:tcPr>
            <w:tcW w:w="42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right"/>
              <w:rPr/>
            </w:pPr>
            <w:r>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326" w:type="dxa"/>
            <w:tcBorders/>
            <w:shd w:fill="CCEEFF" w:val="clear"/>
            <w:vAlign w:val="center"/>
          </w:tcPr>
          <w:p>
            <w:pPr>
              <w:pStyle w:val="TableContents"/>
              <w:bidi w:val="0"/>
              <w:spacing w:before="0" w:after="0"/>
              <w:ind w:left="0" w:right="0" w:hanging="0"/>
              <w:jc w:val="left"/>
              <w:rPr/>
            </w:pPr>
            <w:r>
              <w:rPr/>
              <w:t> </w:t>
            </w:r>
          </w:p>
        </w:tc>
        <w:tc>
          <w:tcPr>
            <w:tcW w:w="310" w:type="dxa"/>
            <w:tcBorders/>
            <w:shd w:fill="CCEEFF" w:val="clear"/>
            <w:vAlign w:val="center"/>
          </w:tcPr>
          <w:p>
            <w:pPr>
              <w:pStyle w:val="TableContents"/>
              <w:bidi w:val="0"/>
              <w:spacing w:before="0" w:after="0"/>
              <w:ind w:left="0" w:right="0" w:hanging="0"/>
              <w:jc w:val="righ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right"/>
              <w:rPr/>
            </w:pPr>
            <w:r>
              <w:rPr/>
              <w:t>​</w:t>
            </w:r>
          </w:p>
        </w:tc>
        <w:tc>
          <w:tcPr>
            <w:tcW w:w="75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right"/>
              <w:rPr/>
            </w:pPr>
            <w:r>
              <w:rPr/>
              <w:t>​</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w:t>
            </w:r>
          </w:p>
        </w:tc>
      </w:tr>
      <w:tr>
        <w:trPr/>
        <w:tc>
          <w:tcPr>
            <w:tcW w:w="1378"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w:t>
            </w:r>
          </w:p>
        </w:tc>
        <w:tc>
          <w:tcPr>
            <w:tcW w:w="42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17,982</w:t>
            </w:r>
          </w:p>
        </w:tc>
        <w:tc>
          <w:tcPr>
            <w:tcW w:w="32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17,982</w:t>
            </w:r>
          </w:p>
        </w:tc>
      </w:tr>
      <w:tr>
        <w:trPr/>
        <w:tc>
          <w:tcPr>
            <w:tcW w:w="137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for the period</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(61,395)</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(61,395)</w:t>
            </w:r>
          </w:p>
        </w:tc>
      </w:tr>
      <w:tr>
        <w:trPr/>
        <w:tc>
          <w:tcPr>
            <w:tcW w:w="1378"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September 30, 2022</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265,529,989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328,911</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4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116,917</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(1,216)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(365,552)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w:t>
            </w:r>
          </w:p>
        </w:tc>
        <w:tc>
          <w:tcPr>
            <w:tcW w:w="712"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79,060</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71" w:name="_f1718679_f14b_45a9_8159_ae0e1dcc41c9"/>
      <w:bookmarkEnd w:id="771"/>
      <w:r>
        <w:rPr>
          <w:rFonts w:ascii="Times New Roman;Times;serif" w:hAnsi="Times New Roman;Times;serif"/>
          <w:b/>
          <w:sz w:val="20"/>
        </w:rPr>
        <w:t>TMC the metals company Inc.</w:t>
      </w:r>
    </w:p>
    <w:p>
      <w:pPr>
        <w:pStyle w:val="TextBody"/>
        <w:bidi w:val="0"/>
        <w:spacing w:before="0" w:after="0"/>
        <w:ind w:left="0" w:right="0" w:hanging="0"/>
        <w:jc w:val="center"/>
        <w:rPr>
          <w:rFonts w:ascii="Times New Roman;Times;serif" w:hAnsi="Times New Roman;Times;serif"/>
          <w:b/>
          <w:sz w:val="20"/>
        </w:rPr>
      </w:pPr>
      <w:bookmarkStart w:id="772" w:name="CondensedConsolidatedStatementsofCashFlo"/>
      <w:bookmarkEnd w:id="772"/>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of US Dollars)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773" w:name="Tc_lY2mvAihIES96mVokBirjg_41_7"/>
      <w:bookmarkStart w:id="774" w:name="Tc_9xowRhsrcU2fy_9bz72nKQ_41_0"/>
      <w:bookmarkStart w:id="775" w:name="Tc_73RqnjKpbUSetPekwW3SlA_40_0"/>
      <w:bookmarkStart w:id="776" w:name="Tc_NbZMO4RvWEG47XZB9hvnqw_39_0"/>
      <w:bookmarkStart w:id="777" w:name="Tc_UjTyO1Gsb0K1FMkNwwmA8Q_38_7"/>
      <w:bookmarkStart w:id="778" w:name="Tc_oXWVfz4zG0CjMhsjvlW1xQ_38_4"/>
      <w:bookmarkStart w:id="779" w:name="Tc_oStvqBi3t0-ifY4mOjgbYA_38_0"/>
      <w:bookmarkStart w:id="780" w:name="Tc_j3UKrcXzD0-GDu6ZqcIuUA_36_0"/>
      <w:bookmarkStart w:id="781" w:name="Tc_foGDSG1OOkeHui0w66tYOw_35_5"/>
      <w:bookmarkStart w:id="782" w:name="Tc_MdAOvKfXI0atssk61rk1-w_35_0"/>
      <w:bookmarkStart w:id="783" w:name="Tc_FC1lyWEL6U2pZljBvRPp8g_34_8"/>
      <w:bookmarkStart w:id="784" w:name="Tc_c085LvHdCkOxiY7UVvcY-w_34_0"/>
      <w:bookmarkStart w:id="785" w:name="Tc_EcwzQat6xUyy6i61n558xQ_33_5"/>
      <w:bookmarkStart w:id="786" w:name="Tc_6ceXiuFteUGSLA8OP1dACg_33_0"/>
      <w:bookmarkStart w:id="787" w:name="Tc_tSM4HWosz0qSXg3uybxnuQ_32_5"/>
      <w:bookmarkStart w:id="788" w:name="Tc_1etu6o2aY0edcY9sg5gByg_32_0"/>
      <w:bookmarkStart w:id="789" w:name="Tc_ibgDLKVV5EeGjNqlAZduXg_31_8"/>
      <w:bookmarkStart w:id="790" w:name="Tc_sAtBNWm7AkCGbcGIJ16oow_31_2"/>
      <w:bookmarkStart w:id="791" w:name="Tc_OIHqKBffCUKWo3TstaZebg_31_0"/>
      <w:bookmarkStart w:id="792" w:name="Tc_nEfm55iLBEaoYatRpGvVJA_30_8"/>
      <w:bookmarkStart w:id="793" w:name="Tc_79-8tMEi50mfcu_IxVnayg_30_2"/>
      <w:bookmarkStart w:id="794" w:name="Tc_xONnJFeW50KMNeh-Xqt_tQ_30_0"/>
      <w:bookmarkStart w:id="795" w:name="Tc_DRsN3HYqVUmfBjlzmcJfZQ_29_8"/>
      <w:bookmarkStart w:id="796" w:name="Tc_Qn4u1aijMEyqxieaw8YnVA_29_2"/>
      <w:bookmarkStart w:id="797" w:name="Tc_sbUAKbqEKkuKEd2aro3uhg_29_0"/>
      <w:bookmarkStart w:id="798" w:name="Tc_wlZWvzh0l0Cvr1VWAlMs3Q_28_2"/>
      <w:bookmarkStart w:id="799" w:name="Tc_ImRXzU4SyEahLKMjD196IA_28_0"/>
      <w:bookmarkStart w:id="800" w:name="Tc_u9EdcqRyRU-r_tdWcSWVMw_27_2"/>
      <w:bookmarkStart w:id="801" w:name="Tc_X54cll2WEUShlIrlu57pww_27_0"/>
      <w:bookmarkStart w:id="802" w:name="Tc_ESeTNuBVn0KeUwZ_jUhcYw_26_0"/>
      <w:bookmarkStart w:id="803" w:name="Tc_d3TrbG6Nak-TqI9ut4UdoQ_24_0"/>
      <w:bookmarkStart w:id="804" w:name="Tc_iZTNRgcaUEGRddYCatZDkg_23_0"/>
      <w:bookmarkStart w:id="805" w:name="Tc_dxt5SBClK0CUYPrtADqLQg_22_8"/>
      <w:bookmarkStart w:id="806" w:name="Tc_kE2kYBskgkSHbEh4ONtmCA_22_2"/>
      <w:bookmarkStart w:id="807" w:name="Tc_ElON-iLKo0-t_9lXRmSdlw_22_0"/>
      <w:bookmarkStart w:id="808" w:name="Tc_CAiH7YcYakK0P6b0kVyvhQ_21_0"/>
      <w:bookmarkStart w:id="809" w:name="Tc_tbl7z9vX8k2mtYBY6RlyXQ_19_0"/>
      <w:bookmarkStart w:id="810" w:name="Tc_KGUSNbEkLUWKy7Si6wABIA_18_0"/>
      <w:bookmarkStart w:id="811" w:name="Tc_NP9bwiJLAEys0rFGxegjpg_17_0"/>
      <w:bookmarkStart w:id="812" w:name="Tc_rCzplBORDEymAYI_g2gbXw_16_0"/>
      <w:bookmarkStart w:id="813" w:name="Tc_U44t-AM2mUO_ZjqM78G8fA_15_0"/>
      <w:bookmarkStart w:id="814" w:name="Tc_gKzUPFWs90Sx-NnUOH7geg_14_8"/>
      <w:bookmarkStart w:id="815" w:name="Tc_kmqFYVEm7k2YRpA60IgyJA_14_2"/>
      <w:bookmarkStart w:id="816" w:name="Tc_QY_UMNYgbUShd6IF1PQ-xQ_14_0"/>
      <w:bookmarkStart w:id="817" w:name="Tc_gD39Dn24RkGUzZeKHrLy5Q_13_2"/>
      <w:bookmarkStart w:id="818" w:name="Tc_mQxfM1Z2O0OuvOwZEqIMnA_13_0"/>
      <w:bookmarkStart w:id="819" w:name="Tc_T-2DO7ZnDk6vj5wpqLEihw_12_8"/>
      <w:bookmarkStart w:id="820" w:name="Tc_Dacfn45dMESHjaAzHTqitQ_12_2"/>
      <w:bookmarkStart w:id="821" w:name="Tc_BMuhLuxApkikXL89spJjnw_12_0"/>
      <w:bookmarkStart w:id="822" w:name="Tc_1HtyB4QLMUGpYGqC_7cAkQ_11_2"/>
      <w:bookmarkStart w:id="823" w:name="Tc_hbusONIOEkC3qkpyaxN3yQ_11_0"/>
      <w:bookmarkStart w:id="824" w:name="Tc_qKy5FSCzRUCtVyzxDtC59Q_10_8"/>
      <w:bookmarkStart w:id="825" w:name="Tc_xBDqWzlfZ0yfaL_zJjPSmA_10_2"/>
      <w:bookmarkStart w:id="826" w:name="Tc_FMt2Kdn_eEWtOt68eZckkQ_10_0"/>
      <w:bookmarkStart w:id="827" w:name="Tc_AyNheu-uOkmJQXeTibazdQ_9_0"/>
      <w:bookmarkStart w:id="828" w:name="Tc_VtMK502wQEKFXN0bSqEpGw_8_0"/>
      <w:bookmarkStart w:id="829" w:name="Tc_Cbj4gMLdmk-cHUJpdjTJWQ_7_7"/>
      <w:bookmarkStart w:id="830" w:name="Tc_dtMO5mNB2kCnvkpn3TAX3Q_7_4"/>
      <w:bookmarkStart w:id="831" w:name="Tc_e58Ysyl79U62WEhG2ErvKQ_7_0"/>
      <w:bookmarkStart w:id="832" w:name="Tc_fklijdyX4k-Y4JBzv0R4Mw_6_0"/>
      <w:bookmarkStart w:id="833" w:name="Tc_OmjHzjl-a0ay9LvjAuvzIQ_4_0"/>
      <w:bookmarkStart w:id="834" w:name="Tc_9eBUvfP82kqZ95xyzovb3g_3_7"/>
      <w:bookmarkStart w:id="835" w:name="Tc_jEDtlmvU-keq-0y5aGe4Cw_3_4"/>
      <w:bookmarkStart w:id="836" w:name="Tc_A93M0bzNnUGTevQmarn-gw_3_2"/>
      <w:bookmarkStart w:id="837" w:name="Tc_ZljghbxIVkK6HYZ-J2bDZw_2_7"/>
      <w:bookmarkStart w:id="838" w:name="Tc_p5hVqr7Vy0iWbzYBauWp5Q_2_4"/>
      <w:bookmarkStart w:id="839" w:name="Tc_wvBFcfQ5MUaXUc_ZyVbnnA_1_7"/>
      <w:bookmarkStart w:id="840" w:name="Tc_LfVZX9hkAkGPdtZuzDtdLA_1_4"/>
      <w:bookmarkStart w:id="841" w:name="_a3886705_20ae_4cc1_bf7f_1fb3bb61d2e3"/>
      <w:bookmarkStart w:id="842" w:name="Tc_lY2mvAihIES96mVokBirjg_41_7"/>
      <w:bookmarkStart w:id="843" w:name="Tc_9xowRhsrcU2fy_9bz72nKQ_41_0"/>
      <w:bookmarkStart w:id="844" w:name="Tc_73RqnjKpbUSetPekwW3SlA_40_0"/>
      <w:bookmarkStart w:id="845" w:name="Tc_NbZMO4RvWEG47XZB9hvnqw_39_0"/>
      <w:bookmarkStart w:id="846" w:name="Tc_UjTyO1Gsb0K1FMkNwwmA8Q_38_7"/>
      <w:bookmarkStart w:id="847" w:name="Tc_oXWVfz4zG0CjMhsjvlW1xQ_38_4"/>
      <w:bookmarkStart w:id="848" w:name="Tc_oStvqBi3t0-ifY4mOjgbYA_38_0"/>
      <w:bookmarkStart w:id="849" w:name="Tc_j3UKrcXzD0-GDu6ZqcIuUA_36_0"/>
      <w:bookmarkStart w:id="850" w:name="Tc_foGDSG1OOkeHui0w66tYOw_35_5"/>
      <w:bookmarkStart w:id="851" w:name="Tc_MdAOvKfXI0atssk61rk1-w_35_0"/>
      <w:bookmarkStart w:id="852" w:name="Tc_FC1lyWEL6U2pZljBvRPp8g_34_8"/>
      <w:bookmarkStart w:id="853" w:name="Tc_c085LvHdCkOxiY7UVvcY-w_34_0"/>
      <w:bookmarkStart w:id="854" w:name="Tc_EcwzQat6xUyy6i61n558xQ_33_5"/>
      <w:bookmarkStart w:id="855" w:name="Tc_6ceXiuFteUGSLA8OP1dACg_33_0"/>
      <w:bookmarkStart w:id="856" w:name="Tc_tSM4HWosz0qSXg3uybxnuQ_32_5"/>
      <w:bookmarkStart w:id="857" w:name="Tc_1etu6o2aY0edcY9sg5gByg_32_0"/>
      <w:bookmarkStart w:id="858" w:name="Tc_ibgDLKVV5EeGjNqlAZduXg_31_8"/>
      <w:bookmarkStart w:id="859" w:name="Tc_sAtBNWm7AkCGbcGIJ16oow_31_2"/>
      <w:bookmarkStart w:id="860" w:name="Tc_OIHqKBffCUKWo3TstaZebg_31_0"/>
      <w:bookmarkStart w:id="861" w:name="Tc_nEfm55iLBEaoYatRpGvVJA_30_8"/>
      <w:bookmarkStart w:id="862" w:name="Tc_79-8tMEi50mfcu_IxVnayg_30_2"/>
      <w:bookmarkStart w:id="863" w:name="Tc_xONnJFeW50KMNeh-Xqt_tQ_30_0"/>
      <w:bookmarkStart w:id="864" w:name="Tc_DRsN3HYqVUmfBjlzmcJfZQ_29_8"/>
      <w:bookmarkStart w:id="865" w:name="Tc_Qn4u1aijMEyqxieaw8YnVA_29_2"/>
      <w:bookmarkStart w:id="866" w:name="Tc_sbUAKbqEKkuKEd2aro3uhg_29_0"/>
      <w:bookmarkStart w:id="867" w:name="Tc_wlZWvzh0l0Cvr1VWAlMs3Q_28_2"/>
      <w:bookmarkStart w:id="868" w:name="Tc_ImRXzU4SyEahLKMjD196IA_28_0"/>
      <w:bookmarkStart w:id="869" w:name="Tc_u9EdcqRyRU-r_tdWcSWVMw_27_2"/>
      <w:bookmarkStart w:id="870" w:name="Tc_X54cll2WEUShlIrlu57pww_27_0"/>
      <w:bookmarkStart w:id="871" w:name="Tc_ESeTNuBVn0KeUwZ_jUhcYw_26_0"/>
      <w:bookmarkStart w:id="872" w:name="Tc_d3TrbG6Nak-TqI9ut4UdoQ_24_0"/>
      <w:bookmarkStart w:id="873" w:name="Tc_iZTNRgcaUEGRddYCatZDkg_23_0"/>
      <w:bookmarkStart w:id="874" w:name="Tc_dxt5SBClK0CUYPrtADqLQg_22_8"/>
      <w:bookmarkStart w:id="875" w:name="Tc_kE2kYBskgkSHbEh4ONtmCA_22_2"/>
      <w:bookmarkStart w:id="876" w:name="Tc_ElON-iLKo0-t_9lXRmSdlw_22_0"/>
      <w:bookmarkStart w:id="877" w:name="Tc_CAiH7YcYakK0P6b0kVyvhQ_21_0"/>
      <w:bookmarkStart w:id="878" w:name="Tc_tbl7z9vX8k2mtYBY6RlyXQ_19_0"/>
      <w:bookmarkStart w:id="879" w:name="Tc_KGUSNbEkLUWKy7Si6wABIA_18_0"/>
      <w:bookmarkStart w:id="880" w:name="Tc_NP9bwiJLAEys0rFGxegjpg_17_0"/>
      <w:bookmarkStart w:id="881" w:name="Tc_rCzplBORDEymAYI_g2gbXw_16_0"/>
      <w:bookmarkStart w:id="882" w:name="Tc_U44t-AM2mUO_ZjqM78G8fA_15_0"/>
      <w:bookmarkStart w:id="883" w:name="Tc_gKzUPFWs90Sx-NnUOH7geg_14_8"/>
      <w:bookmarkStart w:id="884" w:name="Tc_kmqFYVEm7k2YRpA60IgyJA_14_2"/>
      <w:bookmarkStart w:id="885" w:name="Tc_QY_UMNYgbUShd6IF1PQ-xQ_14_0"/>
      <w:bookmarkStart w:id="886" w:name="Tc_gD39Dn24RkGUzZeKHrLy5Q_13_2"/>
      <w:bookmarkStart w:id="887" w:name="Tc_mQxfM1Z2O0OuvOwZEqIMnA_13_0"/>
      <w:bookmarkStart w:id="888" w:name="Tc_T-2DO7ZnDk6vj5wpqLEihw_12_8"/>
      <w:bookmarkStart w:id="889" w:name="Tc_Dacfn45dMESHjaAzHTqitQ_12_2"/>
      <w:bookmarkStart w:id="890" w:name="Tc_BMuhLuxApkikXL89spJjnw_12_0"/>
      <w:bookmarkStart w:id="891" w:name="Tc_1HtyB4QLMUGpYGqC_7cAkQ_11_2"/>
      <w:bookmarkStart w:id="892" w:name="Tc_hbusONIOEkC3qkpyaxN3yQ_11_0"/>
      <w:bookmarkStart w:id="893" w:name="Tc_qKy5FSCzRUCtVyzxDtC59Q_10_8"/>
      <w:bookmarkStart w:id="894" w:name="Tc_xBDqWzlfZ0yfaL_zJjPSmA_10_2"/>
      <w:bookmarkStart w:id="895" w:name="Tc_FMt2Kdn_eEWtOt68eZckkQ_10_0"/>
      <w:bookmarkStart w:id="896" w:name="Tc_AyNheu-uOkmJQXeTibazdQ_9_0"/>
      <w:bookmarkStart w:id="897" w:name="Tc_VtMK502wQEKFXN0bSqEpGw_8_0"/>
      <w:bookmarkStart w:id="898" w:name="Tc_Cbj4gMLdmk-cHUJpdjTJWQ_7_7"/>
      <w:bookmarkStart w:id="899" w:name="Tc_dtMO5mNB2kCnvkpn3TAX3Q_7_4"/>
      <w:bookmarkStart w:id="900" w:name="Tc_e58Ysyl79U62WEhG2ErvKQ_7_0"/>
      <w:bookmarkStart w:id="901" w:name="Tc_fklijdyX4k-Y4JBzv0R4Mw_6_0"/>
      <w:bookmarkStart w:id="902" w:name="Tc_OmjHzjl-a0ay9LvjAuvzIQ_4_0"/>
      <w:bookmarkStart w:id="903" w:name="Tc_9eBUvfP82kqZ95xyzovb3g_3_7"/>
      <w:bookmarkStart w:id="904" w:name="Tc_jEDtlmvU-keq-0y5aGe4Cw_3_4"/>
      <w:bookmarkStart w:id="905" w:name="Tc_A93M0bzNnUGTevQmarn-gw_3_2"/>
      <w:bookmarkStart w:id="906" w:name="Tc_ZljghbxIVkK6HYZ-J2bDZw_2_7"/>
      <w:bookmarkStart w:id="907" w:name="Tc_p5hVqr7Vy0iWbzYBauWp5Q_2_4"/>
      <w:bookmarkStart w:id="908" w:name="Tc_wvBFcfQ5MUaXUc_ZyVbnnA_1_7"/>
      <w:bookmarkStart w:id="909" w:name="Tc_LfVZX9hkAkGPdtZuzDtdLA_1_4"/>
      <w:bookmarkStart w:id="910" w:name="_a3886705_20ae_4cc1_bf7f_1fb3bb61d2e3"/>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p>
    <w:tbl>
      <w:tblPr>
        <w:tblW w:w="9125" w:type="dxa"/>
        <w:jc w:val="left"/>
        <w:tblInd w:w="0" w:type="dxa"/>
        <w:tblLayout w:type="fixed"/>
        <w:tblCellMar>
          <w:top w:w="0" w:type="dxa"/>
          <w:left w:w="0" w:type="dxa"/>
          <w:bottom w:w="0" w:type="dxa"/>
          <w:right w:w="0" w:type="dxa"/>
        </w:tblCellMar>
      </w:tblPr>
      <w:tblGrid>
        <w:gridCol w:w="4711"/>
        <w:gridCol w:w="326"/>
        <w:gridCol w:w="451"/>
        <w:gridCol w:w="326"/>
        <w:gridCol w:w="308"/>
        <w:gridCol w:w="1162"/>
        <w:gridCol w:w="326"/>
        <w:gridCol w:w="304"/>
        <w:gridCol w:w="1211"/>
      </w:tblGrid>
      <w:tr>
        <w:trPr/>
        <w:tc>
          <w:tcPr>
            <w:tcW w:w="4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991485" cy="175260"/>
                      <wp:effectExtent l="0" t="0" r="0" b="0"/>
                      <wp:wrapNone/>
                      <wp:docPr id="111" name="Frame111"/>
                      <a:graphic xmlns:a="http://schemas.openxmlformats.org/drawingml/2006/main">
                        <a:graphicData uri="http://schemas.microsoft.com/office/word/2010/wordprocessingShape">
                          <wps:wsp>
                            <wps:cNvSpPr txBox="1"/>
                            <wps:spPr>
                              <a:xfrm>
                                <a:off x="0" y="0"/>
                                <a:ext cx="299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86385" cy="175260"/>
                      <wp:effectExtent l="0" t="0" r="0" b="0"/>
                      <wp:wrapNone/>
                      <wp:docPr id="113" name="Frame113"/>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4"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95580" cy="175260"/>
                      <wp:effectExtent l="0" t="0" r="0" b="0"/>
                      <wp:wrapNone/>
                      <wp:docPr id="115" name="Frame115"/>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737870" cy="175260"/>
                      <wp:effectExtent l="0" t="0" r="0" b="0"/>
                      <wp:wrapNone/>
                      <wp:docPr id="116" name="Frame116"/>
                      <a:graphic xmlns:a="http://schemas.openxmlformats.org/drawingml/2006/main">
                        <a:graphicData uri="http://schemas.microsoft.com/office/word/2010/wordprocessingShape">
                          <wps:wsp>
                            <wps:cNvSpPr txBox="1"/>
                            <wps:spPr>
                              <a:xfrm>
                                <a:off x="0" y="0"/>
                                <a:ext cx="737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93040" cy="175260"/>
                      <wp:effectExtent l="0" t="0" r="0" b="0"/>
                      <wp:wrapNone/>
                      <wp:docPr id="118" name="Frame118"/>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768985" cy="175260"/>
                      <wp:effectExtent l="0" t="0" r="0" b="0"/>
                      <wp:wrapNone/>
                      <wp:docPr id="119" name="Frame119"/>
                      <a:graphic xmlns:a="http://schemas.openxmlformats.org/drawingml/2006/main">
                        <a:graphicData uri="http://schemas.microsoft.com/office/word/2010/wordprocessingShape">
                          <wps:wsp>
                            <wps:cNvSpPr txBox="1"/>
                            <wps:spPr>
                              <a:xfrm>
                                <a:off x="0" y="0"/>
                                <a:ext cx="76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4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470"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Nine months ended</w:t>
            </w:r>
          </w:p>
        </w:tc>
        <w:tc>
          <w:tcPr>
            <w:tcW w:w="326" w:type="dxa"/>
            <w:tcBorders/>
            <w:vAlign w:val="center"/>
          </w:tcPr>
          <w:p>
            <w:pPr>
              <w:pStyle w:val="TableContents"/>
              <w:bidi w:val="0"/>
              <w:spacing w:before="0" w:after="0"/>
              <w:ind w:left="0" w:right="0" w:hanging="0"/>
              <w:jc w:val="right"/>
              <w:rPr/>
            </w:pPr>
            <w:r>
              <w:rPr/>
              <w:t>​</w:t>
            </w:r>
          </w:p>
        </w:tc>
        <w:tc>
          <w:tcPr>
            <w:tcW w:w="1515"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Nine months ended</w:t>
            </w:r>
          </w:p>
        </w:tc>
      </w:tr>
      <w:tr>
        <w:trPr/>
        <w:tc>
          <w:tcPr>
            <w:tcW w:w="47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right"/>
              <w:rPr/>
            </w:pPr>
            <w:r>
              <w:rPr/>
              <w:t>    </w:t>
            </w:r>
          </w:p>
        </w:tc>
        <w:tc>
          <w:tcPr>
            <w:tcW w:w="1470"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right"/>
              <w:rPr/>
            </w:pPr>
            <w:r>
              <w:rPr/>
              <w:t>    </w:t>
            </w:r>
          </w:p>
        </w:tc>
        <w:tc>
          <w:tcPr>
            <w:tcW w:w="1515"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September 30, </w:t>
            </w:r>
          </w:p>
        </w:tc>
      </w:tr>
      <w:tr>
        <w:trPr/>
        <w:tc>
          <w:tcPr>
            <w:tcW w:w="47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vAlign w:val="center"/>
          </w:tcPr>
          <w:p>
            <w:pPr>
              <w:pStyle w:val="TableContents"/>
              <w:bidi w:val="0"/>
              <w:spacing w:before="0" w:after="0"/>
              <w:ind w:left="0" w:right="0" w:hanging="0"/>
              <w:jc w:val="right"/>
              <w:rPr/>
            </w:pPr>
            <w:r>
              <w:rPr/>
              <w:t>​</w:t>
            </w:r>
          </w:p>
        </w:tc>
        <w:tc>
          <w:tcPr>
            <w:tcW w:w="147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right"/>
              <w:rPr/>
            </w:pPr>
            <w:r>
              <w:rPr/>
              <w:t>​</w:t>
            </w:r>
          </w:p>
        </w:tc>
        <w:tc>
          <w:tcPr>
            <w:tcW w:w="1515"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2022</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provided by (used in)</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pPr>
            <w:r>
              <w:rPr/>
              <w:t>​</w:t>
            </w:r>
          </w:p>
        </w:tc>
        <w:tc>
          <w:tcPr>
            <w:tcW w:w="1211" w:type="dxa"/>
            <w:tcBorders/>
            <w:shd w:fill="CCEEFF" w:val="clear"/>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1211" w:type="dxa"/>
            <w:tcBorders/>
            <w:vAlign w:val="center"/>
          </w:tcPr>
          <w:p>
            <w:pPr>
              <w:pStyle w:val="TableContents"/>
              <w:bidi w:val="0"/>
              <w:spacing w:before="0" w:after="0"/>
              <w:ind w:left="0" w:right="0" w:hanging="0"/>
              <w:jc w:val="left"/>
              <w:rPr/>
            </w:pPr>
            <w:r>
              <w:rPr/>
              <w:t>​</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1211" w:type="dxa"/>
            <w:tcBorders/>
            <w:shd w:fill="CCEEFF" w:val="clear"/>
            <w:vAlign w:val="center"/>
          </w:tcPr>
          <w:p>
            <w:pPr>
              <w:pStyle w:val="TableContents"/>
              <w:bidi w:val="0"/>
              <w:spacing w:before="0" w:after="0"/>
              <w:ind w:left="0" w:right="0" w:hanging="0"/>
              <w:jc w:val="left"/>
              <w:rPr/>
            </w:pPr>
            <w:r>
              <w:rPr/>
              <w:t>​</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for the period</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(26,572)</w:t>
            </w:r>
          </w:p>
        </w:tc>
        <w:tc>
          <w:tcPr>
            <w:tcW w:w="32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(61,395)</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Items not affecting cash:</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pPr>
            <w:r>
              <w:rPr/>
              <w:t>​</w:t>
            </w:r>
          </w:p>
        </w:tc>
        <w:tc>
          <w:tcPr>
            <w:tcW w:w="1211" w:type="dxa"/>
            <w:tcBorders/>
            <w:shd w:fill="CCEEFF" w:val="clear"/>
            <w:vAlign w:val="center"/>
          </w:tcPr>
          <w:p>
            <w:pPr>
              <w:pStyle w:val="TableContents"/>
              <w:bidi w:val="0"/>
              <w:spacing w:before="0" w:after="0"/>
              <w:ind w:left="0" w:right="0" w:hanging="0"/>
              <w:jc w:val="right"/>
              <w:rPr/>
            </w:pPr>
            <w:r>
              <w:rPr/>
              <w:t>​</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1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1211" w:type="dxa"/>
            <w:tcBorders/>
            <w:shd w:fill="CCEEFF" w:val="clear"/>
            <w:vAlign w:val="center"/>
          </w:tcPr>
          <w:p>
            <w:pPr>
              <w:pStyle w:val="TableContents"/>
              <w:bidi w:val="0"/>
              <w:spacing w:before="0" w:after="0"/>
              <w:ind w:left="0" w:right="0" w:hanging="0"/>
              <w:jc w:val="right"/>
              <w:rPr/>
            </w:pPr>
            <w:r>
              <w:rPr/>
              <w:t>—</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 settled with share-based payments</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6,839</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1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16,298</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Equity-accounted investment loss</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pPr>
            <w:r>
              <w:rPr/>
              <w:t>​</w:t>
            </w:r>
          </w:p>
        </w:tc>
        <w:tc>
          <w:tcPr>
            <w:tcW w:w="1211" w:type="dxa"/>
            <w:tcBorders/>
            <w:shd w:fill="CCEEFF" w:val="clear"/>
            <w:vAlign w:val="center"/>
          </w:tcPr>
          <w:p>
            <w:pPr>
              <w:pStyle w:val="TableContents"/>
              <w:bidi w:val="0"/>
              <w:spacing w:before="0" w:after="0"/>
              <w:ind w:left="0" w:right="0" w:hanging="0"/>
              <w:jc w:val="right"/>
              <w:rPr/>
            </w:pPr>
            <w:r>
              <w:rPr/>
              <w:t>—</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warrants liability</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tc>
        <w:tc>
          <w:tcPr>
            <w:tcW w:w="32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1,214</w:t>
            </w:r>
          </w:p>
        </w:tc>
        <w:tc>
          <w:tcPr>
            <w:tcW w:w="32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pPr>
            <w:r>
              <w:rPr/>
              <w:t>​</w:t>
            </w:r>
          </w:p>
        </w:tc>
        <w:tc>
          <w:tcPr>
            <w:tcW w:w="1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(892)</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asset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(13,750)</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1211" w:type="dxa"/>
            <w:tcBorders/>
            <w:shd w:fill="CCEEFF" w:val="clear"/>
            <w:vAlign w:val="center"/>
          </w:tcPr>
          <w:p>
            <w:pPr>
              <w:pStyle w:val="TableContents"/>
              <w:bidi w:val="0"/>
              <w:spacing w:before="0" w:after="0"/>
              <w:ind w:left="0" w:right="0" w:hanging="0"/>
              <w:jc w:val="right"/>
              <w:rPr/>
            </w:pPr>
            <w:r>
              <w:rPr/>
              <w:t>—</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foreign exchange movement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1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working capital:</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pPr>
            <w:r>
              <w:rPr/>
              <w:t>​</w:t>
            </w:r>
          </w:p>
        </w:tc>
        <w:tc>
          <w:tcPr>
            <w:tcW w:w="1211" w:type="dxa"/>
            <w:tcBorders/>
            <w:shd w:fill="CCEEFF" w:val="clear"/>
            <w:vAlign w:val="center"/>
          </w:tcPr>
          <w:p>
            <w:pPr>
              <w:pStyle w:val="TableContents"/>
              <w:bidi w:val="0"/>
              <w:spacing w:before="0" w:after="0"/>
              <w:ind w:left="0" w:right="0" w:hanging="0"/>
              <w:jc w:val="right"/>
              <w:rPr/>
            </w:pPr>
            <w:r>
              <w:rPr/>
              <w:t>​</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 and prepayments</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(2,364)</w:t>
            </w:r>
          </w:p>
        </w:tc>
        <w:tc>
          <w:tcPr>
            <w:tcW w:w="32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pPr>
            <w:r>
              <w:rPr/>
              <w:t>​</w:t>
            </w:r>
          </w:p>
        </w:tc>
        <w:tc>
          <w:tcPr>
            <w:tcW w:w="1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(1,426)</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(10,757)</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operating activities</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(44,359)</w:t>
            </w:r>
          </w:p>
        </w:tc>
        <w:tc>
          <w:tcPr>
            <w:tcW w:w="32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pPr>
            <w:r>
              <w:rPr/>
              <w:t>​</w:t>
            </w:r>
          </w:p>
        </w:tc>
        <w:tc>
          <w:tcPr>
            <w:tcW w:w="121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(46,760)</w:t>
            </w:r>
          </w:p>
        </w:tc>
      </w:tr>
      <w:tr>
        <w:trPr/>
        <w:tc>
          <w:tcPr>
            <w:tcW w:w="47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1211" w:type="dxa"/>
            <w:tcBorders/>
            <w:shd w:fill="CCEEFF" w:val="clear"/>
            <w:vAlign w:val="center"/>
          </w:tcPr>
          <w:p>
            <w:pPr>
              <w:pStyle w:val="TableContents"/>
              <w:bidi w:val="0"/>
              <w:spacing w:before="0" w:after="0"/>
              <w:ind w:left="0" w:right="0" w:hanging="0"/>
              <w:jc w:val="right"/>
              <w:rPr/>
            </w:pPr>
            <w:r>
              <w:rPr/>
              <w:t>​</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Investing activities</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pPr>
            <w:r>
              <w:rPr/>
              <w:t>​</w:t>
            </w:r>
          </w:p>
        </w:tc>
        <w:tc>
          <w:tcPr>
            <w:tcW w:w="1211" w:type="dxa"/>
            <w:tcBorders/>
            <w:vAlign w:val="center"/>
          </w:tcPr>
          <w:p>
            <w:pPr>
              <w:pStyle w:val="TableContents"/>
              <w:bidi w:val="0"/>
              <w:spacing w:before="0" w:after="0"/>
              <w:ind w:left="0" w:right="0" w:hanging="0"/>
              <w:jc w:val="right"/>
              <w:rPr/>
            </w:pPr>
            <w:r>
              <w:rPr/>
              <w:t>​</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received from investment in Low Carbon Royalties</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1211" w:type="dxa"/>
            <w:tcBorders/>
            <w:shd w:fill="CCEEFF" w:val="clear"/>
            <w:vAlign w:val="center"/>
          </w:tcPr>
          <w:p>
            <w:pPr>
              <w:pStyle w:val="TableContents"/>
              <w:bidi w:val="0"/>
              <w:spacing w:before="0" w:after="0"/>
              <w:ind w:left="0" w:right="0" w:hanging="0"/>
              <w:jc w:val="right"/>
              <w:rPr/>
            </w:pPr>
            <w:r>
              <w:rPr/>
              <w:t>—</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of equipment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26" w:type="dxa"/>
            <w:tcBorders/>
            <w:vAlign w:val="center"/>
          </w:tcPr>
          <w:p>
            <w:pPr>
              <w:pStyle w:val="TableContents"/>
              <w:bidi w:val="0"/>
              <w:spacing w:before="0" w:after="0"/>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4,825</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pPr>
            <w:r>
              <w:rPr/>
              <w:t>​</w:t>
            </w:r>
          </w:p>
        </w:tc>
        <w:tc>
          <w:tcPr>
            <w:tcW w:w="121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(959)</w:t>
            </w:r>
          </w:p>
        </w:tc>
      </w:tr>
      <w:tr>
        <w:trPr/>
        <w:tc>
          <w:tcPr>
            <w:tcW w:w="4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1211" w:type="dxa"/>
            <w:tcBorders/>
            <w:vAlign w:val="center"/>
          </w:tcPr>
          <w:p>
            <w:pPr>
              <w:pStyle w:val="TableContents"/>
              <w:bidi w:val="0"/>
              <w:spacing w:before="0" w:after="0"/>
              <w:ind w:left="0" w:right="0" w:hanging="0"/>
              <w:jc w:val="right"/>
              <w:rPr/>
            </w:pPr>
            <w:r>
              <w:rPr/>
              <w:t>​</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pPr>
            <w:r>
              <w:rPr/>
              <w:t>​</w:t>
            </w:r>
          </w:p>
        </w:tc>
        <w:tc>
          <w:tcPr>
            <w:tcW w:w="1211" w:type="dxa"/>
            <w:tcBorders/>
            <w:shd w:fill="CCEEFF" w:val="clear"/>
            <w:vAlign w:val="center"/>
          </w:tcPr>
          <w:p>
            <w:pPr>
              <w:pStyle w:val="TableContents"/>
              <w:bidi w:val="0"/>
              <w:spacing w:before="0" w:after="0"/>
              <w:ind w:left="0" w:right="0" w:hanging="0"/>
              <w:jc w:val="right"/>
              <w:rPr/>
            </w:pPr>
            <w:r>
              <w:rPr/>
              <w:t>​</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employee share purchase plan</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pPr>
            <w:r>
              <w:rPr/>
              <w:t>​</w:t>
            </w:r>
          </w:p>
        </w:tc>
        <w:tc>
          <w:tcPr>
            <w:tcW w:w="1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stock options</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1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warrants by Allseas</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tc>
        <w:tc>
          <w:tcPr>
            <w:tcW w:w="32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1211" w:type="dxa"/>
            <w:tcBorders/>
            <w:vAlign w:val="center"/>
          </w:tcPr>
          <w:p>
            <w:pPr>
              <w:pStyle w:val="TableContents"/>
              <w:bidi w:val="0"/>
              <w:spacing w:before="0" w:after="0"/>
              <w:ind w:left="0" w:right="0" w:hanging="0"/>
              <w:jc w:val="right"/>
              <w:rPr/>
            </w:pPr>
            <w:r>
              <w:rPr/>
              <w:t>—</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Registered Direct Offering</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15,723</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1211" w:type="dxa"/>
            <w:tcBorders/>
            <w:shd w:fill="CCEEFF" w:val="clear"/>
            <w:vAlign w:val="center"/>
          </w:tcPr>
          <w:p>
            <w:pPr>
              <w:pStyle w:val="TableContents"/>
              <w:bidi w:val="0"/>
              <w:spacing w:before="0" w:after="0"/>
              <w:ind w:left="0" w:right="0" w:hanging="0"/>
              <w:jc w:val="right"/>
              <w:rPr/>
            </w:pPr>
            <w:r>
              <w:rPr/>
              <w:t>—</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 paid for Registered Direct Offering</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1211" w:type="dxa"/>
            <w:tcBorders/>
            <w:vAlign w:val="center"/>
          </w:tcPr>
          <w:p>
            <w:pPr>
              <w:pStyle w:val="TableContents"/>
              <w:bidi w:val="0"/>
              <w:spacing w:before="0" w:after="0"/>
              <w:ind w:left="0" w:right="0" w:hanging="0"/>
              <w:jc w:val="right"/>
              <w:rPr/>
            </w:pPr>
            <w:r>
              <w:rPr/>
              <w:t>—</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PIPE financing</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1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30,400</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 paid for PIPE financing</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1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shares</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1211" w:type="dxa"/>
            <w:tcBorders/>
            <w:shd w:fill="CCEEFF" w:val="clear"/>
            <w:vAlign w:val="center"/>
          </w:tcPr>
          <w:p>
            <w:pPr>
              <w:pStyle w:val="TableContents"/>
              <w:bidi w:val="0"/>
              <w:spacing w:before="0" w:after="0"/>
              <w:ind w:left="0" w:right="0" w:hanging="0"/>
              <w:jc w:val="right"/>
              <w:rPr/>
            </w:pPr>
            <w:r>
              <w:rPr/>
              <w:t>—</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Taxes withheld and paid on share-based compensation</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15,216</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121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29,774</w:t>
            </w:r>
          </w:p>
        </w:tc>
      </w:tr>
      <w:tr>
        <w:trPr/>
        <w:tc>
          <w:tcPr>
            <w:tcW w:w="4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1211" w:type="dxa"/>
            <w:tcBorders/>
            <w:vAlign w:val="center"/>
          </w:tcPr>
          <w:p>
            <w:pPr>
              <w:pStyle w:val="TableContents"/>
              <w:bidi w:val="0"/>
              <w:spacing w:before="0" w:after="0"/>
              <w:ind w:left="0" w:right="0" w:hanging="0"/>
              <w:jc w:val="right"/>
              <w:rPr/>
            </w:pPr>
            <w:r>
              <w:rPr/>
              <w:t>​</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Decrease in cash </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6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(24,318)</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1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(17,945)</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Impact of exchange rate changes on cash </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w:t>
            </w:r>
          </w:p>
        </w:tc>
        <w:tc>
          <w:tcPr>
            <w:tcW w:w="32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pPr>
            <w:r>
              <w:rPr/>
              <w:t>​</w:t>
            </w:r>
          </w:p>
        </w:tc>
        <w:tc>
          <w:tcPr>
            <w:tcW w:w="121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w:t>
            </w:r>
          </w:p>
        </w:tc>
      </w:tr>
      <w:tr>
        <w:trPr/>
        <w:tc>
          <w:tcPr>
            <w:tcW w:w="47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 beginning of period</w:t>
            </w:r>
          </w:p>
        </w:tc>
        <w:tc>
          <w:tcPr>
            <w:tcW w:w="32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46,842</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84,873</w:t>
            </w:r>
          </w:p>
        </w:tc>
      </w:tr>
      <w:tr>
        <w:trPr/>
        <w:tc>
          <w:tcPr>
            <w:tcW w:w="47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 end of period</w:t>
            </w:r>
          </w:p>
        </w:tc>
        <w:tc>
          <w:tcPr>
            <w:tcW w:w="32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22,548</w:t>
            </w:r>
          </w:p>
        </w:tc>
        <w:tc>
          <w:tcPr>
            <w:tcW w:w="326" w:type="dxa"/>
            <w:tcBorders/>
            <w:vAlign w:val="center"/>
          </w:tcPr>
          <w:p>
            <w:pPr>
              <w:pStyle w:val="TableContents"/>
              <w:bidi w:val="0"/>
              <w:spacing w:before="0" w:after="0"/>
              <w:ind w:left="0" w:right="0" w:hanging="0"/>
              <w:jc w:val="left"/>
              <w:rPr/>
            </w:pPr>
            <w:r>
              <w:rPr/>
              <w:t> </w:t>
            </w:r>
          </w:p>
        </w:tc>
        <w:tc>
          <w:tcPr>
            <w:tcW w:w="30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11"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66,872</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pBdr/>
        <w:bidi w:val="0"/>
        <w:spacing w:before="0" w:after="0"/>
        <w:ind w:left="0" w:right="0" w:hanging="36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40"/>
        <w:ind w:left="0" w:right="0" w:hanging="0"/>
        <w:jc w:val="left"/>
        <w:rPr/>
      </w:pPr>
      <w:hyperlink w:anchor="TOC">
        <w:bookmarkStart w:id="911" w:name="_3d2e32c6_88f2_47d5_9f51_49c0a341401d"/>
        <w:bookmarkEnd w:id="91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TMC the metals company Inc.</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Notes to Condensed Consolidated Financial Statements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(in thousands of US Dollars, except share and per share amounts and unless otherwise stated)</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12" w:name="a1NatureofOperations_669125"/>
      <w:bookmarkEnd w:id="912"/>
      <w:r>
        <w:rPr>
          <w:rFonts w:ascii="Times New Roman;Times;serif" w:hAnsi="Times New Roman;Times;serif"/>
          <w:b/>
          <w:i w:val="false"/>
          <w:caps w:val="false"/>
          <w:smallCaps w:val="false"/>
          <w:sz w:val="20"/>
        </w:rPr>
        <w:t>1.</w:t>
      </w:r>
      <w:r>
        <w:rPr>
          <w:rFonts w:ascii="Times New Roman;Times;serif" w:hAnsi="Times New Roman;Times;serif"/>
          <w:b/>
          <w:sz w:val="20"/>
        </w:rPr>
        <w:t>Nature of Operations</w:t>
      </w:r>
    </w:p>
    <w:p>
      <w:pPr>
        <w:pStyle w:val="TextBody"/>
        <w:bidi w:val="0"/>
        <w:spacing w:lineRule="auto" w:line="240" w:before="0" w:after="240"/>
        <w:ind w:left="360" w:right="0" w:hanging="0"/>
        <w:jc w:val="both"/>
        <w:rPr>
          <w:rFonts w:ascii="Times New Roman;Times;serif" w:hAnsi="Times New Roman;Times;serif"/>
          <w:sz w:val="20"/>
        </w:rPr>
      </w:pPr>
      <w:r>
        <w:rPr>
          <w:rFonts w:ascii="Times New Roman;Times;serif" w:hAnsi="Times New Roman;Times;serif"/>
          <w:sz w:val="20"/>
        </w:rPr>
        <w:t>TMC the metals company Inc. (“TMC” or the “Company”) was incorporated as a Cayman Islands exempted company limited by shares on December 18, 2019 and continued as a corporation under the laws of the province of British Columbia, Canada on September 9, 2021. On September 9, 2021, the Company completed its business combination (the “Business Combination”) with DeepGreen Metals Inc. (“DeepGreen”). The Company’s corporate office, registered address and records office is located at 10</w:t>
      </w:r>
      <w:r>
        <w:rPr>
          <w:rFonts w:ascii="Times New Roman;Times;serif" w:hAnsi="Times New Roman;Times;serif"/>
          <w:sz w:val="15"/>
        </w:rPr>
        <w:t>th</w:t>
      </w:r>
      <w:r>
        <w:rPr>
          <w:rFonts w:ascii="Times New Roman;Times;serif" w:hAnsi="Times New Roman;Times;serif"/>
          <w:sz w:val="20"/>
        </w:rPr>
        <w:t xml:space="preserve"> floor, 595 Howe Street, Vancouver, British Columbia, Canada, V6C 2T5. The Company’s common shares and warrants to purchase common shares are listed for trading on the Nasdaq Global Select Market (“Nasdaq”) under tickers “TMC” and “TMCWW”, respectively.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is a deep-sea minerals exploration company focused on the collection, processing and refining of polymetallic nodules found on the seafloor in international waters of the Clarion Clipperton Zone in the Pacific Ocean (“CCZ”), located approximately 1,300 nautical miles (1,500 miles or 2,400 kilometers) southwest of San Diego, California. These nodules contain high grades of four metals (nickel, copper, cobalt, manganese) which can be used as (i) feedstock for battery cathode precursors (nickel and cobalt sulfates, or intermediate nickel-copper-cobalt matte, or nickel-copper-cobalt alloy) for electric vehicles (“EV”) and renewable energy storage markets, (ii) copper cathode for EV wiring, clean energy transmission and other applications and (iii) manganese silicate for manganese alloy production required for steel production.</w:t>
      </w:r>
    </w:p>
    <w:p>
      <w:pPr>
        <w:pStyle w:val="TextBody"/>
        <w:bidi w:val="0"/>
        <w:spacing w:lineRule="auto" w:line="240" w:before="0" w:after="240"/>
        <w:ind w:left="360" w:right="0" w:hanging="0"/>
        <w:jc w:val="both"/>
        <w:rPr>
          <w:rFonts w:ascii="Times New Roman;Times;serif" w:hAnsi="Times New Roman;Times;serif"/>
          <w:sz w:val="20"/>
        </w:rPr>
      </w:pPr>
      <w:r>
        <w:rPr>
          <w:rFonts w:ascii="Times New Roman;Times;serif" w:hAnsi="Times New Roman;Times;serif"/>
          <w:sz w:val="20"/>
        </w:rPr>
        <w:t>Exploration and exploitation of seabed minerals in international waters is regulated by the International Seabed Authority (“ISA”), an intergovernmental organization established pursuant to the 1994 Agreement Relating to the Implementation of the United Nations Convention on the Law of the Sea. The ISA grants contracts to sovereign states or to private contractors who are sponsored by a sovereign state. The ISA requires that a contractor obtain and maintain sponsorship by a host nation that is a member of the ISA and signatory to UNCLOS, and that such nation maintains effective supervision and regulatory control over such sponsored contractor. The Company’s wholly owned subsidiary, Nauru Ocean Resources Inc. (“NORI”), was granted an exploration contract (the “NORI Exploration Contract”) by the ISA in July 2011 under the sponsorship of the Republic of Nauru (“Nauru”) giving NORI exclusive rights to explore for polymetallic nodules in an area covering 74,830 km</w:t>
      </w:r>
      <w:r>
        <w:rPr>
          <w:rFonts w:ascii="Times New Roman;Times;serif" w:hAnsi="Times New Roman;Times;serif"/>
          <w:sz w:val="15"/>
        </w:rPr>
        <w:t>2</w:t>
      </w:r>
      <w:r>
        <w:rPr>
          <w:rFonts w:ascii="Times New Roman;Times;serif" w:hAnsi="Times New Roman;Times;serif"/>
          <w:sz w:val="20"/>
        </w:rPr>
        <w:t xml:space="preserve"> in the CCZ (“NORI Area”). On March 31, 2020, the Company acquired Tonga Offshore Mining Limited (“TOML”), which was granted an exploration contract (the “TOML Exploration Contract”) by the ISA in January 2012 under the sponsorship of the Kingdom of Tonga (“Tonga”) and has exclusive rights to explore for polymetallic nodules covering an area of 74,713 km</w:t>
      </w:r>
      <w:r>
        <w:rPr>
          <w:rFonts w:ascii="Times New Roman;Times;serif" w:hAnsi="Times New Roman;Times;serif"/>
          <w:sz w:val="15"/>
        </w:rPr>
        <w:t>2</w:t>
      </w:r>
      <w:r>
        <w:rPr>
          <w:rFonts w:ascii="Times New Roman;Times;serif" w:hAnsi="Times New Roman;Times;serif"/>
          <w:sz w:val="20"/>
        </w:rPr>
        <w:t xml:space="preserve"> in the CCZ (“TOML Area”). Marawa Research and Exploration Limited (“Marawa”), an entity owned and sponsored by the Republic of Kiribati (“Kiribati”), was granted rights by the ISA to polymetallic nodules exploration in an area of 74,990 km</w:t>
      </w:r>
      <w:r>
        <w:rPr>
          <w:rFonts w:ascii="Times New Roman;Times;serif" w:hAnsi="Times New Roman;Times;serif"/>
          <w:sz w:val="15"/>
        </w:rPr>
        <w:t>2</w:t>
      </w:r>
      <w:r>
        <w:rPr>
          <w:rFonts w:ascii="Times New Roman;Times;serif" w:hAnsi="Times New Roman;Times;serif"/>
          <w:sz w:val="20"/>
        </w:rPr>
        <w:t xml:space="preserve"> in the CCZ (“Marawa Area”). In 2013, the Company, through its subsidiary DeepGreen Engineering Pte. Ltd. (“DGE”), entered into an option agreement (the “Marawa Option Agreement”) with Marawa which granted DGE exclusive rights to manage and carry out all exploration and exploitation in the Marawa Area in return for a royalty payable to Marawa. The Company is working with its strategic partner and investor, Allseas Group S.A. (“Allseas”), to develop a system to collect, lift and transport nodules from the seafloor to shore and to subsequently convert that system into an early commercial production system (Note 6).</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realization of the Company’s assets and attainment of profitable operations is dependent upon many factors including, among other things: financing being arranged by the Company to continue operations, development of a nodule collection system for the recovery of polymetallic nodules from the seafloor as well as development of processing technology for the treatment of polymetallic nodules, the establishment of mineable reserves, the commercial and technical feasibility of seafloor polymetallic nodule collection and processing, metal prices, and regulatory approvals and environmental permitting for commercial operations. The outcome of these matters cannot presently be determined because they are contingent on future events and may not be fully under the Company’s control.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TMC the metals company Inc.</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Notes to Condensed Consolidated Financial Statements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(in thousands of US Dollars, except share and per share amounts and unless otherwise stated)</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Basis of Presentation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These unaudited condensed consolidated interim financial statements are prepared in accordance with U.S. Generally Accepted Accounting Principles (“U.S. GAAP”) for interim financial statements. Accordingly, certain information and footnote disclosures required by U.S. GAAP have been condensed or omitted in these unaudited condensed consolidated interim financial statements pursuant to such rules and regulation. In management’s opinion, these unaudited condensed consolidated interim financial statements include all adjustments of a normal recurring nature necessary for the fair presentation of the Company’s statement of financial position, operating results for the periods presented, comprehensive loss, shareholder’s equity and cash flows for the interim periods, but are not necessarily indicative of the results of operations to be expected for the full year ending December 31, 2023 or for any other period. These unaudited condensed consolidated interim financial statements should be read in conjunction with the audited annual consolidated financial statements for the year ended December 31, 2022. The Company has applied the same accounting policies as in the prior year, except as disclosed below.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Use of Estimates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that affect the reported amounts in the consolidated financial statements and the notes thereto. Significant estimates and assumptions reflected in these condensed consolidated interim financial statements include, but are not limited to, the evaluation of going concern, the valuation of share-based payments, including valuation of incentive stock options (Note 10), as well as the valuation of warrants liability (Note 9), the valuation of the investment in Low Carbon Royalties Inc. (“Low Carbon Royalties”) (Note 6) and the valuation of leases (Note 5). Actual results could differ materially from those estimates.</w:t>
      </w:r>
    </w:p>
    <w:p>
      <w:pPr>
        <w:pStyle w:val="TextBody"/>
        <w:bidi w:val="0"/>
        <w:spacing w:before="0" w:after="240"/>
        <w:ind w:left="0" w:right="0" w:hanging="0"/>
        <w:jc w:val="left"/>
        <w:rPr>
          <w:rFonts w:ascii="Times New Roman;Times;serif" w:hAnsi="Times New Roman;Times;serif"/>
          <w:b/>
          <w:sz w:val="20"/>
        </w:rPr>
      </w:pPr>
      <w:bookmarkStart w:id="913" w:name="_ac6ca28e_c4e5_4188_a76f_29c0b947d91e_5"/>
      <w:bookmarkStart w:id="914" w:name="_ac6ca28e_c4e5_4188_a76f_29c0b947d91e_4"/>
      <w:bookmarkStart w:id="915" w:name="_ac6ca28e_c4e5_4188_a76f_29c0b947d91e_3"/>
      <w:bookmarkStart w:id="916" w:name="_ac6ca28e_c4e5_4188_a76f_29c0b947d91e_2"/>
      <w:bookmarkStart w:id="917" w:name="_ac6ca28e_c4e5_4188_a76f_29c0b947d91e"/>
      <w:bookmarkStart w:id="918" w:name="_841d8fbc_b8cc_46d2_bcc0_c9aec99c1c2d_5"/>
      <w:bookmarkStart w:id="919" w:name="_841d8fbc_b8cc_46d2_bcc0_c9aec99c1c2d_4"/>
      <w:bookmarkStart w:id="920" w:name="_841d8fbc_b8cc_46d2_bcc0_c9aec99c1c2d_3"/>
      <w:bookmarkStart w:id="921" w:name="_841d8fbc_b8cc_46d2_bcc0_c9aec99c1c2d_2"/>
      <w:bookmarkStart w:id="922" w:name="_841d8fbc_b8cc_46d2_bcc0_c9aec99c1c2d"/>
      <w:bookmarkStart w:id="923" w:name="_cd556260_7374_4d07_912c_acbdd9c2271f_5"/>
      <w:bookmarkStart w:id="924" w:name="_cd556260_7374_4d07_912c_acbdd9c2271f_4"/>
      <w:bookmarkStart w:id="925" w:name="_cd556260_7374_4d07_912c_acbdd9c2271f_3"/>
      <w:bookmarkStart w:id="926" w:name="_cd556260_7374_4d07_912c_acbdd9c2271f_2"/>
      <w:bookmarkStart w:id="927" w:name="_cd556260_7374_4d07_912c_acbdd9c2271f"/>
      <w:bookmarkStart w:id="928" w:name="_960ea22b_fa63_4a2b_8406_7fe46df50872_5"/>
      <w:bookmarkStart w:id="929" w:name="_960ea22b_fa63_4a2b_8406_7fe46df50872_4"/>
      <w:bookmarkStart w:id="930" w:name="_960ea22b_fa63_4a2b_8406_7fe46df50872_3"/>
      <w:bookmarkStart w:id="931" w:name="_960ea22b_fa63_4a2b_8406_7fe46df50872_2"/>
      <w:bookmarkStart w:id="932" w:name="_960ea22b_fa63_4a2b_8406_7fe46df50872"/>
      <w:bookmarkStart w:id="933" w:name="_9bcb08db_4912_4d2c_94df_475f28813d74_5"/>
      <w:bookmarkStart w:id="934" w:name="_9bcb08db_4912_4d2c_94df_475f28813d74_4"/>
      <w:bookmarkStart w:id="935" w:name="_9bcb08db_4912_4d2c_94df_475f28813d74_3"/>
      <w:bookmarkStart w:id="936" w:name="_9bcb08db_4912_4d2c_94df_475f28813d74_2"/>
      <w:bookmarkStart w:id="937" w:name="_9bcb08db_4912_4d2c_94df_475f28813d74"/>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r>
        <w:rPr>
          <w:rFonts w:ascii="Times New Roman;Times;serif" w:hAnsi="Times New Roman;Times;serif"/>
          <w:b/>
          <w:i w:val="false"/>
          <w:caps w:val="false"/>
          <w:smallCaps w:val="false"/>
          <w:sz w:val="20"/>
        </w:rPr>
        <w:t>4.</w:t>
      </w:r>
      <w:r>
        <w:rPr>
          <w:rFonts w:ascii="Times New Roman;Times;serif" w:hAnsi="Times New Roman;Times;serif"/>
          <w:b/>
          <w:sz w:val="20"/>
        </w:rPr>
        <w:t>Fair Value of Financial Instruments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measures fair value as the price that would be received to sell an asset or paid to transfer a liability in an orderly transaction between market participants at the reporting date. In accordance with US GAAP, the Company utilizes a three-tier hierarchy, which prioritizes the inputs used in the valuation methodologies in measuring fair value: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Level 1</w:t>
            </w:r>
            <w:r>
              <w:rPr>
                <w:caps w:val="false"/>
                <w:smallCaps w:val="false"/>
              </w:rPr>
              <w:t> </w:t>
            </w:r>
            <w:r>
              <w:rPr>
                <w:rFonts w:ascii="Times New Roman;Times;serif" w:hAnsi="Times New Roman;Times;serif"/>
                <w:b w:val="false"/>
                <w:i w:val="false"/>
                <w:caps w:val="false"/>
                <w:smallCaps w:val="false"/>
                <w:sz w:val="20"/>
              </w:rPr>
              <w:t>- Valuations based on quoted prices in active markets for identical assets or liabilities that an entity has the ability to access.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Level 2</w:t>
            </w:r>
            <w:r>
              <w:rPr>
                <w:caps w:val="false"/>
                <w:smallCaps w:val="false"/>
              </w:rPr>
              <w:t> </w:t>
            </w:r>
            <w:r>
              <w:rPr>
                <w:rFonts w:ascii="Times New Roman;Times;serif" w:hAnsi="Times New Roman;Times;serif"/>
                <w:b w:val="false"/>
                <w:i w:val="false"/>
                <w:caps w:val="false"/>
                <w:smallCaps w:val="false"/>
                <w:sz w:val="20"/>
              </w:rPr>
              <w:t>- Valuations based on quoted prices for similar assets or liabilities, quoted prices for identical assets or liabilities in markets that are not active, or other inputs that are observable or can be corroborated by observable data for substantially the full term of the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Level 3</w:t>
            </w:r>
            <w:r>
              <w:rPr>
                <w:caps w:val="false"/>
                <w:smallCaps w:val="false"/>
              </w:rPr>
              <w:t> </w:t>
            </w:r>
            <w:r>
              <w:rPr>
                <w:rFonts w:ascii="Times New Roman;Times;serif" w:hAnsi="Times New Roman;Times;serif"/>
                <w:b w:val="false"/>
                <w:i w:val="false"/>
                <w:caps w:val="false"/>
                <w:smallCaps w:val="false"/>
                <w:sz w:val="20"/>
              </w:rPr>
              <w:t>- Valuations based on inputs that are supported by little or no market activity and that are significant to the fair value of the assets or liabilities.</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There were no transfers between fair value measurement levels during the three and nine months ended September 30, 2023, and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TMC the metals company Inc.</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Notes to Condensed Consolidated Financial Statements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(in thousands of US Dollars, except share and per share amounts and unless otherwise stated)</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(Unaudited)</w:t>
      </w:r>
    </w:p>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September 30, 2023, and December 31, 2022, the carrying values of cash, receivables, and accounts payable and accrued liabilities approximate their fair values due to the short-term nature of these instruments. The financial instruments also include public and private warrants issued by the Company. These warrants are valued at fair value, which is disclosed in Note 9.</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5.</w:t>
      </w:r>
      <w:r>
        <w:rPr>
          <w:rFonts w:ascii="Times New Roman;Times;serif" w:hAnsi="Times New Roman;Times;serif"/>
          <w:b/>
          <w:sz w:val="20"/>
        </w:rPr>
        <w:t>Significant Accounting Policies Adopted During the Period</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Investments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Company consolidates investments over which it has control in accordance with Accounting Standards Codification (“ASC”) 810, </w:t>
      </w:r>
      <w:r>
        <w:rPr>
          <w:rFonts w:ascii="Times New Roman;Times;serif" w:hAnsi="Times New Roman;Times;serif"/>
          <w:i/>
          <w:sz w:val="20"/>
        </w:rPr>
        <w:t>Consolidation</w:t>
      </w:r>
      <w:r>
        <w:rPr>
          <w:rFonts w:ascii="Times New Roman;Times;serif" w:hAnsi="Times New Roman;Times;serif"/>
          <w:sz w:val="20"/>
        </w:rPr>
        <w:t xml:space="preserve"> (“ASC 810”). Where the Company does not have control over the investment, but has significant influence, the Company records the investment in accordance with ASC 323, </w:t>
      </w:r>
      <w:r>
        <w:rPr>
          <w:rFonts w:ascii="Times New Roman;Times;serif" w:hAnsi="Times New Roman;Times;serif"/>
          <w:i/>
          <w:sz w:val="20"/>
        </w:rPr>
        <w:t>Investments-Equity Method and Joint Ventures</w:t>
      </w:r>
      <w:r>
        <w:rPr>
          <w:rFonts w:ascii="Times New Roman;Times;serif" w:hAnsi="Times New Roman;Times;serif"/>
          <w:sz w:val="20"/>
        </w:rPr>
        <w:t xml:space="preserve"> (“ASC 323”) whereby, after recording the initial investment, the Company recognizes its proportional share of results of operations of the affiliate in its consolidated financial statements. The value of the equity method investments is impaired if it is determined that there is an other-than-temporary decline in value.  Investments over which the Company does not have control nor significant influence are recorded at cost.</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Company records leases in accordance with ASC 842, </w:t>
      </w:r>
      <w:r>
        <w:rPr>
          <w:rFonts w:ascii="Times New Roman;Times;serif" w:hAnsi="Times New Roman;Times;serif"/>
          <w:i/>
          <w:sz w:val="20"/>
        </w:rPr>
        <w:t>Leases,</w:t>
      </w:r>
      <w:r>
        <w:rPr>
          <w:rFonts w:ascii="Times New Roman;Times;serif" w:hAnsi="Times New Roman;Times;serif"/>
          <w:sz w:val="20"/>
        </w:rPr>
        <w:t xml:space="preserve"> and determines if an arrangement contains a lease at inception. If an arrangement contains a lease, the Company performs a lease classification test to determine if the lease is an operating lease or a finance lease. Right-of-use (“ROU”) assets represent the right to use an underlying asset for the lease term and lease liabilities represent the Company’s obligation to make lease payments arising from the lease. Lease payments consist of i) fixed payments, less any lease incentives, ii) variable payments, that depend on an index or a rate, iii) exercise price of an option to purchase the underlying asset, iv) payment for penalties for terminating the lease, v) fees disbursed to the owners of special-purpose entities for structuring the transaction, and vi) amounts that are highly probable to be owed under residual value guarantees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Operating lease liabilities are recognized on the commencement date of the lease based on the present value of the future lease payments over the lease term. Operating lease liabilities due within the subsequent 12 months of the reporting date are classified as current lease liabilities and are included in accounts payable and accrued liabilities on the Company’s condensed consolidated balance sheet. Operating lease liabilities payable after the subsequent 12 months of the reporting date are classified as non-current lease liabilities and are presented as non-current lease liability in the condensed consolidated balance sheet.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ROU assets are valued at the initial measurement of the lease liability, plus any indirect costs or rent prepayments, and reduced by any lease incentives and any deferred lease payments. Operating ROU assets are recorded as right-of-use assets, net of any amortization on the condensed consolidated balance sheet and are amortized over the lease term. Lease expense is recognized on a straight-line basis over the life of the lease and, depending on the nature of the ROU asset, is either included in exploration and evaluation expenses or in general and administrative expenses. The Company subsequently measures the right-of-use asset for an operating lease at the amount of the remeasured lease liability (i.e. the present value of the remaining lease payments), adjusted for the remaining balance of any lease incentives received, any cumulative prepaid or accrued rent if the lease payments are uneven throughout the lease term and any unamortized initial direct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TMC the metals company Inc.</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Notes to Condensed Consolidated Financial Statements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(in thousands of US Dollars, except share and per share amounts and unless otherwise stated)</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w:t>
      </w:r>
      <w:r>
        <w:rPr>
          <w:rFonts w:ascii="Times New Roman;Times;serif" w:hAnsi="Times New Roman;Times;serif"/>
          <w:b/>
          <w:sz w:val="20"/>
        </w:rPr>
        <w:t>Strategic Partnerships</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Strategic Alliance with Allseas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February 13, 2023, the Company entered into a Fifth Amendment to the Pilot Mining Test Agreement (the “PMTA”) and Third Amendment to Strategic Alliance Agreement (together with the PMTA, the “Amendments”), which was effective as of February 8, 2023, with DGE, DeepGreen Metals Inc. and Allseas. The Amendments relate to the Company’s settlement of the third and final payment of $10 million due to Allseas upon successful completion of the trial of the pilot mining test system (the “PMTS”) in NORI Area D and certain other costs due to Allseas under the PMTA through the issuance of 10,850,000 common shares to Allseas, priced at $1.00 per share. On February 23, 2023, the Company settled the third milestone payment of $10 million and additional PMTS overage charges amounting to $0.9 million by issuing 10.9 million of its common shares to Allseas.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August 1, 2023, the Company entered into an Exclusive Vessel Use Agreement with Allseas pursuant to which Allseas will give exclusive use of the vessel (“</w:t>
      </w:r>
      <w:r>
        <w:rPr>
          <w:rFonts w:ascii="Times New Roman;Times;serif" w:hAnsi="Times New Roman;Times;serif"/>
          <w:i/>
          <w:sz w:val="20"/>
        </w:rPr>
        <w:t>Hidden Gem”</w:t>
      </w:r>
      <w:r>
        <w:rPr>
          <w:rFonts w:ascii="Times New Roman;Times;serif" w:hAnsi="Times New Roman;Times;serif"/>
          <w:sz w:val="20"/>
        </w:rPr>
        <w:t>) to the Company in support of the development of the Project Zero Offshore System until the system is completed or December 31, 2026, whichever is earlier (Note 13). In consideration of the exclusivity term, the Company, on August 14, 2023, issued 4.15 million common shares to Allseas and recorded a right-of-use asset of $6.2 million.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August 9, 2023, 11,578,620 common shares were issued to Allseas upon the exercise of the warrant that were granted to Allseas in March 2021, and receipt of the exercise fee of $115.8 thousand. The warrant vested and became exercisable on successful completion of the PMTS in November 2022 (refer “Allseas Warrant”, Note 9).</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 part of the Registered Direct Offering in August 2023 (Note 8), Allseas purchased 3,500,000 common shares and accompanying Class A Warrants to purchase 1,750,000 Common Shares (Note 9) for a total purchase price of $7 million.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As at September 30, 2023, Allseas owned 52.8 million TMC common shares (2022: 22.7 million TMC common shares) which constituted 17.3% (December 31, 2022: 8.9%) of total common shares outstanding. </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Investment in Low Carbon Royalties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February 21, 2023 (the “Closing Date”), the Company and its wholly-owned subsidiary, NORI, entered into an investment agreement (the “Royalty Agreement”) with Low Carbon Royalties, a private corporation formed under the laws of British Columbia, Canada, to finance low carbon emitting energy production and technologies (natural gas, nuclear, renewables), transition metals and minerals required for energy storage and electrification (Cu, Li, Ni, Co, Mn), and the evolving environmental markets (the “Partnership”). In connection with the Royalty Agreement, NORI contributed a 2% gross overriding royalty (the “NORI Royalty”) on the Company’s NORI project area in the CCZ in which NORI currently holds exclusive exploration rights for polymetallic nodules from the ISA to Low Carbon Royalties. The Company retained the right to repurchase up to 75% of the NORI Royalty at an agreed capped return, exercisable in two transactions, between the second and the tenth anniversaries of the Partnership. If both repurchase transactions are executed, the NORI Royalty will be reduced to 0.5%.  At the Closing Date, Low Carbon Royalties also owned a 1.56% gross overriding royalty on a producing natural gas field in Latin America. In consideration of the NORI Royalty, TMC received 35.0% of the common shares issued by Low Carbon Royalties and $5 million in cash, as of the Closing Date. In connection with the Royalty Agreement the Company entered into an Investor Rights Agreement with Low Carbon Royalties and a shareholder of Low Carbon Royalties, pursuant to which the Company and this shareholder each has a right, subject to certain percentage maintenance, to nominate a director to Low Carbon Royalties’ board of directors, along with registration and information rights.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has accounted for the investment in Low Carbon Royalties in accordance with ASC 323-10 and has thus applied the equity method of accounting to this investment. When considering the royalty liability instrument as well as the embedded repurchase features, management has elected to account for the royalty liability under the fair value option in accordance with ASC 825-10.</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TMC the metals company Inc.</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Notes to Condensed Consolidated Financial Statements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(in thousands of US Dollars, except share and per share amounts and unless otherwise stated)</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(Unaudited)</w:t>
      </w:r>
    </w:p>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bookmarkStart w:id="938" w:name="Tc_UaIZbMjXK0mFPwfoKi_4Qw_6_2"/>
      <w:bookmarkStart w:id="939" w:name="Tc_RLDI6em0nUCQVIaOuRxcFg_6_0"/>
      <w:bookmarkStart w:id="940" w:name="Tc_BhuIE06lfkmjzs0ncVw2gA_5_0"/>
      <w:bookmarkStart w:id="941" w:name="Tc_vU1fWqyrX0yVHoxvBcRddg_4_2"/>
      <w:bookmarkStart w:id="942" w:name="Tc_zGI-_tYY60-gKdyk7SVb8w_4_0"/>
      <w:bookmarkStart w:id="943" w:name="Tc_O5bChDGlhEq7wIef3eouIg_3_2"/>
      <w:bookmarkStart w:id="944" w:name="Tc_Khs5mQlweEeTigOWJ-zzcA_3_0"/>
      <w:bookmarkStart w:id="945" w:name="Tc_nq7cpVV9G0CPXgGISWl52w_2_2"/>
      <w:bookmarkStart w:id="946" w:name="Tc_qXutl7DwgkWYvXNiqOOjaQ_2_0"/>
      <w:bookmarkStart w:id="947" w:name="Tc_7eeURDrt90eOQYCMr8cgoA_1_2"/>
      <w:bookmarkEnd w:id="938"/>
      <w:bookmarkEnd w:id="939"/>
      <w:bookmarkEnd w:id="940"/>
      <w:bookmarkEnd w:id="941"/>
      <w:bookmarkEnd w:id="942"/>
      <w:bookmarkEnd w:id="943"/>
      <w:bookmarkEnd w:id="944"/>
      <w:bookmarkEnd w:id="945"/>
      <w:bookmarkEnd w:id="946"/>
      <w:bookmarkEnd w:id="947"/>
      <w:r>
        <w:rPr>
          <w:rFonts w:ascii="Times New Roman;Times;serif" w:hAnsi="Times New Roman;Times;serif"/>
          <w:sz w:val="20"/>
        </w:rPr>
        <w:t>On March 21, 2023, Low Carbon Royalties acquired additional gross overriding royalties on natural gas fields in Latin America, increasing its total gross overriding royalty on the existing first license block from 1.56% to 3.13% and acquiring a new gross overriding royalty of 1.44% on a second license block.  The royalty acquisitions were financed through the issuance of Low Carbon Royalties common shares to the third-party vendor of such royalties, thereby reducing the Company’s ownership in the Partnership to 32% from 35%.</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Based on the fair value of the NORI Royalty and the cash received on the Closing Date, the Company recorded $9 million as investment in Low Carbon Royalties. For the three and nine months ended September 30, 2023, the Company’s share of the net loss generated by the Low Carbon Royalties was $0.1 million and $0.5 million, respectively.</w:t>
      </w:r>
    </w:p>
    <w:p>
      <w:pPr>
        <w:pStyle w:val="TextBody"/>
        <w:bidi w:val="0"/>
        <w:spacing w:before="0" w:after="0"/>
        <w:ind w:left="0" w:right="0" w:hanging="0"/>
        <w:jc w:val="left"/>
        <w:rPr/>
      </w:pPr>
      <w:r>
        <w:rPr/>
        <w:t>​</w:t>
      </w:r>
    </w:p>
    <w:tbl>
      <w:tblPr>
        <w:tblW w:w="7979" w:type="dxa"/>
        <w:jc w:val="left"/>
        <w:tblInd w:w="0" w:type="dxa"/>
        <w:tblLayout w:type="fixed"/>
        <w:tblCellMar>
          <w:top w:w="0" w:type="dxa"/>
          <w:left w:w="0" w:type="dxa"/>
          <w:bottom w:w="0" w:type="dxa"/>
          <w:right w:w="0" w:type="dxa"/>
        </w:tblCellMar>
      </w:tblPr>
      <w:tblGrid>
        <w:gridCol w:w="6706"/>
        <w:gridCol w:w="326"/>
        <w:gridCol w:w="211"/>
        <w:gridCol w:w="736"/>
      </w:tblGrid>
      <w:tr>
        <w:trPr/>
        <w:tc>
          <w:tcPr>
            <w:tcW w:w="6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258310" cy="175260"/>
                      <wp:effectExtent l="0" t="0" r="0" b="0"/>
                      <wp:wrapNone/>
                      <wp:docPr id="120" name="Frame120"/>
                      <a:graphic xmlns:a="http://schemas.openxmlformats.org/drawingml/2006/main">
                        <a:graphicData uri="http://schemas.microsoft.com/office/word/2010/wordprocessingShape">
                          <wps:wsp>
                            <wps:cNvSpPr txBox="1"/>
                            <wps:spPr>
                              <a:xfrm>
                                <a:off x="0" y="0"/>
                                <a:ext cx="425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67360" cy="175260"/>
                      <wp:effectExtent l="0" t="0" r="0" b="0"/>
                      <wp:wrapNone/>
                      <wp:docPr id="123" name="Frame12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Investment</w:t>
            </w:r>
          </w:p>
        </w:tc>
      </w:tr>
      <w:tr>
        <w:trPr/>
        <w:tc>
          <w:tcPr>
            <w:tcW w:w="6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NORI Royalty</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14,000</w:t>
            </w:r>
          </w:p>
        </w:tc>
      </w:tr>
      <w:tr>
        <w:trPr/>
        <w:tc>
          <w:tcPr>
            <w:tcW w:w="6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received</w:t>
            </w:r>
          </w:p>
        </w:tc>
        <w:tc>
          <w:tcPr>
            <w:tcW w:w="32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r>
      <w:tr>
        <w:trPr/>
        <w:tc>
          <w:tcPr>
            <w:tcW w:w="6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Investment on Closing Date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9,000</w:t>
            </w:r>
          </w:p>
        </w:tc>
      </w:tr>
      <w:tr>
        <w:trPr/>
        <w:tc>
          <w:tcPr>
            <w:tcW w:w="6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Equity-accounted investment loss for the nine months ended September 30, 2023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w:t>
            </w:r>
          </w:p>
        </w:tc>
      </w:tr>
      <w:tr>
        <w:trPr/>
        <w:tc>
          <w:tcPr>
            <w:tcW w:w="67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Investment as at September 30, 2023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8,525</w:t>
            </w:r>
          </w:p>
        </w:tc>
      </w:tr>
    </w:tbl>
    <w:p>
      <w:pPr>
        <w:pStyle w:val="TextBody"/>
        <w:bidi w:val="0"/>
        <w:spacing w:before="0" w:after="0"/>
        <w:ind w:left="36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net consideration received of $14 million exceeded the NORI Exploration Contract’s carrying value of $0.25 million, resulting in a gain on disposition of asset of $13.75 million recorded in the Company’s first quarter of 2023 statements of loss and comprehensive loss. NORI is in the exploration phase of the project and under the Company’s policy, exploration spending is expensed.</w:t>
      </w:r>
    </w:p>
    <w:p>
      <w:pPr>
        <w:pStyle w:val="TextBody"/>
        <w:bidi w:val="0"/>
        <w:spacing w:before="0" w:after="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948" w:name="Tc_m_bbyAWbCEyMy_o5uprGqA_11_11"/>
      <w:bookmarkStart w:id="949" w:name="Tc_hT_iFD46zEuw633vTsWDKg_11_8"/>
      <w:bookmarkStart w:id="950" w:name="Tc_8IPCywrSEUaVOkczWg1o_Q_11_5"/>
      <w:bookmarkStart w:id="951" w:name="Tc_EtZoAmICz0i4sVXVxv1Tug_11_2"/>
      <w:bookmarkStart w:id="952" w:name="Tc_kvd_2to9xkSmzlTEqTl3Dw_10_0"/>
      <w:bookmarkStart w:id="953" w:name="Tc_B1fEDCTjb0mmns5qGfzvcA_9_0"/>
      <w:bookmarkStart w:id="954" w:name="Tc_cvSKjfTD_UW8pMUdE0YeOA_8_0"/>
      <w:bookmarkStart w:id="955" w:name="Tc_DrERnKLsvE28Nmu8_NL1xw_7_0"/>
      <w:bookmarkStart w:id="956" w:name="Tc_8ZFi0PcfqkWI7IA0vrxkSA_6_0"/>
      <w:bookmarkStart w:id="957" w:name="Tc_W-VHkGT-gEuFkAmzyvicLA_5_0"/>
      <w:bookmarkStart w:id="958" w:name="Tc_FY2KXipC-0u7n_kuxT_kfg_4_11"/>
      <w:bookmarkStart w:id="959" w:name="Tc_NEzJS3VB9EaqKpn4VdE5RQ_4_9"/>
      <w:bookmarkStart w:id="960" w:name="Tc_htDEtUfxk0uLDDG08dTZMg_4_8"/>
      <w:bookmarkStart w:id="961" w:name="Tc_wx6e4mzKPk6-rnXriJJhQA_4_6"/>
      <w:bookmarkStart w:id="962" w:name="Tc_BACnHe_2p0Og2VefzmdSmQ_4_5"/>
      <w:bookmarkStart w:id="963" w:name="Tc_wsw60DAW5kC87dvotDZHzQ_4_2"/>
      <w:bookmarkStart w:id="964" w:name="Tc_pb4_nrnSyU-xiyBUo3mK_A_4_0"/>
      <w:bookmarkStart w:id="965" w:name="Tc_MGG7rFZSR0OPTrOjGpjs4g_3_11"/>
      <w:bookmarkStart w:id="966" w:name="Tc_3ofI2jvpXk2Tp_NQHUL5iQ_3_8"/>
      <w:bookmarkStart w:id="967" w:name="Tc_7h8YlhjMNk-7izfTl1_H8A_3_5"/>
      <w:bookmarkStart w:id="968" w:name="Tc_LFz2K6SIcUWTe6gQSlEU8w_3_2"/>
      <w:bookmarkStart w:id="969" w:name="Tc_BhFmOmTANkqK8whmHi1uew_3_0"/>
      <w:bookmarkStart w:id="970" w:name="Tc_PJcmL2KUWkK_A9anijsp8Q_2_8"/>
      <w:bookmarkStart w:id="971" w:name="Tc_sMfz1CIClEOde1Xwtw3xsQ_2_5"/>
      <w:bookmarkStart w:id="972" w:name="Tc_zpm4Yu5tCUGLUvorz-gNZA_2_2"/>
      <w:bookmarkStart w:id="973" w:name="Tc_k2eiwEICzky3ZMtjCmBYDw_1_8"/>
      <w:bookmarkStart w:id="974" w:name="Tc_ybfpavrAwUCOPDelOUBPQg_1_5"/>
      <w:bookmarkStart w:id="975" w:name="Tc_adx6ivw1zU2RgibtlcXSPg_1_2"/>
      <w:bookmarkStart w:id="976" w:name="_df3a63ad_e6a0_4752_a0d1_c8f85b28cfc8"/>
      <w:bookmarkStart w:id="977" w:name="Tc_HMIgsGu4yUWnUsLOooeuUg_11_11"/>
      <w:bookmarkStart w:id="978" w:name="Tc_TkmbSrJiLkOidiNxpCXj3g_11_8"/>
      <w:bookmarkStart w:id="979" w:name="Tc_Oo_enLo8rkigV0Kabm9Tcw_11_5"/>
      <w:bookmarkStart w:id="980" w:name="Tc_I7bpZMsWOUmSDicB0B47Gg_11_2"/>
      <w:bookmarkStart w:id="981" w:name="Tc_peON_OyotEi2yyFsCc4R_w_10_6"/>
      <w:bookmarkStart w:id="982" w:name="Tc_lxaeHKw6MUaXdPwtW_r3bA_10_0"/>
      <w:bookmarkStart w:id="983" w:name="Tc_yziGViA-x0i-N9fjZpZhRQ_9_0"/>
      <w:bookmarkStart w:id="984" w:name="Tc_NTKozkgQoEuFa695TP3R-w_8_9"/>
      <w:bookmarkStart w:id="985" w:name="Tc_8nHjCgJOxkCfBnLL6x2kXw_8_6"/>
      <w:bookmarkStart w:id="986" w:name="Tc_qZgRwBEVf0aVL0E3r8XpJg_8_0"/>
      <w:bookmarkStart w:id="987" w:name="Tc_aQiBNmS5bESDmDzl6Khjgg_7_6"/>
      <w:bookmarkStart w:id="988" w:name="Tc_J5rmDJOGoUWbx_LyaynKFA_7_0"/>
      <w:bookmarkStart w:id="989" w:name="Tc_0rBLx7Fub0aXTC2p6MnZ1g_6_0"/>
      <w:bookmarkStart w:id="990" w:name="Tc_M5K3P-wvcEip9-9DFsfrjg_5_0"/>
      <w:bookmarkStart w:id="991" w:name="Tc_XsYq-yJvcUKissuyPW2YGA_4_11"/>
      <w:bookmarkStart w:id="992" w:name="Tc_-I9ATUmi3ECxOmB72-lTKQ_4_9"/>
      <w:bookmarkStart w:id="993" w:name="Tc_tpBlb0prqE6ZFbMoIxHYuA_4_8"/>
      <w:bookmarkStart w:id="994" w:name="Tc_bJAqvCy8Nk-mn2zqQcBriA_4_6"/>
      <w:bookmarkStart w:id="995" w:name="Tc_M-looACYWk2BHdHvyyrajw_4_5"/>
      <w:bookmarkStart w:id="996" w:name="Tc_qCXMMgeICUOnnoQZhcB8OQ_4_2"/>
      <w:bookmarkStart w:id="997" w:name="Tc_tEwEovDGB0Oel7UZssfhvQ_4_0"/>
      <w:bookmarkStart w:id="998" w:name="Tc_UonkGLYBWEmH_18yUE9Zdw_3_11"/>
      <w:bookmarkStart w:id="999" w:name="Tc_Zexivo00vkG0ekupGK7iIw_3_8"/>
      <w:bookmarkStart w:id="1000" w:name="Tc_lf4JciL7x0yRqVTGzwq6ag_3_5"/>
      <w:bookmarkStart w:id="1001" w:name="Tc_ZHRuBVJ1206NSmcXj2lN2g_3_2"/>
      <w:bookmarkStart w:id="1002" w:name="Tc_kYENpt5nI0uSUiuz4v8oGg_3_0"/>
      <w:bookmarkStart w:id="1003" w:name="Tc_by-HSBGxyE2ILFnkFJRQ9Q_2_8"/>
      <w:bookmarkStart w:id="1004" w:name="Tc_RL1Z0-L37keWgDDNX4MOAQ_2_5"/>
      <w:bookmarkStart w:id="1005" w:name="Tc_Sw4vKCk2eEu2k6Z433SnDQ_2_2"/>
      <w:bookmarkStart w:id="1006" w:name="Tc_DnkZRzN8C0qpyh4fH1gNPw_1_8"/>
      <w:bookmarkStart w:id="1007" w:name="Tc_O0Z7Qm_EVUO6PkU6zHPgAw_1_5"/>
      <w:bookmarkStart w:id="1008" w:name="Tc_OuPXNoeQOkCXvx-a_1fIIA_1_2"/>
      <w:bookmarkStart w:id="1009" w:name="_359a9812_fb47_4e2d_a6ad_482fc19f4e58"/>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r>
        <w:rPr>
          <w:rFonts w:ascii="Times New Roman;Times;serif" w:hAnsi="Times New Roman;Times;serif"/>
          <w:b/>
          <w:i w:val="false"/>
          <w:caps w:val="false"/>
          <w:smallCaps w:val="false"/>
          <w:sz w:val="20"/>
        </w:rPr>
        <w:t>7.</w:t>
      </w:r>
      <w:r>
        <w:rPr>
          <w:rFonts w:ascii="Times New Roman;Times;serif" w:hAnsi="Times New Roman;Times;serif"/>
          <w:b/>
          <w:sz w:val="20"/>
        </w:rPr>
        <w:t>Exploration and Evaluation Expenses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detail of exploration and evaluation expenses is as follows:</w:t>
      </w:r>
    </w:p>
    <w:p>
      <w:pPr>
        <w:pStyle w:val="TextBody"/>
        <w:bidi w:val="0"/>
        <w:spacing w:before="0" w:after="0"/>
        <w:ind w:left="0" w:right="0" w:hanging="0"/>
        <w:jc w:val="left"/>
        <w:rPr/>
      </w:pPr>
      <w:r>
        <w:rPr/>
        <w:t>​</w:t>
      </w:r>
    </w:p>
    <w:tbl>
      <w:tblPr>
        <w:tblW w:w="9395" w:type="dxa"/>
        <w:jc w:val="left"/>
        <w:tblInd w:w="0" w:type="dxa"/>
        <w:tblLayout w:type="fixed"/>
        <w:tblCellMar>
          <w:top w:w="0" w:type="dxa"/>
          <w:left w:w="0" w:type="dxa"/>
          <w:bottom w:w="0" w:type="dxa"/>
          <w:right w:w="0" w:type="dxa"/>
        </w:tblCellMar>
      </w:tblPr>
      <w:tblGrid>
        <w:gridCol w:w="4351"/>
        <w:gridCol w:w="326"/>
        <w:gridCol w:w="263"/>
        <w:gridCol w:w="713"/>
        <w:gridCol w:w="326"/>
        <w:gridCol w:w="299"/>
        <w:gridCol w:w="602"/>
        <w:gridCol w:w="326"/>
        <w:gridCol w:w="325"/>
        <w:gridCol w:w="651"/>
        <w:gridCol w:w="326"/>
        <w:gridCol w:w="211"/>
        <w:gridCol w:w="676"/>
      </w:tblGrid>
      <w:tr>
        <w:trPr/>
        <w:tc>
          <w:tcPr>
            <w:tcW w:w="4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762885" cy="175260"/>
                      <wp:effectExtent l="0" t="0" r="0" b="0"/>
                      <wp:wrapNone/>
                      <wp:docPr id="124" name="Frame124"/>
                      <a:graphic xmlns:a="http://schemas.openxmlformats.org/drawingml/2006/main">
                        <a:graphicData uri="http://schemas.microsoft.com/office/word/2010/wordprocessingShape">
                          <wps:wsp>
                            <wps:cNvSpPr txBox="1"/>
                            <wps:spPr>
                              <a:xfrm>
                                <a:off x="0" y="0"/>
                                <a:ext cx="2762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5"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67005" cy="175260"/>
                      <wp:effectExtent l="0" t="0" r="0" b="0"/>
                      <wp:wrapNone/>
                      <wp:docPr id="126" name="Frame126"/>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452755" cy="175260"/>
                      <wp:effectExtent l="0" t="0" r="0" b="0"/>
                      <wp:wrapNone/>
                      <wp:docPr id="127" name="Frame127"/>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89865" cy="175260"/>
                      <wp:effectExtent l="0" t="0" r="0" b="0"/>
                      <wp:wrapNone/>
                      <wp:docPr id="129" name="Frame129"/>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382270" cy="175260"/>
                      <wp:effectExtent l="0" t="0" r="0" b="0"/>
                      <wp:wrapNone/>
                      <wp:docPr id="130" name="Frame130"/>
                      <a:graphic xmlns:a="http://schemas.openxmlformats.org/drawingml/2006/main">
                        <a:graphicData uri="http://schemas.microsoft.com/office/word/2010/wordprocessingShape">
                          <wps:wsp>
                            <wps:cNvSpPr txBox="1"/>
                            <wps:spPr>
                              <a:xfrm>
                                <a:off x="0" y="0"/>
                                <a:ext cx="382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31" name="Frame1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6375" cy="175260"/>
                      <wp:effectExtent l="0" t="0" r="0" b="0"/>
                      <wp:wrapNone/>
                      <wp:docPr id="132" name="Frame132"/>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413385" cy="175260"/>
                      <wp:effectExtent l="0" t="0" r="0" b="0"/>
                      <wp:wrapNone/>
                      <wp:docPr id="133" name="Frame133"/>
                      <a:graphic xmlns:a="http://schemas.openxmlformats.org/drawingml/2006/main">
                        <a:graphicData uri="http://schemas.microsoft.com/office/word/2010/wordprocessingShape">
                          <wps:wsp>
                            <wps:cNvSpPr txBox="1"/>
                            <wps:spPr>
                              <a:xfrm>
                                <a:off x="0" y="0"/>
                                <a:ext cx="413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5" name="Frame1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429260" cy="175260"/>
                      <wp:effectExtent l="0" t="0" r="0" b="0"/>
                      <wp:wrapNone/>
                      <wp:docPr id="136" name="Frame13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NORI</w:t>
            </w:r>
          </w:p>
        </w:tc>
        <w:tc>
          <w:tcPr>
            <w:tcW w:w="32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Marawa</w:t>
            </w:r>
          </w:p>
        </w:tc>
        <w:tc>
          <w:tcPr>
            <w:tcW w:w="32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TOML</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r>
      <w:tr>
        <w:trPr/>
        <w:tc>
          <w:tcPr>
            <w:tcW w:w="4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Exploration</w:t>
            </w:r>
          </w:p>
        </w:tc>
        <w:tc>
          <w:tcPr>
            <w:tcW w:w="32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Option</w:t>
            </w:r>
          </w:p>
        </w:tc>
        <w:tc>
          <w:tcPr>
            <w:tcW w:w="32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Exploration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r>
      <w:tr>
        <w:trPr/>
        <w:tc>
          <w:tcPr>
            <w:tcW w:w="43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For the three months ended September 30, 2023</w:t>
            </w:r>
          </w:p>
        </w:tc>
        <w:tc>
          <w:tcPr>
            <w:tcW w:w="326" w:type="dxa"/>
            <w:tcBorders/>
            <w:vAlign w:val="center"/>
          </w:tcPr>
          <w:p>
            <w:pPr>
              <w:pStyle w:val="TableContents"/>
              <w:bidi w:val="0"/>
              <w:spacing w:before="0" w:after="1"/>
              <w:ind w:left="0" w:right="0" w:hanging="0"/>
              <w:jc w:val="left"/>
              <w:rPr/>
            </w:pPr>
            <w:r>
              <w:rPr/>
              <w:t>    </w:t>
            </w:r>
          </w:p>
        </w:tc>
        <w:tc>
          <w:tcPr>
            <w:tcW w:w="976"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Contract</w:t>
            </w:r>
          </w:p>
        </w:tc>
        <w:tc>
          <w:tcPr>
            <w:tcW w:w="326" w:type="dxa"/>
            <w:tcBorders/>
            <w:vAlign w:val="center"/>
          </w:tcPr>
          <w:p>
            <w:pPr>
              <w:pStyle w:val="TableContents"/>
              <w:bidi w:val="0"/>
              <w:spacing w:before="0" w:after="1"/>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Agreement</w:t>
            </w:r>
          </w:p>
        </w:tc>
        <w:tc>
          <w:tcPr>
            <w:tcW w:w="326" w:type="dxa"/>
            <w:tcBorders/>
            <w:vAlign w:val="center"/>
          </w:tcPr>
          <w:p>
            <w:pPr>
              <w:pStyle w:val="TableContents"/>
              <w:bidi w:val="0"/>
              <w:spacing w:before="0" w:after="1"/>
              <w:ind w:left="0" w:right="0" w:hanging="0"/>
              <w:jc w:val="left"/>
              <w:rPr/>
            </w:pPr>
            <w:r>
              <w:rPr/>
              <w:t>    </w:t>
            </w:r>
          </w:p>
        </w:tc>
        <w:tc>
          <w:tcPr>
            <w:tcW w:w="976"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Contract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Total</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Environmental Studies</w:t>
            </w:r>
          </w:p>
        </w:tc>
        <w:tc>
          <w:tcPr>
            <w:tcW w:w="326" w:type="dxa"/>
            <w:tcBorders/>
            <w:shd w:fill="CCEEFF" w:val="clear"/>
            <w:vAlign w:val="center"/>
          </w:tcPr>
          <w:p>
            <w:pPr>
              <w:pStyle w:val="TableContents"/>
              <w:bidi w:val="0"/>
              <w:spacing w:before="0" w:after="1"/>
              <w:ind w:left="0" w:right="0" w:hanging="0"/>
              <w:jc w:val="left"/>
              <w:rPr/>
            </w:pPr>
            <w:r>
              <w:rPr/>
              <w:t> </w:t>
            </w:r>
          </w:p>
        </w:tc>
        <w:tc>
          <w:tcPr>
            <w:tcW w:w="2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906</w:t>
            </w:r>
          </w:p>
        </w:tc>
        <w:tc>
          <w:tcPr>
            <w:tcW w:w="326" w:type="dxa"/>
            <w:tcBorders/>
            <w:shd w:fill="CCEEFF" w:val="clear"/>
            <w:vAlign w:val="center"/>
          </w:tcPr>
          <w:p>
            <w:pPr>
              <w:pStyle w:val="TableContents"/>
              <w:bidi w:val="0"/>
              <w:spacing w:before="0" w:after="1"/>
              <w:ind w:left="0" w:right="0" w:hanging="0"/>
              <w:jc w:val="left"/>
              <w:rPr/>
            </w:pPr>
            <w:r>
              <w:rPr/>
              <w:t> </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906</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Exploration Labor</w:t>
            </w:r>
          </w:p>
        </w:tc>
        <w:tc>
          <w:tcPr>
            <w:tcW w:w="326" w:type="dxa"/>
            <w:tcBorders/>
            <w:vAlign w:val="center"/>
          </w:tcPr>
          <w:p>
            <w:pPr>
              <w:pStyle w:val="TableContents"/>
              <w:bidi w:val="0"/>
              <w:spacing w:before="0" w:after="1"/>
              <w:ind w:left="0" w:right="0" w:hanging="0"/>
              <w:jc w:val="left"/>
              <w:rPr/>
            </w:pPr>
            <w:r>
              <w:rPr/>
              <w:t> </w:t>
            </w:r>
          </w:p>
        </w:tc>
        <w:tc>
          <w:tcPr>
            <w:tcW w:w="263" w:type="dxa"/>
            <w:tcBorders/>
            <w:vAlign w:val="center"/>
          </w:tcPr>
          <w:p>
            <w:pPr>
              <w:pStyle w:val="TableContents"/>
              <w:bidi w:val="0"/>
              <w:spacing w:before="0" w:after="1"/>
              <w:ind w:left="0" w:right="0" w:hanging="0"/>
              <w:jc w:val="left"/>
              <w:rPr/>
            </w:pPr>
            <w:r>
              <w:rPr/>
              <w:t>​</w:t>
            </w:r>
          </w:p>
        </w:tc>
        <w:tc>
          <w:tcPr>
            <w:tcW w:w="7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1,392</w:t>
            </w:r>
          </w:p>
        </w:tc>
        <w:tc>
          <w:tcPr>
            <w:tcW w:w="326" w:type="dxa"/>
            <w:tcBorders/>
            <w:vAlign w:val="center"/>
          </w:tcPr>
          <w:p>
            <w:pPr>
              <w:pStyle w:val="TableContents"/>
              <w:bidi w:val="0"/>
              <w:spacing w:before="0" w:after="1"/>
              <w:ind w:left="0" w:right="0" w:hanging="0"/>
              <w:jc w:val="left"/>
              <w:rPr/>
            </w:pPr>
            <w:r>
              <w:rPr/>
              <w:t> </w:t>
            </w:r>
          </w:p>
        </w:tc>
        <w:tc>
          <w:tcPr>
            <w:tcW w:w="299" w:type="dxa"/>
            <w:tcBorders/>
            <w:vAlign w:val="center"/>
          </w:tcPr>
          <w:p>
            <w:pPr>
              <w:pStyle w:val="TableContents"/>
              <w:bidi w:val="0"/>
              <w:spacing w:before="0" w:after="1"/>
              <w:ind w:left="0" w:right="0" w:hanging="0"/>
              <w:jc w:val="left"/>
              <w:rPr/>
            </w:pPr>
            <w:r>
              <w:rPr/>
              <w:t>​</w:t>
            </w:r>
          </w:p>
        </w:tc>
        <w:tc>
          <w:tcPr>
            <w:tcW w:w="6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vAlign w:val="center"/>
          </w:tcPr>
          <w:p>
            <w:pPr>
              <w:pStyle w:val="TableContents"/>
              <w:bidi w:val="0"/>
              <w:spacing w:before="0" w:after="1"/>
              <w:ind w:left="0" w:right="0" w:hanging="0"/>
              <w:jc w:val="left"/>
              <w:rPr/>
            </w:pPr>
            <w:r>
              <w:rPr/>
              <w:t> </w:t>
            </w:r>
          </w:p>
        </w:tc>
        <w:tc>
          <w:tcPr>
            <w:tcW w:w="325" w:type="dxa"/>
            <w:tcBorders/>
            <w:vAlign w:val="center"/>
          </w:tcPr>
          <w:p>
            <w:pPr>
              <w:pStyle w:val="TableContents"/>
              <w:bidi w:val="0"/>
              <w:spacing w:before="0" w:after="1"/>
              <w:ind w:left="0" w:right="0" w:hanging="0"/>
              <w:jc w:val="left"/>
              <w:rPr/>
            </w:pPr>
            <w:r>
              <w:rPr/>
              <w:t>​</w:t>
            </w:r>
          </w:p>
        </w:tc>
        <w:tc>
          <w:tcPr>
            <w:tcW w:w="6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1,603</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 (Note 10)</w:t>
            </w:r>
          </w:p>
        </w:tc>
        <w:tc>
          <w:tcPr>
            <w:tcW w:w="326" w:type="dxa"/>
            <w:tcBorders/>
            <w:shd w:fill="CCEEFF" w:val="clear"/>
            <w:vAlign w:val="center"/>
          </w:tcPr>
          <w:p>
            <w:pPr>
              <w:pStyle w:val="TableContents"/>
              <w:bidi w:val="0"/>
              <w:spacing w:before="0" w:after="1"/>
              <w:ind w:left="0" w:right="0" w:hanging="0"/>
              <w:jc w:val="left"/>
              <w:rPr/>
            </w:pPr>
            <w:r>
              <w:rPr/>
              <w:t> </w:t>
            </w:r>
          </w:p>
        </w:tc>
        <w:tc>
          <w:tcPr>
            <w:tcW w:w="263" w:type="dxa"/>
            <w:tcBorders/>
            <w:shd w:fill="CCEEFF" w:val="clear"/>
            <w:vAlign w:val="center"/>
          </w:tcPr>
          <w:p>
            <w:pPr>
              <w:pStyle w:val="TableContents"/>
              <w:bidi w:val="0"/>
              <w:spacing w:before="0" w:after="1"/>
              <w:ind w:left="0" w:right="0" w:hanging="0"/>
              <w:jc w:val="left"/>
              <w:rPr/>
            </w:pPr>
            <w:r>
              <w:rPr/>
              <w:t>​</w:t>
            </w:r>
          </w:p>
        </w:tc>
        <w:tc>
          <w:tcPr>
            <w:tcW w:w="7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1,242</w:t>
            </w:r>
          </w:p>
        </w:tc>
        <w:tc>
          <w:tcPr>
            <w:tcW w:w="326" w:type="dxa"/>
            <w:tcBorders/>
            <w:shd w:fill="CCEEFF" w:val="clear"/>
            <w:vAlign w:val="center"/>
          </w:tcPr>
          <w:p>
            <w:pPr>
              <w:pStyle w:val="TableContents"/>
              <w:bidi w:val="0"/>
              <w:spacing w:before="0" w:after="1"/>
              <w:ind w:left="0" w:right="0" w:hanging="0"/>
              <w:jc w:val="left"/>
              <w:rPr/>
            </w:pPr>
            <w:r>
              <w:rPr/>
              <w:t> </w:t>
            </w:r>
          </w:p>
        </w:tc>
        <w:tc>
          <w:tcPr>
            <w:tcW w:w="299" w:type="dxa"/>
            <w:tcBorders/>
            <w:shd w:fill="CCEEFF" w:val="clear"/>
            <w:vAlign w:val="center"/>
          </w:tcPr>
          <w:p>
            <w:pPr>
              <w:pStyle w:val="TableContents"/>
              <w:bidi w:val="0"/>
              <w:spacing w:before="0" w:after="1"/>
              <w:ind w:left="0" w:right="0" w:hanging="0"/>
              <w:jc w:val="left"/>
              <w:rPr/>
            </w:pPr>
            <w:r>
              <w:rPr/>
              <w:t>​</w:t>
            </w:r>
          </w:p>
        </w:tc>
        <w:tc>
          <w:tcPr>
            <w:tcW w:w="6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shd w:fill="CCEEFF" w:val="clear"/>
            <w:vAlign w:val="center"/>
          </w:tcPr>
          <w:p>
            <w:pPr>
              <w:pStyle w:val="TableContents"/>
              <w:bidi w:val="0"/>
              <w:spacing w:before="0" w:after="1"/>
              <w:ind w:left="0" w:right="0" w:hanging="0"/>
              <w:jc w:val="left"/>
              <w:rPr/>
            </w:pPr>
            <w:r>
              <w:rPr/>
              <w:t> </w:t>
            </w:r>
          </w:p>
        </w:tc>
        <w:tc>
          <w:tcPr>
            <w:tcW w:w="325" w:type="dxa"/>
            <w:tcBorders/>
            <w:shd w:fill="CCEEFF" w:val="clear"/>
            <w:vAlign w:val="center"/>
          </w:tcPr>
          <w:p>
            <w:pPr>
              <w:pStyle w:val="TableContents"/>
              <w:bidi w:val="0"/>
              <w:spacing w:before="0" w:after="1"/>
              <w:ind w:left="0" w:right="0" w:hanging="0"/>
              <w:jc w:val="left"/>
              <w:rPr/>
            </w:pPr>
            <w:r>
              <w:rPr/>
              <w:t>​</w:t>
            </w:r>
          </w:p>
        </w:tc>
        <w:tc>
          <w:tcPr>
            <w:tcW w:w="6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1,417</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Mining, Technological and Process Development</w:t>
            </w:r>
          </w:p>
        </w:tc>
        <w:tc>
          <w:tcPr>
            <w:tcW w:w="326" w:type="dxa"/>
            <w:tcBorders/>
            <w:vAlign w:val="center"/>
          </w:tcPr>
          <w:p>
            <w:pPr>
              <w:pStyle w:val="TableContents"/>
              <w:bidi w:val="0"/>
              <w:spacing w:before="0" w:after="1"/>
              <w:ind w:left="0" w:right="0" w:hanging="0"/>
              <w:jc w:val="left"/>
              <w:rPr/>
            </w:pPr>
            <w:r>
              <w:rPr/>
              <w:t> </w:t>
            </w:r>
          </w:p>
        </w:tc>
        <w:tc>
          <w:tcPr>
            <w:tcW w:w="263" w:type="dxa"/>
            <w:tcBorders/>
            <w:vAlign w:val="center"/>
          </w:tcPr>
          <w:p>
            <w:pPr>
              <w:pStyle w:val="TableContents"/>
              <w:bidi w:val="0"/>
              <w:spacing w:before="0" w:after="1"/>
              <w:ind w:left="0" w:right="0" w:hanging="0"/>
              <w:jc w:val="left"/>
              <w:rPr/>
            </w:pPr>
            <w:r>
              <w:rPr/>
              <w:t>​</w:t>
            </w:r>
          </w:p>
        </w:tc>
        <w:tc>
          <w:tcPr>
            <w:tcW w:w="7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2,300</w:t>
            </w:r>
          </w:p>
        </w:tc>
        <w:tc>
          <w:tcPr>
            <w:tcW w:w="326" w:type="dxa"/>
            <w:tcBorders/>
            <w:vAlign w:val="center"/>
          </w:tcPr>
          <w:p>
            <w:pPr>
              <w:pStyle w:val="TableContents"/>
              <w:bidi w:val="0"/>
              <w:spacing w:before="0" w:after="1"/>
              <w:ind w:left="0" w:right="0" w:hanging="0"/>
              <w:jc w:val="left"/>
              <w:rPr/>
            </w:pPr>
            <w:r>
              <w:rPr/>
              <w:t> </w:t>
            </w:r>
          </w:p>
        </w:tc>
        <w:tc>
          <w:tcPr>
            <w:tcW w:w="299" w:type="dxa"/>
            <w:tcBorders/>
            <w:vAlign w:val="center"/>
          </w:tcPr>
          <w:p>
            <w:pPr>
              <w:pStyle w:val="TableContents"/>
              <w:bidi w:val="0"/>
              <w:spacing w:before="0" w:after="1"/>
              <w:ind w:left="0" w:right="0" w:hanging="0"/>
              <w:jc w:val="left"/>
              <w:rPr/>
            </w:pPr>
            <w:r>
              <w:rPr/>
              <w:t>​</w:t>
            </w:r>
          </w:p>
        </w:tc>
        <w:tc>
          <w:tcPr>
            <w:tcW w:w="60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25" w:type="dxa"/>
            <w:tcBorders/>
            <w:vAlign w:val="center"/>
          </w:tcPr>
          <w:p>
            <w:pPr>
              <w:pStyle w:val="TableContents"/>
              <w:bidi w:val="0"/>
              <w:spacing w:before="0" w:after="1"/>
              <w:ind w:left="0" w:right="0" w:hanging="0"/>
              <w:jc w:val="left"/>
              <w:rPr/>
            </w:pPr>
            <w:r>
              <w:rPr/>
              <w:t>​</w:t>
            </w:r>
          </w:p>
        </w:tc>
        <w:tc>
          <w:tcPr>
            <w:tcW w:w="6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2,507</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Prefeasibility Studies</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pPr>
            <w:r>
              <w:rPr/>
              <w:t>​</w:t>
            </w:r>
          </w:p>
        </w:tc>
        <w:tc>
          <w:tcPr>
            <w:tcW w:w="7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w:t>
            </w:r>
          </w:p>
        </w:tc>
        <w:tc>
          <w:tcPr>
            <w:tcW w:w="60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w:t>
            </w:r>
          </w:p>
        </w:tc>
        <w:tc>
          <w:tcPr>
            <w:tcW w:w="6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Sponsorship, Training and Stakeholder Engagement</w:t>
            </w:r>
          </w:p>
        </w:tc>
        <w:tc>
          <w:tcPr>
            <w:tcW w:w="326" w:type="dxa"/>
            <w:tcBorders/>
            <w:vAlign w:val="center"/>
          </w:tcPr>
          <w:p>
            <w:pPr>
              <w:pStyle w:val="TableContents"/>
              <w:bidi w:val="0"/>
              <w:spacing w:before="0" w:after="1"/>
              <w:ind w:left="0" w:right="0" w:hanging="0"/>
              <w:jc w:val="left"/>
              <w:rPr/>
            </w:pPr>
            <w:r>
              <w:rPr/>
              <w:t> </w:t>
            </w:r>
          </w:p>
        </w:tc>
        <w:tc>
          <w:tcPr>
            <w:tcW w:w="263" w:type="dxa"/>
            <w:tcBorders/>
            <w:vAlign w:val="center"/>
          </w:tcPr>
          <w:p>
            <w:pPr>
              <w:pStyle w:val="TableContents"/>
              <w:bidi w:val="0"/>
              <w:spacing w:before="0" w:after="1"/>
              <w:ind w:left="0" w:right="0" w:hanging="0"/>
              <w:jc w:val="left"/>
              <w:rPr/>
            </w:pPr>
            <w:r>
              <w:rPr/>
              <w:t>​</w:t>
            </w:r>
          </w:p>
        </w:tc>
        <w:tc>
          <w:tcPr>
            <w:tcW w:w="7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654</w:t>
            </w:r>
          </w:p>
        </w:tc>
        <w:tc>
          <w:tcPr>
            <w:tcW w:w="326" w:type="dxa"/>
            <w:tcBorders/>
            <w:vAlign w:val="center"/>
          </w:tcPr>
          <w:p>
            <w:pPr>
              <w:pStyle w:val="TableContents"/>
              <w:bidi w:val="0"/>
              <w:spacing w:before="0" w:after="1"/>
              <w:ind w:left="0" w:right="0" w:hanging="0"/>
              <w:jc w:val="left"/>
              <w:rPr/>
            </w:pPr>
            <w:r>
              <w:rPr/>
              <w:t> </w:t>
            </w:r>
          </w:p>
        </w:tc>
        <w:tc>
          <w:tcPr>
            <w:tcW w:w="299" w:type="dxa"/>
            <w:tcBorders/>
            <w:vAlign w:val="center"/>
          </w:tcPr>
          <w:p>
            <w:pPr>
              <w:pStyle w:val="TableContents"/>
              <w:bidi w:val="0"/>
              <w:spacing w:before="0" w:after="1"/>
              <w:ind w:left="0" w:right="0" w:hanging="0"/>
              <w:jc w:val="left"/>
              <w:rPr/>
            </w:pPr>
            <w:r>
              <w:rPr/>
              <w:t>​</w:t>
            </w:r>
          </w:p>
        </w:tc>
        <w:tc>
          <w:tcPr>
            <w:tcW w:w="6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vAlign w:val="center"/>
          </w:tcPr>
          <w:p>
            <w:pPr>
              <w:pStyle w:val="TableContents"/>
              <w:bidi w:val="0"/>
              <w:spacing w:before="0" w:after="1"/>
              <w:ind w:left="0" w:right="0" w:hanging="0"/>
              <w:jc w:val="left"/>
              <w:rPr/>
            </w:pPr>
            <w:r>
              <w:rPr/>
              <w:t> </w:t>
            </w:r>
          </w:p>
        </w:tc>
        <w:tc>
          <w:tcPr>
            <w:tcW w:w="325" w:type="dxa"/>
            <w:tcBorders/>
            <w:vAlign w:val="center"/>
          </w:tcPr>
          <w:p>
            <w:pPr>
              <w:pStyle w:val="TableContents"/>
              <w:bidi w:val="0"/>
              <w:spacing w:before="0" w:after="1"/>
              <w:ind w:left="0" w:right="0" w:hanging="0"/>
              <w:jc w:val="left"/>
              <w:rPr/>
            </w:pPr>
            <w:r>
              <w:rPr/>
              <w:t>​</w:t>
            </w:r>
          </w:p>
        </w:tc>
        <w:tc>
          <w:tcPr>
            <w:tcW w:w="6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1,006</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1"/>
              <w:ind w:left="0" w:right="0" w:hanging="0"/>
              <w:jc w:val="left"/>
              <w:rPr/>
            </w:pPr>
            <w:r>
              <w:rPr/>
              <w:t> </w:t>
            </w:r>
          </w:p>
        </w:tc>
        <w:tc>
          <w:tcPr>
            <w:tcW w:w="26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c>
          <w:tcPr>
            <w:tcW w:w="326" w:type="dxa"/>
            <w:tcBorders/>
            <w:shd w:fill="CCEEFF" w:val="clear"/>
            <w:vAlign w:val="center"/>
          </w:tcPr>
          <w:p>
            <w:pPr>
              <w:pStyle w:val="TableContents"/>
              <w:bidi w:val="0"/>
              <w:spacing w:before="0" w:after="1"/>
              <w:ind w:left="0" w:right="0" w:hanging="0"/>
              <w:jc w:val="left"/>
              <w:rPr/>
            </w:pPr>
            <w:r>
              <w:rPr/>
              <w:t> </w:t>
            </w:r>
          </w:p>
        </w:tc>
        <w:tc>
          <w:tcPr>
            <w:tcW w:w="2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r>
      <w:tr>
        <w:trPr/>
        <w:tc>
          <w:tcPr>
            <w:tcW w:w="4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63"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6,957</w:t>
            </w:r>
          </w:p>
        </w:tc>
        <w:tc>
          <w:tcPr>
            <w:tcW w:w="326" w:type="dxa"/>
            <w:tcBorders/>
            <w:vAlign w:val="center"/>
          </w:tcPr>
          <w:p>
            <w:pPr>
              <w:pStyle w:val="TableContents"/>
              <w:bidi w:val="0"/>
              <w:spacing w:before="0" w:after="1"/>
              <w:ind w:left="0" w:right="0" w:hanging="0"/>
              <w:jc w:val="left"/>
              <w:rPr/>
            </w:pPr>
            <w:r>
              <w:rPr/>
              <w:t> </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148</w:t>
            </w:r>
          </w:p>
        </w:tc>
        <w:tc>
          <w:tcPr>
            <w:tcW w:w="326" w:type="dxa"/>
            <w:tcBorders/>
            <w:vAlign w:val="center"/>
          </w:tcPr>
          <w:p>
            <w:pPr>
              <w:pStyle w:val="TableContents"/>
              <w:bidi w:val="0"/>
              <w:spacing w:before="0" w:after="1"/>
              <w:ind w:left="0" w:right="0" w:hanging="0"/>
              <w:jc w:val="left"/>
              <w:rPr/>
            </w:pPr>
            <w:r>
              <w:rPr/>
              <w:t> </w:t>
            </w:r>
          </w:p>
        </w:tc>
        <w:tc>
          <w:tcPr>
            <w:tcW w:w="32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800</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single" w:sz="2"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7,905</w:t>
            </w:r>
          </w:p>
        </w:tc>
      </w:tr>
    </w:tbl>
    <w:p>
      <w:pPr>
        <w:pStyle w:val="TextBody"/>
        <w:bidi w:val="0"/>
        <w:spacing w:before="0" w:after="240"/>
        <w:ind w:left="0" w:right="0" w:firstLine="360"/>
        <w:jc w:val="both"/>
        <w:rPr/>
      </w:pPr>
      <w:r>
        <w:rPr/>
        <w:t>​</w:t>
      </w:r>
    </w:p>
    <w:tbl>
      <w:tblPr>
        <w:tblW w:w="9500" w:type="dxa"/>
        <w:jc w:val="left"/>
        <w:tblInd w:w="0" w:type="dxa"/>
        <w:tblLayout w:type="fixed"/>
        <w:tblCellMar>
          <w:top w:w="0" w:type="dxa"/>
          <w:left w:w="0" w:type="dxa"/>
          <w:bottom w:w="0" w:type="dxa"/>
          <w:right w:w="0" w:type="dxa"/>
        </w:tblCellMar>
      </w:tblPr>
      <w:tblGrid>
        <w:gridCol w:w="4351"/>
        <w:gridCol w:w="326"/>
        <w:gridCol w:w="232"/>
        <w:gridCol w:w="744"/>
        <w:gridCol w:w="326"/>
        <w:gridCol w:w="299"/>
        <w:gridCol w:w="602"/>
        <w:gridCol w:w="326"/>
        <w:gridCol w:w="325"/>
        <w:gridCol w:w="651"/>
        <w:gridCol w:w="326"/>
        <w:gridCol w:w="211"/>
        <w:gridCol w:w="781"/>
      </w:tblGrid>
      <w:tr>
        <w:trPr/>
        <w:tc>
          <w:tcPr>
            <w:tcW w:w="4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762885" cy="175260"/>
                      <wp:effectExtent l="0" t="0" r="0" b="0"/>
                      <wp:wrapNone/>
                      <wp:docPr id="137" name="Frame137"/>
                      <a:graphic xmlns:a="http://schemas.openxmlformats.org/drawingml/2006/main">
                        <a:graphicData uri="http://schemas.microsoft.com/office/word/2010/wordprocessingShape">
                          <wps:wsp>
                            <wps:cNvSpPr txBox="1"/>
                            <wps:spPr>
                              <a:xfrm>
                                <a:off x="0" y="0"/>
                                <a:ext cx="2762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47320" cy="175260"/>
                      <wp:effectExtent l="0" t="0" r="0" b="0"/>
                      <wp:wrapNone/>
                      <wp:docPr id="139" name="Frame139"/>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72440" cy="175260"/>
                      <wp:effectExtent l="0" t="0" r="0" b="0"/>
                      <wp:wrapNone/>
                      <wp:docPr id="140" name="Frame140"/>
                      <a:graphic xmlns:a="http://schemas.openxmlformats.org/drawingml/2006/main">
                        <a:graphicData uri="http://schemas.microsoft.com/office/word/2010/wordprocessingShape">
                          <wps:wsp>
                            <wps:cNvSpPr txBox="1"/>
                            <wps:spPr>
                              <a:xfrm>
                                <a:off x="0" y="0"/>
                                <a:ext cx="4724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41"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89865" cy="175260"/>
                      <wp:effectExtent l="0" t="0" r="0" b="0"/>
                      <wp:wrapNone/>
                      <wp:docPr id="142" name="Frame142"/>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382270" cy="175260"/>
                      <wp:effectExtent l="0" t="0" r="0" b="0"/>
                      <wp:wrapNone/>
                      <wp:docPr id="143" name="Frame143"/>
                      <a:graphic xmlns:a="http://schemas.openxmlformats.org/drawingml/2006/main">
                        <a:graphicData uri="http://schemas.microsoft.com/office/word/2010/wordprocessingShape">
                          <wps:wsp>
                            <wps:cNvSpPr txBox="1"/>
                            <wps:spPr>
                              <a:xfrm>
                                <a:off x="0" y="0"/>
                                <a:ext cx="382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4"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6375" cy="175260"/>
                      <wp:effectExtent l="0" t="0" r="0" b="0"/>
                      <wp:wrapNone/>
                      <wp:docPr id="145" name="Frame145"/>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413385" cy="175260"/>
                      <wp:effectExtent l="0" t="0" r="0" b="0"/>
                      <wp:wrapNone/>
                      <wp:docPr id="146" name="Frame146"/>
                      <a:graphic xmlns:a="http://schemas.openxmlformats.org/drawingml/2006/main">
                        <a:graphicData uri="http://schemas.microsoft.com/office/word/2010/wordprocessingShape">
                          <wps:wsp>
                            <wps:cNvSpPr txBox="1"/>
                            <wps:spPr>
                              <a:xfrm>
                                <a:off x="0" y="0"/>
                                <a:ext cx="413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3985" cy="175260"/>
                      <wp:effectExtent l="0" t="0" r="0" b="0"/>
                      <wp:wrapNone/>
                      <wp:docPr id="148" name="Frame1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95935" cy="175260"/>
                      <wp:effectExtent l="0" t="0" r="0" b="0"/>
                      <wp:wrapNone/>
                      <wp:docPr id="149" name="Frame14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NORI</w:t>
            </w:r>
          </w:p>
        </w:tc>
        <w:tc>
          <w:tcPr>
            <w:tcW w:w="32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Marawa</w:t>
            </w:r>
          </w:p>
        </w:tc>
        <w:tc>
          <w:tcPr>
            <w:tcW w:w="32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TOML</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r>
      <w:tr>
        <w:trPr/>
        <w:tc>
          <w:tcPr>
            <w:tcW w:w="43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Exploration</w:t>
            </w:r>
          </w:p>
        </w:tc>
        <w:tc>
          <w:tcPr>
            <w:tcW w:w="326" w:type="dxa"/>
            <w:tcBorders/>
            <w:vAlign w:val="center"/>
          </w:tcPr>
          <w:p>
            <w:pPr>
              <w:pStyle w:val="TableContents"/>
              <w:bidi w:val="0"/>
              <w:spacing w:before="0" w:after="1"/>
              <w:ind w:left="0" w:right="0" w:hanging="0"/>
              <w:jc w:val="left"/>
              <w:rPr/>
            </w:pPr>
            <w:r>
              <w:rPr/>
              <w:t>​</w:t>
            </w:r>
          </w:p>
        </w:tc>
        <w:tc>
          <w:tcPr>
            <w:tcW w:w="901"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Option</w:t>
            </w:r>
          </w:p>
        </w:tc>
        <w:tc>
          <w:tcPr>
            <w:tcW w:w="326" w:type="dxa"/>
            <w:tcBorders/>
            <w:vAlign w:val="center"/>
          </w:tcPr>
          <w:p>
            <w:pPr>
              <w:pStyle w:val="TableContents"/>
              <w:bidi w:val="0"/>
              <w:spacing w:before="0" w:after="1"/>
              <w:ind w:left="0" w:right="0" w:hanging="0"/>
              <w:jc w:val="left"/>
              <w:rPr/>
            </w:pPr>
            <w:r>
              <w:rPr/>
              <w:t>​</w:t>
            </w:r>
          </w:p>
        </w:tc>
        <w:tc>
          <w:tcPr>
            <w:tcW w:w="976"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Exploration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r>
      <w:tr>
        <w:trPr/>
        <w:tc>
          <w:tcPr>
            <w:tcW w:w="43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For the three months ended September 30, 2022</w:t>
            </w:r>
          </w:p>
        </w:tc>
        <w:tc>
          <w:tcPr>
            <w:tcW w:w="326" w:type="dxa"/>
            <w:tcBorders/>
            <w:vAlign w:val="center"/>
          </w:tcPr>
          <w:p>
            <w:pPr>
              <w:pStyle w:val="TableContents"/>
              <w:bidi w:val="0"/>
              <w:spacing w:before="0" w:after="1"/>
              <w:ind w:left="0" w:right="0" w:hanging="0"/>
              <w:jc w:val="left"/>
              <w:rPr/>
            </w:pPr>
            <w:r>
              <w:rPr/>
              <w:t>    </w:t>
            </w:r>
          </w:p>
        </w:tc>
        <w:tc>
          <w:tcPr>
            <w:tcW w:w="976"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Contract</w:t>
            </w:r>
          </w:p>
        </w:tc>
        <w:tc>
          <w:tcPr>
            <w:tcW w:w="326" w:type="dxa"/>
            <w:tcBorders/>
            <w:vAlign w:val="center"/>
          </w:tcPr>
          <w:p>
            <w:pPr>
              <w:pStyle w:val="TableContents"/>
              <w:bidi w:val="0"/>
              <w:spacing w:before="0" w:after="1"/>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Agreement</w:t>
            </w:r>
          </w:p>
        </w:tc>
        <w:tc>
          <w:tcPr>
            <w:tcW w:w="326" w:type="dxa"/>
            <w:tcBorders/>
            <w:vAlign w:val="center"/>
          </w:tcPr>
          <w:p>
            <w:pPr>
              <w:pStyle w:val="TableContents"/>
              <w:bidi w:val="0"/>
              <w:spacing w:before="0" w:after="1"/>
              <w:ind w:left="0" w:right="0" w:hanging="0"/>
              <w:jc w:val="left"/>
              <w:rPr/>
            </w:pPr>
            <w:r>
              <w:rPr/>
              <w:t>    </w:t>
            </w:r>
          </w:p>
        </w:tc>
        <w:tc>
          <w:tcPr>
            <w:tcW w:w="976"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Contract</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Total</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Environmental Studies</w:t>
            </w:r>
          </w:p>
        </w:tc>
        <w:tc>
          <w:tcPr>
            <w:tcW w:w="326" w:type="dxa"/>
            <w:tcBorders/>
            <w:shd w:fill="CCEEFF" w:val="clear"/>
            <w:vAlign w:val="center"/>
          </w:tcPr>
          <w:p>
            <w:pPr>
              <w:pStyle w:val="TableContents"/>
              <w:bidi w:val="0"/>
              <w:spacing w:before="0" w:after="1"/>
              <w:ind w:left="0" w:right="0" w:hanging="0"/>
              <w:jc w:val="left"/>
              <w:rPr/>
            </w:pPr>
            <w:r>
              <w:rPr/>
              <w:t> </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15,360</w:t>
            </w:r>
          </w:p>
        </w:tc>
        <w:tc>
          <w:tcPr>
            <w:tcW w:w="326" w:type="dxa"/>
            <w:tcBorders/>
            <w:shd w:fill="CCEEFF" w:val="clear"/>
            <w:vAlign w:val="center"/>
          </w:tcPr>
          <w:p>
            <w:pPr>
              <w:pStyle w:val="TableContents"/>
              <w:bidi w:val="0"/>
              <w:spacing w:before="0" w:after="1"/>
              <w:ind w:left="0" w:right="0" w:hanging="0"/>
              <w:jc w:val="righ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15,360</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Exploration Labor</w:t>
            </w:r>
          </w:p>
        </w:tc>
        <w:tc>
          <w:tcPr>
            <w:tcW w:w="326" w:type="dxa"/>
            <w:tcBorders/>
            <w:vAlign w:val="center"/>
          </w:tcPr>
          <w:p>
            <w:pPr>
              <w:pStyle w:val="TableContents"/>
              <w:bidi w:val="0"/>
              <w:spacing w:before="0" w:after="1"/>
              <w:ind w:left="0" w:right="0" w:hanging="0"/>
              <w:jc w:val="left"/>
              <w:rPr/>
            </w:pPr>
            <w:r>
              <w:rPr/>
              <w:t> </w:t>
            </w:r>
          </w:p>
        </w:tc>
        <w:tc>
          <w:tcPr>
            <w:tcW w:w="232" w:type="dxa"/>
            <w:tcBorders/>
            <w:vAlign w:val="center"/>
          </w:tcPr>
          <w:p>
            <w:pPr>
              <w:pStyle w:val="TableContents"/>
              <w:bidi w:val="0"/>
              <w:spacing w:before="0" w:after="1"/>
              <w:ind w:left="0" w:right="0" w:hanging="0"/>
              <w:jc w:val="center"/>
              <w:rPr/>
            </w:pPr>
            <w:r>
              <w:rPr/>
              <w:t>​</w:t>
            </w:r>
          </w:p>
        </w:tc>
        <w:tc>
          <w:tcPr>
            <w:tcW w:w="7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700</w:t>
            </w:r>
          </w:p>
        </w:tc>
        <w:tc>
          <w:tcPr>
            <w:tcW w:w="326" w:type="dxa"/>
            <w:tcBorders/>
            <w:vAlign w:val="center"/>
          </w:tcPr>
          <w:p>
            <w:pPr>
              <w:pStyle w:val="TableContents"/>
              <w:bidi w:val="0"/>
              <w:spacing w:before="0" w:after="1"/>
              <w:ind w:left="0" w:right="0" w:hanging="0"/>
              <w:jc w:val="right"/>
              <w:rPr/>
            </w:pPr>
            <w:r>
              <w:rPr/>
              <w:t>​</w:t>
            </w:r>
          </w:p>
        </w:tc>
        <w:tc>
          <w:tcPr>
            <w:tcW w:w="299" w:type="dxa"/>
            <w:tcBorders/>
            <w:vAlign w:val="center"/>
          </w:tcPr>
          <w:p>
            <w:pPr>
              <w:pStyle w:val="TableContents"/>
              <w:bidi w:val="0"/>
              <w:spacing w:before="0" w:after="1"/>
              <w:ind w:left="0" w:right="0" w:hanging="0"/>
              <w:jc w:val="right"/>
              <w:rPr/>
            </w:pPr>
            <w:r>
              <w:rPr/>
              <w:t>​</w:t>
            </w:r>
          </w:p>
        </w:tc>
        <w:tc>
          <w:tcPr>
            <w:tcW w:w="6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c>
          <w:tcPr>
            <w:tcW w:w="326" w:type="dxa"/>
            <w:tcBorders/>
            <w:vAlign w:val="center"/>
          </w:tcPr>
          <w:p>
            <w:pPr>
              <w:pStyle w:val="TableContents"/>
              <w:bidi w:val="0"/>
              <w:spacing w:before="0" w:after="1"/>
              <w:ind w:left="0" w:right="0" w:hanging="0"/>
              <w:jc w:val="right"/>
              <w:rPr/>
            </w:pPr>
            <w:r>
              <w:rPr/>
              <w:t>​</w:t>
            </w:r>
          </w:p>
        </w:tc>
        <w:tc>
          <w:tcPr>
            <w:tcW w:w="325" w:type="dxa"/>
            <w:tcBorders/>
            <w:vAlign w:val="center"/>
          </w:tcPr>
          <w:p>
            <w:pPr>
              <w:pStyle w:val="TableContents"/>
              <w:bidi w:val="0"/>
              <w:spacing w:before="0" w:after="1"/>
              <w:ind w:left="0" w:right="0" w:hanging="0"/>
              <w:jc w:val="right"/>
              <w:rPr/>
            </w:pPr>
            <w:r>
              <w:rPr/>
              <w:t>​</w:t>
            </w:r>
          </w:p>
        </w:tc>
        <w:tc>
          <w:tcPr>
            <w:tcW w:w="6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1,030</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 (Note 10)</w:t>
            </w:r>
          </w:p>
        </w:tc>
        <w:tc>
          <w:tcPr>
            <w:tcW w:w="326" w:type="dxa"/>
            <w:tcBorders/>
            <w:shd w:fill="CCEEFF" w:val="clear"/>
            <w:vAlign w:val="center"/>
          </w:tcPr>
          <w:p>
            <w:pPr>
              <w:pStyle w:val="TableContents"/>
              <w:bidi w:val="0"/>
              <w:spacing w:before="0" w:after="1"/>
              <w:ind w:left="0" w:right="0" w:hanging="0"/>
              <w:jc w:val="left"/>
              <w:rPr/>
            </w:pPr>
            <w:r>
              <w:rPr/>
              <w:t> </w:t>
            </w:r>
          </w:p>
        </w:tc>
        <w:tc>
          <w:tcPr>
            <w:tcW w:w="232" w:type="dxa"/>
            <w:tcBorders/>
            <w:shd w:fill="CCEEFF" w:val="clear"/>
            <w:vAlign w:val="center"/>
          </w:tcPr>
          <w:p>
            <w:pPr>
              <w:pStyle w:val="TableContents"/>
              <w:bidi w:val="0"/>
              <w:spacing w:before="0" w:after="1"/>
              <w:ind w:left="0" w:right="0" w:hanging="0"/>
              <w:jc w:val="right"/>
              <w:rPr/>
            </w:pPr>
            <w:r>
              <w:rPr/>
              <w:t>​</w:t>
            </w:r>
          </w:p>
        </w:tc>
        <w:tc>
          <w:tcPr>
            <w:tcW w:w="7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1,122</w:t>
            </w:r>
          </w:p>
        </w:tc>
        <w:tc>
          <w:tcPr>
            <w:tcW w:w="326" w:type="dxa"/>
            <w:tcBorders/>
            <w:shd w:fill="CCEEFF" w:val="clear"/>
            <w:vAlign w:val="center"/>
          </w:tcPr>
          <w:p>
            <w:pPr>
              <w:pStyle w:val="TableContents"/>
              <w:bidi w:val="0"/>
              <w:spacing w:before="0" w:after="1"/>
              <w:ind w:left="0" w:right="0" w:hanging="0"/>
              <w:jc w:val="right"/>
              <w:rPr/>
            </w:pPr>
            <w:r>
              <w:rPr/>
              <w:t> </w:t>
            </w:r>
          </w:p>
        </w:tc>
        <w:tc>
          <w:tcPr>
            <w:tcW w:w="299" w:type="dxa"/>
            <w:tcBorders/>
            <w:shd w:fill="CCEEFF" w:val="clear"/>
            <w:vAlign w:val="center"/>
          </w:tcPr>
          <w:p>
            <w:pPr>
              <w:pStyle w:val="TableContents"/>
              <w:bidi w:val="0"/>
              <w:spacing w:before="0" w:after="1"/>
              <w:ind w:left="0" w:right="0" w:hanging="0"/>
              <w:jc w:val="right"/>
              <w:rPr/>
            </w:pPr>
            <w:r>
              <w:rPr/>
              <w:t>​</w:t>
            </w:r>
          </w:p>
        </w:tc>
        <w:tc>
          <w:tcPr>
            <w:tcW w:w="6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w:t>
            </w:r>
          </w:p>
        </w:tc>
        <w:tc>
          <w:tcPr>
            <w:tcW w:w="326" w:type="dxa"/>
            <w:tcBorders/>
            <w:shd w:fill="CCEEFF" w:val="clear"/>
            <w:vAlign w:val="center"/>
          </w:tcPr>
          <w:p>
            <w:pPr>
              <w:pStyle w:val="TableContents"/>
              <w:bidi w:val="0"/>
              <w:spacing w:before="0" w:after="1"/>
              <w:ind w:left="0" w:right="0" w:hanging="0"/>
              <w:jc w:val="right"/>
              <w:rPr/>
            </w:pPr>
            <w:r>
              <w:rPr/>
              <w:t> </w:t>
            </w:r>
          </w:p>
        </w:tc>
        <w:tc>
          <w:tcPr>
            <w:tcW w:w="325" w:type="dxa"/>
            <w:tcBorders/>
            <w:shd w:fill="CCEEFF" w:val="clear"/>
            <w:vAlign w:val="center"/>
          </w:tcPr>
          <w:p>
            <w:pPr>
              <w:pStyle w:val="TableContents"/>
              <w:bidi w:val="0"/>
              <w:spacing w:before="0" w:after="1"/>
              <w:ind w:left="0" w:right="0" w:hanging="0"/>
              <w:jc w:val="right"/>
              <w:rPr/>
            </w:pPr>
            <w:r>
              <w:rPr/>
              <w:t>​</w:t>
            </w:r>
          </w:p>
        </w:tc>
        <w:tc>
          <w:tcPr>
            <w:tcW w:w="6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w:t>
            </w:r>
          </w:p>
        </w:tc>
        <w:tc>
          <w:tcPr>
            <w:tcW w:w="326" w:type="dxa"/>
            <w:tcBorders/>
            <w:shd w:fill="CCEEFF" w:val="clear"/>
            <w:vAlign w:val="center"/>
          </w:tcPr>
          <w:p>
            <w:pPr>
              <w:pStyle w:val="TableContents"/>
              <w:bidi w:val="0"/>
              <w:spacing w:before="0" w:after="1"/>
              <w:ind w:left="0" w:right="0" w:hanging="0"/>
              <w:jc w:val="righ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1,587</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Mining, Technological and Process Development</w:t>
            </w:r>
          </w:p>
        </w:tc>
        <w:tc>
          <w:tcPr>
            <w:tcW w:w="326" w:type="dxa"/>
            <w:tcBorders/>
            <w:vAlign w:val="center"/>
          </w:tcPr>
          <w:p>
            <w:pPr>
              <w:pStyle w:val="TableContents"/>
              <w:bidi w:val="0"/>
              <w:spacing w:before="0" w:after="1"/>
              <w:ind w:left="0" w:right="0" w:hanging="0"/>
              <w:jc w:val="left"/>
              <w:rPr/>
            </w:pPr>
            <w:r>
              <w:rPr/>
              <w:t> </w:t>
            </w:r>
          </w:p>
        </w:tc>
        <w:tc>
          <w:tcPr>
            <w:tcW w:w="232" w:type="dxa"/>
            <w:tcBorders/>
            <w:vAlign w:val="center"/>
          </w:tcPr>
          <w:p>
            <w:pPr>
              <w:pStyle w:val="TableContents"/>
              <w:bidi w:val="0"/>
              <w:spacing w:before="0" w:after="1"/>
              <w:ind w:left="0" w:right="0" w:hanging="0"/>
              <w:jc w:val="right"/>
              <w:rPr/>
            </w:pPr>
            <w:r>
              <w:rPr/>
              <w:t>​</w:t>
            </w:r>
          </w:p>
        </w:tc>
        <w:tc>
          <w:tcPr>
            <w:tcW w:w="7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w:t>
            </w:r>
          </w:p>
        </w:tc>
        <w:tc>
          <w:tcPr>
            <w:tcW w:w="326" w:type="dxa"/>
            <w:tcBorders/>
            <w:vAlign w:val="center"/>
          </w:tcPr>
          <w:p>
            <w:pPr>
              <w:pStyle w:val="TableContents"/>
              <w:bidi w:val="0"/>
              <w:spacing w:before="0" w:after="1"/>
              <w:ind w:left="0" w:right="0" w:hanging="0"/>
              <w:jc w:val="right"/>
              <w:rPr/>
            </w:pPr>
            <w:r>
              <w:rPr/>
              <w:t> </w:t>
            </w:r>
          </w:p>
        </w:tc>
        <w:tc>
          <w:tcPr>
            <w:tcW w:w="299" w:type="dxa"/>
            <w:tcBorders/>
            <w:vAlign w:val="center"/>
          </w:tcPr>
          <w:p>
            <w:pPr>
              <w:pStyle w:val="TableContents"/>
              <w:bidi w:val="0"/>
              <w:spacing w:before="0" w:after="1"/>
              <w:ind w:left="0" w:right="0" w:hanging="0"/>
              <w:jc w:val="right"/>
              <w:rPr/>
            </w:pPr>
            <w:r>
              <w:rPr/>
              <w:t>​</w:t>
            </w:r>
          </w:p>
        </w:tc>
        <w:tc>
          <w:tcPr>
            <w:tcW w:w="6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1"/>
              <w:ind w:left="0" w:right="0" w:hanging="0"/>
              <w:jc w:val="right"/>
              <w:rPr/>
            </w:pPr>
            <w:r>
              <w:rPr/>
              <w:t> </w:t>
            </w:r>
          </w:p>
        </w:tc>
        <w:tc>
          <w:tcPr>
            <w:tcW w:w="325" w:type="dxa"/>
            <w:tcBorders/>
            <w:vAlign w:val="center"/>
          </w:tcPr>
          <w:p>
            <w:pPr>
              <w:pStyle w:val="TableContents"/>
              <w:bidi w:val="0"/>
              <w:spacing w:before="0" w:after="1"/>
              <w:ind w:left="0" w:right="0" w:hanging="0"/>
              <w:jc w:val="right"/>
              <w:rPr/>
            </w:pPr>
            <w:r>
              <w:rPr/>
              <w:t>​</w:t>
            </w:r>
          </w:p>
        </w:tc>
        <w:tc>
          <w:tcPr>
            <w:tcW w:w="6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1"/>
              <w:ind w:left="0" w:right="0" w:hanging="0"/>
              <w:jc w:val="right"/>
              <w:rPr/>
            </w:pPr>
            <w:r>
              <w:rPr/>
              <w:t> </w:t>
            </w:r>
          </w:p>
        </w:tc>
        <w:tc>
          <w:tcPr>
            <w:tcW w:w="211"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PMTS</w:t>
            </w:r>
          </w:p>
        </w:tc>
        <w:tc>
          <w:tcPr>
            <w:tcW w:w="326" w:type="dxa"/>
            <w:tcBorders/>
            <w:shd w:fill="CCEEFF" w:val="clear"/>
            <w:vAlign w:val="center"/>
          </w:tcPr>
          <w:p>
            <w:pPr>
              <w:pStyle w:val="TableContents"/>
              <w:bidi w:val="0"/>
              <w:spacing w:before="0" w:after="1"/>
              <w:ind w:left="0" w:right="0" w:hanging="0"/>
              <w:jc w:val="left"/>
              <w:rPr/>
            </w:pPr>
            <w:r>
              <w:rPr/>
              <w:t> </w:t>
            </w:r>
          </w:p>
        </w:tc>
        <w:tc>
          <w:tcPr>
            <w:tcW w:w="232" w:type="dxa"/>
            <w:tcBorders/>
            <w:shd w:fill="CCEEFF" w:val="clear"/>
            <w:vAlign w:val="center"/>
          </w:tcPr>
          <w:p>
            <w:pPr>
              <w:pStyle w:val="TableContents"/>
              <w:bidi w:val="0"/>
              <w:spacing w:before="0" w:after="1"/>
              <w:ind w:left="0" w:right="0" w:hanging="0"/>
              <w:jc w:val="right"/>
              <w:rPr/>
            </w:pPr>
            <w:r>
              <w:rPr/>
              <w:t>​</w:t>
            </w:r>
          </w:p>
        </w:tc>
        <w:tc>
          <w:tcPr>
            <w:tcW w:w="7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3,226</w:t>
            </w:r>
          </w:p>
        </w:tc>
        <w:tc>
          <w:tcPr>
            <w:tcW w:w="326" w:type="dxa"/>
            <w:tcBorders/>
            <w:shd w:fill="CCEEFF" w:val="clear"/>
            <w:vAlign w:val="center"/>
          </w:tcPr>
          <w:p>
            <w:pPr>
              <w:pStyle w:val="TableContents"/>
              <w:bidi w:val="0"/>
              <w:spacing w:before="0" w:after="1"/>
              <w:ind w:left="0" w:right="0" w:hanging="0"/>
              <w:jc w:val="right"/>
              <w:rPr/>
            </w:pPr>
            <w:r>
              <w:rPr/>
              <w:t> </w:t>
            </w:r>
          </w:p>
        </w:tc>
        <w:tc>
          <w:tcPr>
            <w:tcW w:w="299" w:type="dxa"/>
            <w:tcBorders/>
            <w:shd w:fill="CCEEFF" w:val="clear"/>
            <w:vAlign w:val="center"/>
          </w:tcPr>
          <w:p>
            <w:pPr>
              <w:pStyle w:val="TableContents"/>
              <w:bidi w:val="0"/>
              <w:spacing w:before="0" w:after="1"/>
              <w:ind w:left="0" w:right="0" w:hanging="0"/>
              <w:jc w:val="right"/>
              <w:rPr/>
            </w:pPr>
            <w:r>
              <w:rPr/>
              <w:t>​</w:t>
            </w:r>
          </w:p>
        </w:tc>
        <w:tc>
          <w:tcPr>
            <w:tcW w:w="6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w:t>
            </w:r>
          </w:p>
        </w:tc>
        <w:tc>
          <w:tcPr>
            <w:tcW w:w="326" w:type="dxa"/>
            <w:tcBorders/>
            <w:shd w:fill="CCEEFF" w:val="clear"/>
            <w:vAlign w:val="center"/>
          </w:tcPr>
          <w:p>
            <w:pPr>
              <w:pStyle w:val="TableContents"/>
              <w:bidi w:val="0"/>
              <w:spacing w:before="0" w:after="1"/>
              <w:ind w:left="0" w:right="0" w:hanging="0"/>
              <w:jc w:val="right"/>
              <w:rPr/>
            </w:pPr>
            <w:r>
              <w:rPr/>
              <w:t> </w:t>
            </w:r>
          </w:p>
        </w:tc>
        <w:tc>
          <w:tcPr>
            <w:tcW w:w="325" w:type="dxa"/>
            <w:tcBorders/>
            <w:shd w:fill="CCEEFF" w:val="clear"/>
            <w:vAlign w:val="center"/>
          </w:tcPr>
          <w:p>
            <w:pPr>
              <w:pStyle w:val="TableContents"/>
              <w:bidi w:val="0"/>
              <w:spacing w:before="0" w:after="1"/>
              <w:ind w:left="0" w:right="0" w:hanging="0"/>
              <w:jc w:val="right"/>
              <w:rPr/>
            </w:pPr>
            <w:r>
              <w:rPr/>
              <w:t>​</w:t>
            </w:r>
          </w:p>
        </w:tc>
        <w:tc>
          <w:tcPr>
            <w:tcW w:w="6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shd w:fill="CCEEFF" w:val="clear"/>
            <w:vAlign w:val="center"/>
          </w:tcPr>
          <w:p>
            <w:pPr>
              <w:pStyle w:val="TableContents"/>
              <w:bidi w:val="0"/>
              <w:spacing w:before="0" w:after="1"/>
              <w:ind w:left="0" w:right="0" w:hanging="0"/>
              <w:jc w:val="righ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3,685</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Sponsorship, Training and Stakeholder Engagement</w:t>
            </w:r>
          </w:p>
        </w:tc>
        <w:tc>
          <w:tcPr>
            <w:tcW w:w="326" w:type="dxa"/>
            <w:tcBorders/>
            <w:vAlign w:val="center"/>
          </w:tcPr>
          <w:p>
            <w:pPr>
              <w:pStyle w:val="TableContents"/>
              <w:bidi w:val="0"/>
              <w:spacing w:before="0" w:after="1"/>
              <w:ind w:left="0" w:right="0" w:hanging="0"/>
              <w:jc w:val="left"/>
              <w:rPr/>
            </w:pPr>
            <w:r>
              <w:rPr/>
              <w:t> </w:t>
            </w:r>
          </w:p>
        </w:tc>
        <w:tc>
          <w:tcPr>
            <w:tcW w:w="232" w:type="dxa"/>
            <w:tcBorders/>
            <w:vAlign w:val="center"/>
          </w:tcPr>
          <w:p>
            <w:pPr>
              <w:pStyle w:val="TableContents"/>
              <w:bidi w:val="0"/>
              <w:spacing w:before="0" w:after="1"/>
              <w:ind w:left="0" w:right="0" w:hanging="0"/>
              <w:jc w:val="right"/>
              <w:rPr/>
            </w:pPr>
            <w:r>
              <w:rPr/>
              <w:t>​</w:t>
            </w:r>
          </w:p>
        </w:tc>
        <w:tc>
          <w:tcPr>
            <w:tcW w:w="7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c>
          <w:tcPr>
            <w:tcW w:w="326" w:type="dxa"/>
            <w:tcBorders/>
            <w:vAlign w:val="center"/>
          </w:tcPr>
          <w:p>
            <w:pPr>
              <w:pStyle w:val="TableContents"/>
              <w:bidi w:val="0"/>
              <w:spacing w:before="0" w:after="1"/>
              <w:ind w:left="0" w:right="0" w:hanging="0"/>
              <w:jc w:val="right"/>
              <w:rPr/>
            </w:pPr>
            <w:r>
              <w:rPr/>
              <w:t>​</w:t>
            </w:r>
          </w:p>
        </w:tc>
        <w:tc>
          <w:tcPr>
            <w:tcW w:w="299" w:type="dxa"/>
            <w:tcBorders/>
            <w:vAlign w:val="center"/>
          </w:tcPr>
          <w:p>
            <w:pPr>
              <w:pStyle w:val="TableContents"/>
              <w:bidi w:val="0"/>
              <w:spacing w:before="0" w:after="1"/>
              <w:ind w:left="0" w:right="0" w:hanging="0"/>
              <w:jc w:val="right"/>
              <w:rPr/>
            </w:pPr>
            <w:r>
              <w:rPr/>
              <w:t>​</w:t>
            </w:r>
          </w:p>
        </w:tc>
        <w:tc>
          <w:tcPr>
            <w:tcW w:w="6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vAlign w:val="center"/>
          </w:tcPr>
          <w:p>
            <w:pPr>
              <w:pStyle w:val="TableContents"/>
              <w:bidi w:val="0"/>
              <w:spacing w:before="0" w:after="1"/>
              <w:ind w:left="0" w:right="0" w:hanging="0"/>
              <w:jc w:val="right"/>
              <w:rPr/>
            </w:pPr>
            <w:r>
              <w:rPr/>
              <w:t>​</w:t>
            </w:r>
          </w:p>
        </w:tc>
        <w:tc>
          <w:tcPr>
            <w:tcW w:w="325" w:type="dxa"/>
            <w:tcBorders/>
            <w:vAlign w:val="center"/>
          </w:tcPr>
          <w:p>
            <w:pPr>
              <w:pStyle w:val="TableContents"/>
              <w:bidi w:val="0"/>
              <w:spacing w:before="0" w:after="1"/>
              <w:ind w:left="0" w:right="0" w:hanging="0"/>
              <w:jc w:val="right"/>
              <w:rPr/>
            </w:pPr>
            <w:r>
              <w:rPr/>
              <w:t>​</w:t>
            </w:r>
          </w:p>
        </w:tc>
        <w:tc>
          <w:tcPr>
            <w:tcW w:w="6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4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w:t>
            </w:r>
          </w:p>
        </w:tc>
        <w:tc>
          <w:tcPr>
            <w:tcW w:w="326" w:type="dxa"/>
            <w:tcBorders/>
            <w:shd w:fill="CCEEFF" w:val="clear"/>
            <w:vAlign w:val="center"/>
          </w:tcPr>
          <w:p>
            <w:pPr>
              <w:pStyle w:val="TableContents"/>
              <w:bidi w:val="0"/>
              <w:spacing w:before="0" w:after="1"/>
              <w:ind w:left="0" w:right="0" w:hanging="0"/>
              <w:jc w:val="right"/>
              <w:rPr/>
            </w:pPr>
            <w:r>
              <w:rPr/>
              <w:t> </w:t>
            </w:r>
          </w:p>
        </w:tc>
        <w:tc>
          <w:tcPr>
            <w:tcW w:w="2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1"/>
              <w:ind w:left="0" w:right="0" w:hanging="0"/>
              <w:jc w:val="right"/>
              <w:rPr/>
            </w:pPr>
            <w:r>
              <w:rPr/>
              <w:t> </w:t>
            </w:r>
          </w:p>
        </w:tc>
        <w:tc>
          <w:tcPr>
            <w:tcW w:w="3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CCEEFF" w:val="clear"/>
            <w:vAlign w:val="center"/>
          </w:tcPr>
          <w:p>
            <w:pPr>
              <w:pStyle w:val="TableContents"/>
              <w:bidi w:val="0"/>
              <w:spacing w:before="0" w:after="1"/>
              <w:ind w:left="0" w:right="0" w:hanging="0"/>
              <w:jc w:val="righ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w:t>
            </w:r>
          </w:p>
        </w:tc>
      </w:tr>
      <w:tr>
        <w:trPr/>
        <w:tc>
          <w:tcPr>
            <w:tcW w:w="4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4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21,200</w:t>
            </w:r>
          </w:p>
        </w:tc>
        <w:tc>
          <w:tcPr>
            <w:tcW w:w="326" w:type="dxa"/>
            <w:tcBorders/>
            <w:vAlign w:val="center"/>
          </w:tcPr>
          <w:p>
            <w:pPr>
              <w:pStyle w:val="TableContents"/>
              <w:bidi w:val="0"/>
              <w:spacing w:before="0" w:after="1"/>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716</w:t>
            </w:r>
          </w:p>
        </w:tc>
        <w:tc>
          <w:tcPr>
            <w:tcW w:w="326" w:type="dxa"/>
            <w:tcBorders/>
            <w:vAlign w:val="center"/>
          </w:tcPr>
          <w:p>
            <w:pPr>
              <w:pStyle w:val="TableContents"/>
              <w:bidi w:val="0"/>
              <w:spacing w:before="0" w:after="1"/>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747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single" w:sz="2"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22,663</w:t>
            </w:r>
          </w:p>
        </w:tc>
      </w:tr>
    </w:tbl>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TMC the metals company Inc.</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Notes to Condensed Consolidated Financial Statements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(in thousands of US Dollars, except share and per share amounts and unless otherwise stated)</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010" w:name="Tc_dg_3yMey6kmGoLkdB9fcpg_11_11"/>
      <w:bookmarkStart w:id="1011" w:name="Tc_lzr7JvS89k6ZXLtp5R5Ibg_11_8"/>
      <w:bookmarkStart w:id="1012" w:name="Tc_1t6lMDzldUSRko8wNPQqIw_11_5"/>
      <w:bookmarkStart w:id="1013" w:name="Tc_GUU2ECLZZUWgpW-faC_k3A_11_2"/>
      <w:bookmarkStart w:id="1014" w:name="Tc_RH624Aks3k623BXKlLCDHA_10_0"/>
      <w:bookmarkStart w:id="1015" w:name="Tc_027Y0wOHnEO7gvxblDUx4A_9_0"/>
      <w:bookmarkStart w:id="1016" w:name="Tc_hj-SFqF2JEaGNHhfruT5Iw_8_0"/>
      <w:bookmarkStart w:id="1017" w:name="Tc_ebGoXKGlAkuH9MUnk74RqQ_7_0"/>
      <w:bookmarkStart w:id="1018" w:name="Tc_Qaiu1JsBO0eAXdx5vXI0xg_6_0"/>
      <w:bookmarkStart w:id="1019" w:name="Tc_0JERlsDEfUKlTJcosdtNLg_5_0"/>
      <w:bookmarkStart w:id="1020" w:name="Tc_Ya3AyVTDs0e9h9THuZkIcw_4_11"/>
      <w:bookmarkStart w:id="1021" w:name="Tc_YkrWlLcRuUqTDFSyRvgq9Q_4_9"/>
      <w:bookmarkStart w:id="1022" w:name="Tc_bFhBkmdQxE6PsMMECFtBLQ_4_8"/>
      <w:bookmarkStart w:id="1023" w:name="Tc_mPtGUIDA5kqQ55-JHovxWQ_4_5"/>
      <w:bookmarkStart w:id="1024" w:name="Tc_-MYeeZLE6kmmuO4PPI0nog_4_2"/>
      <w:bookmarkStart w:id="1025" w:name="Tc_66oa2tskQUGYSI1QloJp9g_4_0"/>
      <w:bookmarkStart w:id="1026" w:name="Tc_1t_ZscRqDka90Juq8_YUwg_3_11"/>
      <w:bookmarkStart w:id="1027" w:name="Tc_2LzQXpFYEkGhbFoIq_deiQ_3_8"/>
      <w:bookmarkStart w:id="1028" w:name="Tc_zjuAyFYsmUig8GxR4tL86Q_3_5"/>
      <w:bookmarkStart w:id="1029" w:name="Tc_jnOq6F0MDkK_cOuo1Ax-fA_3_2"/>
      <w:bookmarkStart w:id="1030" w:name="Tc_MTv-Cva5mkygeBcWSwzhgg_3_0"/>
      <w:bookmarkStart w:id="1031" w:name="Tc_Xr-cnIcaQ0OdW2E5N9CtgA_2_8"/>
      <w:bookmarkStart w:id="1032" w:name="Tc_QWbryvOfPUOnBgkMefQXjg_2_5"/>
      <w:bookmarkStart w:id="1033" w:name="Tc_mGgmXq04oUqTNKTL8JUQ4A_2_2"/>
      <w:bookmarkStart w:id="1034" w:name="Tc__8DcahujzU-yagicvApHVA_1_8"/>
      <w:bookmarkStart w:id="1035" w:name="Tc_0krqY_JINkexHwmRSA9bhQ_1_5"/>
      <w:bookmarkStart w:id="1036" w:name="Tc_st1frGXV1k-3JBZkRXkZVg_1_2"/>
      <w:bookmarkStart w:id="1037" w:name="_fbcf272f_3bbe_48ff_81f7_98b0019a0e65"/>
      <w:bookmarkStart w:id="1038" w:name="Tc_luoNDBb660-KD6CnlsLbaA_11_11"/>
      <w:bookmarkStart w:id="1039" w:name="Tc_py-0l_Im_Ua0avXFUOkMLg_11_8"/>
      <w:bookmarkStart w:id="1040" w:name="Tc_VyNDqeBIMkiKck_8ATVFyQ_11_5"/>
      <w:bookmarkStart w:id="1041" w:name="Tc_MdGC-7TrEUCrjgtwfZnJYA_11_2"/>
      <w:bookmarkStart w:id="1042" w:name="Tc_Qbn-xQLYPka1ZUV42SvJEQ_10_6"/>
      <w:bookmarkStart w:id="1043" w:name="Tc__T9B1SHRT0OGbEtCI11lkw_10_0"/>
      <w:bookmarkStart w:id="1044" w:name="Tc_cMNekba0mkSbR5VwPY2TIg_9_0"/>
      <w:bookmarkStart w:id="1045" w:name="Tc_W2A_1Pm15ku_uAbj-e8nIg_8_9"/>
      <w:bookmarkStart w:id="1046" w:name="Tc__UpDZxo7ukmpYQAXo2KAlg_8_6"/>
      <w:bookmarkStart w:id="1047" w:name="Tc_0EKWuN8S3UOIQUe9VnDP2A_8_0"/>
      <w:bookmarkStart w:id="1048" w:name="Tc_3pZTVhAul0SPjs00zec3Yw_7_6"/>
      <w:bookmarkStart w:id="1049" w:name="Tc_AP-h9sL4tkaWNsSYdsUeUA_7_0"/>
      <w:bookmarkStart w:id="1050" w:name="Tc_obK-KeJsgE6VaHEQuALCHg_6_0"/>
      <w:bookmarkStart w:id="1051" w:name="Tc_4igvA3JYWESmdCRPcoqU3Q_5_0"/>
      <w:bookmarkStart w:id="1052" w:name="Tc_UnnePcDehE6KmCObjkVq4w_4_11"/>
      <w:bookmarkStart w:id="1053" w:name="Tc_i9lD-GoJy0GnH7bvjzY8sA_4_9"/>
      <w:bookmarkStart w:id="1054" w:name="Tc_z6pi_W3biUqCS9-7K6ocVQ_4_8"/>
      <w:bookmarkStart w:id="1055" w:name="Tc_QvXk2Vvsdk6-GC4WfvNw9A_4_6"/>
      <w:bookmarkStart w:id="1056" w:name="Tc_vobuXeVas0Oz12CauxWPgA_4_5"/>
      <w:bookmarkStart w:id="1057" w:name="Tc_0LgbC8iyMUiH2IJhW4VhIQ_4_2"/>
      <w:bookmarkStart w:id="1058" w:name="Tc_7w3wmrceREy1WSrJZcKKDA_4_0"/>
      <w:bookmarkStart w:id="1059" w:name="Tc_H-TjUCguLEqVlTdHla7Grw_3_11"/>
      <w:bookmarkStart w:id="1060" w:name="Tc_AEqC5V8MekSOuNIbcx9z5g_3_8"/>
      <w:bookmarkStart w:id="1061" w:name="Tc_728YQfQZH0KyJzi4jWxNeg_3_5"/>
      <w:bookmarkStart w:id="1062" w:name="Tc_lY6KJH28yE-mTtaJCqp-8A_3_2"/>
      <w:bookmarkStart w:id="1063" w:name="Tc_HT04AGJQtkSJlbNDOU7tpQ_3_0"/>
      <w:bookmarkStart w:id="1064" w:name="Tc_gwSWKv7PKEWvvwufAlTY-g_2_8"/>
      <w:bookmarkStart w:id="1065" w:name="Tc_3KKRwlp8cUWTxTPgEtSNKg_2_5"/>
      <w:bookmarkStart w:id="1066" w:name="Tc_H0vDcA6LDEi0eGULx1lMhw_2_2"/>
      <w:bookmarkStart w:id="1067" w:name="Tc_mn2G6J8UeUGxEGTNwiYd5A_1_8"/>
      <w:bookmarkStart w:id="1068" w:name="Tc_qbg0q79b5ke8AkIzvQrOdg_1_5"/>
      <w:bookmarkStart w:id="1069" w:name="Tc_f7aqwtCAM0axqR0eR_DTmA_1_2"/>
      <w:bookmarkStart w:id="1070" w:name="_1cff9ec2_3d68_4b90_93f0_4aa9d051d7b4"/>
      <w:bookmarkStart w:id="1071" w:name="Tc_dg_3yMey6kmGoLkdB9fcpg_11_11"/>
      <w:bookmarkStart w:id="1072" w:name="Tc_lzr7JvS89k6ZXLtp5R5Ibg_11_8"/>
      <w:bookmarkStart w:id="1073" w:name="Tc_1t6lMDzldUSRko8wNPQqIw_11_5"/>
      <w:bookmarkStart w:id="1074" w:name="Tc_GUU2ECLZZUWgpW-faC_k3A_11_2"/>
      <w:bookmarkStart w:id="1075" w:name="Tc_RH624Aks3k623BXKlLCDHA_10_0"/>
      <w:bookmarkStart w:id="1076" w:name="Tc_027Y0wOHnEO7gvxblDUx4A_9_0"/>
      <w:bookmarkStart w:id="1077" w:name="Tc_hj-SFqF2JEaGNHhfruT5Iw_8_0"/>
      <w:bookmarkStart w:id="1078" w:name="Tc_ebGoXKGlAkuH9MUnk74RqQ_7_0"/>
      <w:bookmarkStart w:id="1079" w:name="Tc_Qaiu1JsBO0eAXdx5vXI0xg_6_0"/>
      <w:bookmarkStart w:id="1080" w:name="Tc_0JERlsDEfUKlTJcosdtNLg_5_0"/>
      <w:bookmarkStart w:id="1081" w:name="Tc_Ya3AyVTDs0e9h9THuZkIcw_4_11"/>
      <w:bookmarkStart w:id="1082" w:name="Tc_YkrWlLcRuUqTDFSyRvgq9Q_4_9"/>
      <w:bookmarkStart w:id="1083" w:name="Tc_bFhBkmdQxE6PsMMECFtBLQ_4_8"/>
      <w:bookmarkStart w:id="1084" w:name="Tc_mPtGUIDA5kqQ55-JHovxWQ_4_5"/>
      <w:bookmarkStart w:id="1085" w:name="Tc_-MYeeZLE6kmmuO4PPI0nog_4_2"/>
      <w:bookmarkStart w:id="1086" w:name="Tc_66oa2tskQUGYSI1QloJp9g_4_0"/>
      <w:bookmarkStart w:id="1087" w:name="Tc_1t_ZscRqDka90Juq8_YUwg_3_11"/>
      <w:bookmarkStart w:id="1088" w:name="Tc_2LzQXpFYEkGhbFoIq_deiQ_3_8"/>
      <w:bookmarkStart w:id="1089" w:name="Tc_zjuAyFYsmUig8GxR4tL86Q_3_5"/>
      <w:bookmarkStart w:id="1090" w:name="Tc_jnOq6F0MDkK_cOuo1Ax-fA_3_2"/>
      <w:bookmarkStart w:id="1091" w:name="Tc_MTv-Cva5mkygeBcWSwzhgg_3_0"/>
      <w:bookmarkStart w:id="1092" w:name="Tc_Xr-cnIcaQ0OdW2E5N9CtgA_2_8"/>
      <w:bookmarkStart w:id="1093" w:name="Tc_QWbryvOfPUOnBgkMefQXjg_2_5"/>
      <w:bookmarkStart w:id="1094" w:name="Tc_mGgmXq04oUqTNKTL8JUQ4A_2_2"/>
      <w:bookmarkStart w:id="1095" w:name="Tc__8DcahujzU-yagicvApHVA_1_8"/>
      <w:bookmarkStart w:id="1096" w:name="Tc_0krqY_JINkexHwmRSA9bhQ_1_5"/>
      <w:bookmarkStart w:id="1097" w:name="Tc_st1frGXV1k-3JBZkRXkZVg_1_2"/>
      <w:bookmarkStart w:id="1098" w:name="_fbcf272f_3bbe_48ff_81f7_98b0019a0e65"/>
      <w:bookmarkStart w:id="1099" w:name="Tc_luoNDBb660-KD6CnlsLbaA_11_11"/>
      <w:bookmarkStart w:id="1100" w:name="Tc_py-0l_Im_Ua0avXFUOkMLg_11_8"/>
      <w:bookmarkStart w:id="1101" w:name="Tc_VyNDqeBIMkiKck_8ATVFyQ_11_5"/>
      <w:bookmarkStart w:id="1102" w:name="Tc_MdGC-7TrEUCrjgtwfZnJYA_11_2"/>
      <w:bookmarkStart w:id="1103" w:name="Tc_Qbn-xQLYPka1ZUV42SvJEQ_10_6"/>
      <w:bookmarkStart w:id="1104" w:name="Tc__T9B1SHRT0OGbEtCI11lkw_10_0"/>
      <w:bookmarkStart w:id="1105" w:name="Tc_cMNekba0mkSbR5VwPY2TIg_9_0"/>
      <w:bookmarkStart w:id="1106" w:name="Tc_W2A_1Pm15ku_uAbj-e8nIg_8_9"/>
      <w:bookmarkStart w:id="1107" w:name="Tc__UpDZxo7ukmpYQAXo2KAlg_8_6"/>
      <w:bookmarkStart w:id="1108" w:name="Tc_0EKWuN8S3UOIQUe9VnDP2A_8_0"/>
      <w:bookmarkStart w:id="1109" w:name="Tc_3pZTVhAul0SPjs00zec3Yw_7_6"/>
      <w:bookmarkStart w:id="1110" w:name="Tc_AP-h9sL4tkaWNsSYdsUeUA_7_0"/>
      <w:bookmarkStart w:id="1111" w:name="Tc_obK-KeJsgE6VaHEQuALCHg_6_0"/>
      <w:bookmarkStart w:id="1112" w:name="Tc_4igvA3JYWESmdCRPcoqU3Q_5_0"/>
      <w:bookmarkStart w:id="1113" w:name="Tc_UnnePcDehE6KmCObjkVq4w_4_11"/>
      <w:bookmarkStart w:id="1114" w:name="Tc_i9lD-GoJy0GnH7bvjzY8sA_4_9"/>
      <w:bookmarkStart w:id="1115" w:name="Tc_z6pi_W3biUqCS9-7K6ocVQ_4_8"/>
      <w:bookmarkStart w:id="1116" w:name="Tc_QvXk2Vvsdk6-GC4WfvNw9A_4_6"/>
      <w:bookmarkStart w:id="1117" w:name="Tc_vobuXeVas0Oz12CauxWPgA_4_5"/>
      <w:bookmarkStart w:id="1118" w:name="Tc_0LgbC8iyMUiH2IJhW4VhIQ_4_2"/>
      <w:bookmarkStart w:id="1119" w:name="Tc_7w3wmrceREy1WSrJZcKKDA_4_0"/>
      <w:bookmarkStart w:id="1120" w:name="Tc_H-TjUCguLEqVlTdHla7Grw_3_11"/>
      <w:bookmarkStart w:id="1121" w:name="Tc_AEqC5V8MekSOuNIbcx9z5g_3_8"/>
      <w:bookmarkStart w:id="1122" w:name="Tc_728YQfQZH0KyJzi4jWxNeg_3_5"/>
      <w:bookmarkStart w:id="1123" w:name="Tc_lY6KJH28yE-mTtaJCqp-8A_3_2"/>
      <w:bookmarkStart w:id="1124" w:name="Tc_HT04AGJQtkSJlbNDOU7tpQ_3_0"/>
      <w:bookmarkStart w:id="1125" w:name="Tc_gwSWKv7PKEWvvwufAlTY-g_2_8"/>
      <w:bookmarkStart w:id="1126" w:name="Tc_3KKRwlp8cUWTxTPgEtSNKg_2_5"/>
      <w:bookmarkStart w:id="1127" w:name="Tc_H0vDcA6LDEi0eGULx1lMhw_2_2"/>
      <w:bookmarkStart w:id="1128" w:name="Tc_mn2G6J8UeUGxEGTNwiYd5A_1_8"/>
      <w:bookmarkStart w:id="1129" w:name="Tc_qbg0q79b5ke8AkIzvQrOdg_1_5"/>
      <w:bookmarkStart w:id="1130" w:name="Tc_f7aqwtCAM0axqR0eR_DTmA_1_2"/>
      <w:bookmarkStart w:id="1131" w:name="_1cff9ec2_3d68_4b90_93f0_4aa9d051d7b4"/>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p>
    <w:tbl>
      <w:tblPr>
        <w:tblW w:w="9544" w:type="dxa"/>
        <w:jc w:val="left"/>
        <w:tblInd w:w="0" w:type="dxa"/>
        <w:tblLayout w:type="fixed"/>
        <w:tblCellMar>
          <w:top w:w="0" w:type="dxa"/>
          <w:left w:w="0" w:type="dxa"/>
          <w:bottom w:w="0" w:type="dxa"/>
          <w:right w:w="0" w:type="dxa"/>
        </w:tblCellMar>
      </w:tblPr>
      <w:tblGrid>
        <w:gridCol w:w="4351"/>
        <w:gridCol w:w="326"/>
        <w:gridCol w:w="232"/>
        <w:gridCol w:w="744"/>
        <w:gridCol w:w="326"/>
        <w:gridCol w:w="299"/>
        <w:gridCol w:w="602"/>
        <w:gridCol w:w="326"/>
        <w:gridCol w:w="275"/>
        <w:gridCol w:w="745"/>
        <w:gridCol w:w="326"/>
        <w:gridCol w:w="211"/>
        <w:gridCol w:w="781"/>
      </w:tblGrid>
      <w:tr>
        <w:trPr/>
        <w:tc>
          <w:tcPr>
            <w:tcW w:w="4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762885" cy="175260"/>
                      <wp:effectExtent l="0" t="0" r="0" b="0"/>
                      <wp:wrapNone/>
                      <wp:docPr id="150" name="Frame150"/>
                      <a:graphic xmlns:a="http://schemas.openxmlformats.org/drawingml/2006/main">
                        <a:graphicData uri="http://schemas.microsoft.com/office/word/2010/wordprocessingShape">
                          <wps:wsp>
                            <wps:cNvSpPr txBox="1"/>
                            <wps:spPr>
                              <a:xfrm>
                                <a:off x="0" y="0"/>
                                <a:ext cx="276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1"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47320" cy="175260"/>
                      <wp:effectExtent l="0" t="0" r="0" b="0"/>
                      <wp:wrapNone/>
                      <wp:docPr id="152" name="Frame152"/>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472440" cy="175260"/>
                      <wp:effectExtent l="0" t="0" r="0" b="0"/>
                      <wp:wrapNone/>
                      <wp:docPr id="153" name="Frame153"/>
                      <a:graphic xmlns:a="http://schemas.openxmlformats.org/drawingml/2006/main">
                        <a:graphicData uri="http://schemas.microsoft.com/office/word/2010/wordprocessingShape">
                          <wps:wsp>
                            <wps:cNvSpPr txBox="1"/>
                            <wps:spPr>
                              <a:xfrm>
                                <a:off x="0" y="0"/>
                                <a:ext cx="472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89865" cy="175260"/>
                      <wp:effectExtent l="0" t="0" r="0" b="0"/>
                      <wp:wrapNone/>
                      <wp:docPr id="155" name="Frame155"/>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382270" cy="175260"/>
                      <wp:effectExtent l="0" t="0" r="0" b="0"/>
                      <wp:wrapNone/>
                      <wp:docPr id="156" name="Frame156"/>
                      <a:graphic xmlns:a="http://schemas.openxmlformats.org/drawingml/2006/main">
                        <a:graphicData uri="http://schemas.microsoft.com/office/word/2010/wordprocessingShape">
                          <wps:wsp>
                            <wps:cNvSpPr txBox="1"/>
                            <wps:spPr>
                              <a:xfrm>
                                <a:off x="0" y="0"/>
                                <a:ext cx="382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74625" cy="175260"/>
                      <wp:effectExtent l="0" t="0" r="0" b="0"/>
                      <wp:wrapNone/>
                      <wp:docPr id="158" name="Frame158"/>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473075" cy="175260"/>
                      <wp:effectExtent l="0" t="0" r="0" b="0"/>
                      <wp:wrapNone/>
                      <wp:docPr id="159" name="Frame159"/>
                      <a:graphic xmlns:a="http://schemas.openxmlformats.org/drawingml/2006/main">
                        <a:graphicData uri="http://schemas.microsoft.com/office/word/2010/wordprocessingShape">
                          <wps:wsp>
                            <wps:cNvSpPr txBox="1"/>
                            <wps:spPr>
                              <a:xfrm>
                                <a:off x="0" y="0"/>
                                <a:ext cx="473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60"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3985" cy="175260"/>
                      <wp:effectExtent l="0" t="0" r="0" b="0"/>
                      <wp:wrapNone/>
                      <wp:docPr id="161" name="Frame1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95935" cy="175260"/>
                      <wp:effectExtent l="0" t="0" r="0" b="0"/>
                      <wp:wrapNone/>
                      <wp:docPr id="162" name="Frame16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7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NORI </w:t>
            </w:r>
          </w:p>
        </w:tc>
        <w:tc>
          <w:tcPr>
            <w:tcW w:w="326" w:type="dxa"/>
            <w:tcBorders/>
            <w:vAlign w:val="center"/>
          </w:tcPr>
          <w:p>
            <w:pPr>
              <w:pStyle w:val="TableContents"/>
              <w:bidi w:val="0"/>
              <w:spacing w:before="0" w:after="0"/>
              <w:ind w:left="0" w:right="0" w:hanging="0"/>
              <w:jc w:val="right"/>
              <w:rPr/>
            </w:pPr>
            <w:r>
              <w:rPr/>
              <w:t>​</w:t>
            </w:r>
          </w:p>
        </w:tc>
        <w:tc>
          <w:tcPr>
            <w:tcW w:w="901"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Marawa </w:t>
            </w:r>
          </w:p>
        </w:tc>
        <w:tc>
          <w:tcPr>
            <w:tcW w:w="326" w:type="dxa"/>
            <w:tcBorders/>
            <w:vAlign w:val="center"/>
          </w:tcPr>
          <w:p>
            <w:pPr>
              <w:pStyle w:val="TableContents"/>
              <w:bidi w:val="0"/>
              <w:spacing w:before="0" w:after="0"/>
              <w:ind w:left="0" w:right="0" w:hanging="0"/>
              <w:jc w:val="right"/>
              <w:rPr/>
            </w:pPr>
            <w:r>
              <w:rPr/>
              <w:t>​</w:t>
            </w:r>
          </w:p>
        </w:tc>
        <w:tc>
          <w:tcPr>
            <w:tcW w:w="1020"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TOML </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 </w:t>
            </w:r>
          </w:p>
        </w:tc>
      </w:tr>
      <w:tr>
        <w:trPr/>
        <w:tc>
          <w:tcPr>
            <w:tcW w:w="4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76"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Exploration</w:t>
            </w:r>
          </w:p>
        </w:tc>
        <w:tc>
          <w:tcPr>
            <w:tcW w:w="326" w:type="dxa"/>
            <w:tcBorders/>
            <w:vAlign w:val="center"/>
          </w:tcPr>
          <w:p>
            <w:pPr>
              <w:pStyle w:val="TableContents"/>
              <w:bidi w:val="0"/>
              <w:spacing w:before="0" w:after="0"/>
              <w:ind w:left="0" w:right="0" w:hanging="0"/>
              <w:jc w:val="right"/>
              <w:rPr/>
            </w:pPr>
            <w:r>
              <w:rPr/>
              <w:t>​</w:t>
            </w:r>
          </w:p>
        </w:tc>
        <w:tc>
          <w:tcPr>
            <w:tcW w:w="901"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Option</w:t>
            </w:r>
          </w:p>
        </w:tc>
        <w:tc>
          <w:tcPr>
            <w:tcW w:w="326" w:type="dxa"/>
            <w:tcBorders/>
            <w:vAlign w:val="center"/>
          </w:tcPr>
          <w:p>
            <w:pPr>
              <w:pStyle w:val="TableContents"/>
              <w:bidi w:val="0"/>
              <w:spacing w:before="0" w:after="0"/>
              <w:ind w:left="0" w:right="0" w:hanging="0"/>
              <w:jc w:val="right"/>
              <w:rPr/>
            </w:pPr>
            <w:r>
              <w:rPr/>
              <w:t>​</w:t>
            </w:r>
          </w:p>
        </w:tc>
        <w:tc>
          <w:tcPr>
            <w:tcW w:w="1020" w:type="dxa"/>
            <w:gridSpan w:val="2"/>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xml:space="preserve">Exploration </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43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For the nine months ended September 30, 2023</w:t>
            </w:r>
          </w:p>
        </w:tc>
        <w:tc>
          <w:tcPr>
            <w:tcW w:w="326" w:type="dxa"/>
            <w:tcBorders/>
            <w:vAlign w:val="center"/>
          </w:tcPr>
          <w:p>
            <w:pPr>
              <w:pStyle w:val="TableContents"/>
              <w:bidi w:val="0"/>
              <w:spacing w:before="0" w:after="0"/>
              <w:ind w:left="0" w:right="0" w:hanging="0"/>
              <w:jc w:val="center"/>
              <w:rPr/>
            </w:pPr>
            <w:r>
              <w:rPr/>
              <w:t>    </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Contract</w:t>
            </w:r>
          </w:p>
        </w:tc>
        <w:tc>
          <w:tcPr>
            <w:tcW w:w="326" w:type="dxa"/>
            <w:tcBorders/>
            <w:vAlign w:val="center"/>
          </w:tcPr>
          <w:p>
            <w:pPr>
              <w:pStyle w:val="TableContents"/>
              <w:bidi w:val="0"/>
              <w:spacing w:before="0" w:after="0"/>
              <w:ind w:left="0" w:right="0" w:hanging="0"/>
              <w:jc w:val="righ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Agreement</w:t>
            </w:r>
          </w:p>
        </w:tc>
        <w:tc>
          <w:tcPr>
            <w:tcW w:w="326" w:type="dxa"/>
            <w:tcBorders/>
            <w:vAlign w:val="center"/>
          </w:tcPr>
          <w:p>
            <w:pPr>
              <w:pStyle w:val="TableContents"/>
              <w:bidi w:val="0"/>
              <w:spacing w:before="0" w:after="0"/>
              <w:ind w:left="0" w:right="0" w:hanging="0"/>
              <w:jc w:val="right"/>
              <w:rPr/>
            </w:pPr>
            <w:r>
              <w:rPr/>
              <w:t>    </w:t>
            </w:r>
          </w:p>
        </w:tc>
        <w:tc>
          <w:tcPr>
            <w:tcW w:w="1020"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Contract</w:t>
            </w:r>
          </w:p>
        </w:tc>
        <w:tc>
          <w:tcPr>
            <w:tcW w:w="326" w:type="dxa"/>
            <w:tcBorders/>
            <w:vAlign w:val="center"/>
          </w:tcPr>
          <w:p>
            <w:pPr>
              <w:pStyle w:val="TableContents"/>
              <w:bidi w:val="0"/>
              <w:spacing w:before="0" w:after="0"/>
              <w:ind w:left="0" w:right="0" w:hanging="0"/>
              <w:jc w:val="righ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Total</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Environmental Studies</w:t>
            </w:r>
          </w:p>
        </w:tc>
        <w:tc>
          <w:tcPr>
            <w:tcW w:w="326" w:type="dxa"/>
            <w:tcBorders/>
            <w:shd w:fill="CCEEFF" w:val="clear"/>
            <w:vAlign w:val="center"/>
          </w:tcPr>
          <w:p>
            <w:pPr>
              <w:pStyle w:val="TableContents"/>
              <w:bidi w:val="0"/>
              <w:spacing w:before="0" w:after="0"/>
              <w:ind w:left="0" w:right="0" w:hanging="0"/>
              <w:jc w:val="center"/>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5,433</w:t>
            </w:r>
          </w:p>
        </w:tc>
        <w:tc>
          <w:tcPr>
            <w:tcW w:w="326" w:type="dxa"/>
            <w:tcBorders/>
            <w:shd w:fill="CCEEFF" w:val="clear"/>
            <w:vAlign w:val="center"/>
          </w:tcPr>
          <w:p>
            <w:pPr>
              <w:pStyle w:val="TableContents"/>
              <w:bidi w:val="0"/>
              <w:spacing w:before="0" w:after="0"/>
              <w:ind w:left="0" w:right="0" w:hanging="0"/>
              <w:jc w:val="righ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5,433</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Exploration Labor</w:t>
            </w:r>
          </w:p>
        </w:tc>
        <w:tc>
          <w:tcPr>
            <w:tcW w:w="326" w:type="dxa"/>
            <w:tcBorders/>
            <w:vAlign w:val="center"/>
          </w:tcPr>
          <w:p>
            <w:pPr>
              <w:pStyle w:val="TableContents"/>
              <w:bidi w:val="0"/>
              <w:spacing w:before="0" w:after="0"/>
              <w:ind w:left="0" w:right="0" w:hanging="0"/>
              <w:jc w:val="center"/>
              <w:rPr/>
            </w:pPr>
            <w:r>
              <w:rPr/>
              <w:t>​</w:t>
            </w:r>
          </w:p>
        </w:tc>
        <w:tc>
          <w:tcPr>
            <w:tcW w:w="232" w:type="dxa"/>
            <w:tcBorders/>
            <w:vAlign w:val="center"/>
          </w:tcPr>
          <w:p>
            <w:pPr>
              <w:pStyle w:val="TableContents"/>
              <w:bidi w:val="0"/>
              <w:spacing w:before="0" w:after="0"/>
              <w:ind w:left="0" w:right="0" w:hanging="0"/>
              <w:jc w:val="center"/>
              <w:rPr/>
            </w:pPr>
            <w:r>
              <w:rPr/>
              <w:t>​</w:t>
            </w:r>
          </w:p>
        </w:tc>
        <w:tc>
          <w:tcPr>
            <w:tcW w:w="7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3,637</w:t>
            </w:r>
          </w:p>
        </w:tc>
        <w:tc>
          <w:tcPr>
            <w:tcW w:w="326" w:type="dxa"/>
            <w:tcBorders/>
            <w:vAlign w:val="center"/>
          </w:tcPr>
          <w:p>
            <w:pPr>
              <w:pStyle w:val="TableContents"/>
              <w:bidi w:val="0"/>
              <w:spacing w:before="0" w:after="0"/>
              <w:ind w:left="0" w:right="0" w:hanging="0"/>
              <w:jc w:val="right"/>
              <w:rPr/>
            </w:pPr>
            <w:r>
              <w:rPr/>
              <w:t>​</w:t>
            </w:r>
          </w:p>
        </w:tc>
        <w:tc>
          <w:tcPr>
            <w:tcW w:w="299" w:type="dxa"/>
            <w:tcBorders/>
            <w:vAlign w:val="center"/>
          </w:tcPr>
          <w:p>
            <w:pPr>
              <w:pStyle w:val="TableContents"/>
              <w:bidi w:val="0"/>
              <w:spacing w:before="0" w:after="0"/>
              <w:ind w:left="0" w:right="0" w:hanging="0"/>
              <w:jc w:val="right"/>
              <w:rPr/>
            </w:pPr>
            <w:r>
              <w:rPr/>
              <w:t>​</w:t>
            </w:r>
          </w:p>
        </w:tc>
        <w:tc>
          <w:tcPr>
            <w:tcW w:w="6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26" w:type="dxa"/>
            <w:tcBorders/>
            <w:vAlign w:val="center"/>
          </w:tcPr>
          <w:p>
            <w:pPr>
              <w:pStyle w:val="TableContents"/>
              <w:bidi w:val="0"/>
              <w:spacing w:before="0" w:after="0"/>
              <w:ind w:left="0" w:right="0" w:hanging="0"/>
              <w:jc w:val="right"/>
              <w:rPr/>
            </w:pPr>
            <w:r>
              <w:rPr/>
              <w:t>​</w:t>
            </w:r>
          </w:p>
        </w:tc>
        <w:tc>
          <w:tcPr>
            <w:tcW w:w="275" w:type="dxa"/>
            <w:tcBorders/>
            <w:vAlign w:val="center"/>
          </w:tcPr>
          <w:p>
            <w:pPr>
              <w:pStyle w:val="TableContents"/>
              <w:bidi w:val="0"/>
              <w:spacing w:before="0" w:after="0"/>
              <w:ind w:left="0" w:right="0" w:hanging="0"/>
              <w:jc w:val="right"/>
              <w:rPr/>
            </w:pPr>
            <w:r>
              <w:rPr/>
              <w:t>​</w:t>
            </w:r>
          </w:p>
        </w:tc>
        <w:tc>
          <w:tcPr>
            <w:tcW w:w="7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4,203</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 (Note 10)</w:t>
            </w:r>
          </w:p>
        </w:tc>
        <w:tc>
          <w:tcPr>
            <w:tcW w:w="326"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right"/>
              <w:rPr/>
            </w:pPr>
            <w:r>
              <w:rPr/>
              <w:t>​</w:t>
            </w:r>
          </w:p>
        </w:tc>
        <w:tc>
          <w:tcPr>
            <w:tcW w:w="7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3,330</w:t>
            </w:r>
          </w:p>
        </w:tc>
        <w:tc>
          <w:tcPr>
            <w:tcW w:w="326" w:type="dxa"/>
            <w:tcBorders/>
            <w:shd w:fill="CCEEFF" w:val="clear"/>
            <w:vAlign w:val="center"/>
          </w:tcPr>
          <w:p>
            <w:pPr>
              <w:pStyle w:val="TableContents"/>
              <w:bidi w:val="0"/>
              <w:spacing w:before="0" w:after="0"/>
              <w:ind w:left="0" w:right="0" w:hanging="0"/>
              <w:jc w:val="right"/>
              <w:rPr/>
            </w:pPr>
            <w:r>
              <w:rPr/>
              <w:t> </w:t>
            </w:r>
          </w:p>
        </w:tc>
        <w:tc>
          <w:tcPr>
            <w:tcW w:w="299" w:type="dxa"/>
            <w:tcBorders/>
            <w:shd w:fill="CCEEFF" w:val="clear"/>
            <w:vAlign w:val="center"/>
          </w:tcPr>
          <w:p>
            <w:pPr>
              <w:pStyle w:val="TableContents"/>
              <w:bidi w:val="0"/>
              <w:spacing w:before="0" w:after="0"/>
              <w:ind w:left="0" w:right="0" w:hanging="0"/>
              <w:jc w:val="right"/>
              <w:rPr/>
            </w:pPr>
            <w:r>
              <w:rPr/>
              <w:t>​</w:t>
            </w:r>
          </w:p>
        </w:tc>
        <w:tc>
          <w:tcPr>
            <w:tcW w:w="6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26" w:type="dxa"/>
            <w:tcBorders/>
            <w:shd w:fill="CCEEFF" w:val="clear"/>
            <w:vAlign w:val="center"/>
          </w:tcPr>
          <w:p>
            <w:pPr>
              <w:pStyle w:val="TableContents"/>
              <w:bidi w:val="0"/>
              <w:spacing w:before="0" w:after="0"/>
              <w:ind w:left="0" w:right="0" w:hanging="0"/>
              <w:jc w:val="right"/>
              <w:rPr/>
            </w:pPr>
            <w:r>
              <w:rPr/>
              <w:t> </w:t>
            </w:r>
          </w:p>
        </w:tc>
        <w:tc>
          <w:tcPr>
            <w:tcW w:w="275" w:type="dxa"/>
            <w:tcBorders/>
            <w:shd w:fill="CCEEFF" w:val="clear"/>
            <w:vAlign w:val="center"/>
          </w:tcPr>
          <w:p>
            <w:pPr>
              <w:pStyle w:val="TableContents"/>
              <w:bidi w:val="0"/>
              <w:spacing w:before="0" w:after="0"/>
              <w:ind w:left="0" w:right="0" w:hanging="0"/>
              <w:jc w:val="right"/>
              <w:rPr/>
            </w:pPr>
            <w:r>
              <w:rPr/>
              <w:t>​</w:t>
            </w:r>
          </w:p>
        </w:tc>
        <w:tc>
          <w:tcPr>
            <w:tcW w:w="7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c>
          <w:tcPr>
            <w:tcW w:w="326" w:type="dxa"/>
            <w:tcBorders/>
            <w:shd w:fill="CCEEFF" w:val="clear"/>
            <w:vAlign w:val="center"/>
          </w:tcPr>
          <w:p>
            <w:pPr>
              <w:pStyle w:val="TableContents"/>
              <w:bidi w:val="0"/>
              <w:spacing w:before="0" w:after="0"/>
              <w:ind w:left="0" w:right="0" w:hanging="0"/>
              <w:jc w:val="righ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3,789</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Mining, Technological and Process Development</w:t>
            </w:r>
          </w:p>
        </w:tc>
        <w:tc>
          <w:tcPr>
            <w:tcW w:w="32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right"/>
              <w:rPr/>
            </w:pPr>
            <w:r>
              <w:rPr/>
              <w:t>​</w:t>
            </w:r>
          </w:p>
        </w:tc>
        <w:tc>
          <w:tcPr>
            <w:tcW w:w="7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5,287</w:t>
            </w:r>
          </w:p>
        </w:tc>
        <w:tc>
          <w:tcPr>
            <w:tcW w:w="326" w:type="dxa"/>
            <w:tcBorders/>
            <w:vAlign w:val="center"/>
          </w:tcPr>
          <w:p>
            <w:pPr>
              <w:pStyle w:val="TableContents"/>
              <w:bidi w:val="0"/>
              <w:spacing w:before="0" w:after="0"/>
              <w:ind w:left="0" w:right="0" w:hanging="0"/>
              <w:jc w:val="right"/>
              <w:rPr/>
            </w:pPr>
            <w:r>
              <w:rPr/>
              <w:t> </w:t>
            </w:r>
          </w:p>
        </w:tc>
        <w:tc>
          <w:tcPr>
            <w:tcW w:w="299" w:type="dxa"/>
            <w:tcBorders/>
            <w:vAlign w:val="center"/>
          </w:tcPr>
          <w:p>
            <w:pPr>
              <w:pStyle w:val="TableContents"/>
              <w:bidi w:val="0"/>
              <w:spacing w:before="0" w:after="0"/>
              <w:ind w:left="0" w:right="0" w:hanging="0"/>
              <w:jc w:val="right"/>
              <w:rPr/>
            </w:pPr>
            <w:r>
              <w:rPr/>
              <w:t>​</w:t>
            </w:r>
          </w:p>
        </w:tc>
        <w:tc>
          <w:tcPr>
            <w:tcW w:w="60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right"/>
              <w:rPr/>
            </w:pPr>
            <w:r>
              <w:rPr/>
              <w:t>​</w:t>
            </w:r>
          </w:p>
        </w:tc>
        <w:tc>
          <w:tcPr>
            <w:tcW w:w="7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w:t>
            </w:r>
          </w:p>
        </w:tc>
        <w:tc>
          <w:tcPr>
            <w:tcW w:w="32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5,796</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Prefeasibility Studies</w:t>
            </w:r>
          </w:p>
        </w:tc>
        <w:tc>
          <w:tcPr>
            <w:tcW w:w="326"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right"/>
              <w:rPr/>
            </w:pPr>
            <w:r>
              <w:rPr/>
              <w:t>​</w:t>
            </w:r>
          </w:p>
        </w:tc>
        <w:tc>
          <w:tcPr>
            <w:tcW w:w="7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w:t>
            </w:r>
          </w:p>
        </w:tc>
        <w:tc>
          <w:tcPr>
            <w:tcW w:w="326" w:type="dxa"/>
            <w:tcBorders/>
            <w:shd w:fill="CCEEFF" w:val="clear"/>
            <w:vAlign w:val="center"/>
          </w:tcPr>
          <w:p>
            <w:pPr>
              <w:pStyle w:val="TableContents"/>
              <w:bidi w:val="0"/>
              <w:spacing w:before="0" w:after="0"/>
              <w:ind w:left="0" w:right="0" w:hanging="0"/>
              <w:jc w:val="right"/>
              <w:rPr/>
            </w:pPr>
            <w:r>
              <w:rPr/>
              <w:t> </w:t>
            </w:r>
          </w:p>
        </w:tc>
        <w:tc>
          <w:tcPr>
            <w:tcW w:w="299" w:type="dxa"/>
            <w:tcBorders/>
            <w:shd w:fill="CCEEFF" w:val="clear"/>
            <w:vAlign w:val="center"/>
          </w:tcPr>
          <w:p>
            <w:pPr>
              <w:pStyle w:val="TableContents"/>
              <w:bidi w:val="0"/>
              <w:spacing w:before="0" w:after="0"/>
              <w:ind w:left="0" w:right="0" w:hanging="0"/>
              <w:jc w:val="right"/>
              <w:rPr/>
            </w:pPr>
            <w:r>
              <w:rPr/>
              <w:t>​</w:t>
            </w:r>
          </w:p>
        </w:tc>
        <w:tc>
          <w:tcPr>
            <w:tcW w:w="60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275" w:type="dxa"/>
            <w:tcBorders/>
            <w:shd w:fill="CCEEFF" w:val="clear"/>
            <w:vAlign w:val="center"/>
          </w:tcPr>
          <w:p>
            <w:pPr>
              <w:pStyle w:val="TableContents"/>
              <w:bidi w:val="0"/>
              <w:spacing w:before="0" w:after="0"/>
              <w:ind w:left="0" w:right="0" w:hanging="0"/>
              <w:jc w:val="right"/>
              <w:rPr/>
            </w:pPr>
            <w:r>
              <w:rPr/>
              <w:t>​</w:t>
            </w:r>
          </w:p>
        </w:tc>
        <w:tc>
          <w:tcPr>
            <w:tcW w:w="74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Sponsorship, Training and Stakeholder Engagement</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right"/>
              <w:rPr/>
            </w:pPr>
            <w:r>
              <w:rPr/>
              <w:t>​</w:t>
            </w:r>
          </w:p>
        </w:tc>
        <w:tc>
          <w:tcPr>
            <w:tcW w:w="7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1,557</w:t>
            </w:r>
          </w:p>
        </w:tc>
        <w:tc>
          <w:tcPr>
            <w:tcW w:w="326" w:type="dxa"/>
            <w:tcBorders/>
            <w:vAlign w:val="center"/>
          </w:tcPr>
          <w:p>
            <w:pPr>
              <w:pStyle w:val="TableContents"/>
              <w:bidi w:val="0"/>
              <w:spacing w:before="0" w:after="0"/>
              <w:ind w:left="0" w:right="0" w:hanging="0"/>
              <w:jc w:val="right"/>
              <w:rPr/>
            </w:pPr>
            <w:r>
              <w:rPr/>
              <w:t>​</w:t>
            </w:r>
          </w:p>
        </w:tc>
        <w:tc>
          <w:tcPr>
            <w:tcW w:w="299" w:type="dxa"/>
            <w:tcBorders/>
            <w:vAlign w:val="center"/>
          </w:tcPr>
          <w:p>
            <w:pPr>
              <w:pStyle w:val="TableContents"/>
              <w:bidi w:val="0"/>
              <w:spacing w:before="0" w:after="0"/>
              <w:ind w:left="0" w:right="0" w:hanging="0"/>
              <w:jc w:val="right"/>
              <w:rPr/>
            </w:pPr>
            <w:r>
              <w:rPr/>
              <w:t>​</w:t>
            </w:r>
          </w:p>
        </w:tc>
        <w:tc>
          <w:tcPr>
            <w:tcW w:w="6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326" w:type="dxa"/>
            <w:tcBorders/>
            <w:vAlign w:val="center"/>
          </w:tcPr>
          <w:p>
            <w:pPr>
              <w:pStyle w:val="TableContents"/>
              <w:bidi w:val="0"/>
              <w:spacing w:before="0" w:after="0"/>
              <w:ind w:left="0" w:right="0" w:hanging="0"/>
              <w:jc w:val="right"/>
              <w:rPr/>
            </w:pPr>
            <w:r>
              <w:rPr/>
              <w:t>​</w:t>
            </w:r>
          </w:p>
        </w:tc>
        <w:tc>
          <w:tcPr>
            <w:tcW w:w="275" w:type="dxa"/>
            <w:tcBorders/>
            <w:vAlign w:val="center"/>
          </w:tcPr>
          <w:p>
            <w:pPr>
              <w:pStyle w:val="TableContents"/>
              <w:bidi w:val="0"/>
              <w:spacing w:before="0" w:after="0"/>
              <w:ind w:left="0" w:right="0" w:hanging="0"/>
              <w:jc w:val="right"/>
              <w:rPr/>
            </w:pPr>
            <w:r>
              <w:rPr/>
              <w:t>​</w:t>
            </w:r>
          </w:p>
        </w:tc>
        <w:tc>
          <w:tcPr>
            <w:tcW w:w="7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2,489</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 </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w:t>
            </w:r>
          </w:p>
        </w:tc>
        <w:tc>
          <w:tcPr>
            <w:tcW w:w="326" w:type="dxa"/>
            <w:tcBorders/>
            <w:shd w:fill="CCEEFF" w:val="clear"/>
            <w:vAlign w:val="center"/>
          </w:tcPr>
          <w:p>
            <w:pPr>
              <w:pStyle w:val="TableContents"/>
              <w:bidi w:val="0"/>
              <w:spacing w:before="0" w:after="0"/>
              <w:ind w:left="0" w:right="0" w:hanging="0"/>
              <w:jc w:val="right"/>
              <w:rPr/>
            </w:pPr>
            <w:r>
              <w:rPr/>
              <w:t> </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righ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r>
      <w:tr>
        <w:trPr/>
        <w:tc>
          <w:tcPr>
            <w:tcW w:w="4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20,703</w:t>
            </w:r>
          </w:p>
        </w:tc>
        <w:tc>
          <w:tcPr>
            <w:tcW w:w="326"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424</w:t>
            </w:r>
          </w:p>
        </w:tc>
        <w:tc>
          <w:tcPr>
            <w:tcW w:w="326" w:type="dxa"/>
            <w:tcBorders/>
            <w:vAlign w:val="center"/>
          </w:tcPr>
          <w:p>
            <w:pPr>
              <w:pStyle w:val="TableContents"/>
              <w:bidi w:val="0"/>
              <w:spacing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23,172</w:t>
            </w:r>
          </w:p>
        </w:tc>
      </w:tr>
    </w:tbl>
    <w:p>
      <w:pPr>
        <w:pStyle w:val="TextBody"/>
        <w:bidi w:val="0"/>
        <w:spacing w:before="0" w:after="0"/>
        <w:ind w:left="0" w:right="0" w:hanging="0"/>
        <w:jc w:val="left"/>
        <w:rPr/>
      </w:pPr>
      <w:r>
        <w:rPr/>
        <w:t>​</w:t>
      </w:r>
    </w:p>
    <w:tbl>
      <w:tblPr>
        <w:tblW w:w="9710" w:type="dxa"/>
        <w:jc w:val="left"/>
        <w:tblInd w:w="0" w:type="dxa"/>
        <w:tblLayout w:type="fixed"/>
        <w:tblCellMar>
          <w:top w:w="0" w:type="dxa"/>
          <w:left w:w="0" w:type="dxa"/>
          <w:bottom w:w="0" w:type="dxa"/>
          <w:right w:w="0" w:type="dxa"/>
        </w:tblCellMar>
      </w:tblPr>
      <w:tblGrid>
        <w:gridCol w:w="4351"/>
        <w:gridCol w:w="326"/>
        <w:gridCol w:w="257"/>
        <w:gridCol w:w="824"/>
        <w:gridCol w:w="326"/>
        <w:gridCol w:w="259"/>
        <w:gridCol w:w="702"/>
        <w:gridCol w:w="326"/>
        <w:gridCol w:w="275"/>
        <w:gridCol w:w="746"/>
        <w:gridCol w:w="326"/>
        <w:gridCol w:w="211"/>
        <w:gridCol w:w="781"/>
      </w:tblGrid>
      <w:tr>
        <w:trPr/>
        <w:tc>
          <w:tcPr>
            <w:tcW w:w="4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762885" cy="175260"/>
                      <wp:effectExtent l="0" t="0" r="0" b="0"/>
                      <wp:wrapNone/>
                      <wp:docPr id="163" name="Frame163"/>
                      <a:graphic xmlns:a="http://schemas.openxmlformats.org/drawingml/2006/main">
                        <a:graphicData uri="http://schemas.microsoft.com/office/word/2010/wordprocessingShape">
                          <wps:wsp>
                            <wps:cNvSpPr txBox="1"/>
                            <wps:spPr>
                              <a:xfrm>
                                <a:off x="0" y="0"/>
                                <a:ext cx="2762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64" name="Frame1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63195" cy="175260"/>
                      <wp:effectExtent l="0" t="0" r="0" b="0"/>
                      <wp:wrapNone/>
                      <wp:docPr id="165" name="Frame165"/>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23240" cy="175260"/>
                      <wp:effectExtent l="0" t="0" r="0" b="0"/>
                      <wp:wrapNone/>
                      <wp:docPr id="166" name="Frame166"/>
                      <a:graphic xmlns:a="http://schemas.openxmlformats.org/drawingml/2006/main">
                        <a:graphicData uri="http://schemas.microsoft.com/office/word/2010/wordprocessingShape">
                          <wps:wsp>
                            <wps:cNvSpPr txBox="1"/>
                            <wps:spPr>
                              <a:xfrm>
                                <a:off x="0" y="0"/>
                                <a:ext cx="523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7" name="Frame1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64465" cy="175260"/>
                      <wp:effectExtent l="0" t="0" r="0" b="0"/>
                      <wp:wrapNone/>
                      <wp:docPr id="168" name="Frame168"/>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445770" cy="175260"/>
                      <wp:effectExtent l="0" t="0" r="0" b="0"/>
                      <wp:wrapNone/>
                      <wp:docPr id="169" name="Frame169"/>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70" name="Frame1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74625" cy="175260"/>
                      <wp:effectExtent l="0" t="0" r="0" b="0"/>
                      <wp:wrapNone/>
                      <wp:docPr id="171" name="Frame171"/>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73710" cy="175260"/>
                      <wp:effectExtent l="0" t="0" r="0" b="0"/>
                      <wp:wrapNone/>
                      <wp:docPr id="172" name="Frame172"/>
                      <a:graphic xmlns:a="http://schemas.openxmlformats.org/drawingml/2006/main">
                        <a:graphicData uri="http://schemas.microsoft.com/office/word/2010/wordprocessingShape">
                          <wps:wsp>
                            <wps:cNvSpPr txBox="1"/>
                            <wps:spPr>
                              <a:xfrm>
                                <a:off x="0" y="0"/>
                                <a:ext cx="473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4" name="Frame1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95935" cy="175260"/>
                      <wp:effectExtent l="0" t="0" r="0" b="0"/>
                      <wp:wrapNone/>
                      <wp:docPr id="175" name="Frame17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NORI</w:t>
            </w:r>
          </w:p>
        </w:tc>
        <w:tc>
          <w:tcPr>
            <w:tcW w:w="326" w:type="dxa"/>
            <w:tcBorders/>
            <w:vAlign w:val="center"/>
          </w:tcPr>
          <w:p>
            <w:pPr>
              <w:pStyle w:val="TableContents"/>
              <w:bidi w:val="0"/>
              <w:spacing w:before="0" w:after="1"/>
              <w:ind w:left="0" w:right="0" w:hanging="0"/>
              <w:jc w:val="center"/>
              <w:rPr/>
            </w:pPr>
            <w:r>
              <w:rPr/>
              <w:t>​</w:t>
            </w:r>
          </w:p>
        </w:tc>
        <w:tc>
          <w:tcPr>
            <w:tcW w:w="961"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Marawa</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TOML </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r>
      <w:tr>
        <w:trPr/>
        <w:tc>
          <w:tcPr>
            <w:tcW w:w="43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right"/>
              <w:rPr/>
            </w:pPr>
            <w:r>
              <w:rPr/>
              <w:t> </w:t>
            </w:r>
            <w:r>
              <w:rPr>
                <w:rFonts w:ascii="Times New Roman;Times;serif" w:hAnsi="Times New Roman;Times;serif"/>
                <w:b/>
                <w:sz w:val="16"/>
              </w:rPr>
              <w:t>Exploration </w:t>
            </w:r>
          </w:p>
        </w:tc>
        <w:tc>
          <w:tcPr>
            <w:tcW w:w="326" w:type="dxa"/>
            <w:tcBorders/>
            <w:vAlign w:val="center"/>
          </w:tcPr>
          <w:p>
            <w:pPr>
              <w:pStyle w:val="TableContents"/>
              <w:bidi w:val="0"/>
              <w:spacing w:before="0" w:after="1"/>
              <w:ind w:left="0" w:right="0" w:hanging="0"/>
              <w:jc w:val="center"/>
              <w:rPr/>
            </w:pPr>
            <w:r>
              <w:rPr/>
              <w:t>​</w:t>
            </w:r>
          </w:p>
        </w:tc>
        <w:tc>
          <w:tcPr>
            <w:tcW w:w="961" w:type="dxa"/>
            <w:gridSpan w:val="2"/>
            <w:tcBorders/>
            <w:vAlign w:val="center"/>
          </w:tcPr>
          <w:p>
            <w:pPr>
              <w:pStyle w:val="TableContents"/>
              <w:bidi w:val="0"/>
              <w:spacing w:before="0" w:after="1"/>
              <w:ind w:left="0" w:right="0" w:hanging="0"/>
              <w:jc w:val="right"/>
              <w:rPr/>
            </w:pPr>
            <w:r>
              <w:rPr/>
              <w:t> </w:t>
            </w:r>
            <w:r>
              <w:rPr>
                <w:rFonts w:ascii="Times New Roman;Times;serif" w:hAnsi="Times New Roman;Times;serif"/>
                <w:b/>
                <w:sz w:val="16"/>
              </w:rPr>
              <w:t>Option</w:t>
            </w:r>
          </w:p>
        </w:tc>
        <w:tc>
          <w:tcPr>
            <w:tcW w:w="326" w:type="dxa"/>
            <w:tcBorders/>
            <w:vAlign w:val="center"/>
          </w:tcPr>
          <w:p>
            <w:pPr>
              <w:pStyle w:val="TableContents"/>
              <w:bidi w:val="0"/>
              <w:spacing w:before="0" w:after="1"/>
              <w:ind w:left="0" w:right="0" w:hanging="0"/>
              <w:jc w:val="center"/>
              <w:rPr/>
            </w:pPr>
            <w:r>
              <w:rPr/>
              <w:t>​</w:t>
            </w:r>
          </w:p>
        </w:tc>
        <w:tc>
          <w:tcPr>
            <w:tcW w:w="1021"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Exploration </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r>
      <w:tr>
        <w:trPr/>
        <w:tc>
          <w:tcPr>
            <w:tcW w:w="43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For the nine months ended September 30, 2022 </w:t>
            </w:r>
          </w:p>
        </w:tc>
        <w:tc>
          <w:tcPr>
            <w:tcW w:w="326" w:type="dxa"/>
            <w:tcBorders/>
            <w:vAlign w:val="center"/>
          </w:tcPr>
          <w:p>
            <w:pPr>
              <w:pStyle w:val="TableContents"/>
              <w:bidi w:val="0"/>
              <w:spacing w:before="0" w:after="1"/>
              <w:ind w:left="0" w:right="0" w:hanging="0"/>
              <w:jc w:val="center"/>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Contract</w:t>
            </w:r>
          </w:p>
        </w:tc>
        <w:tc>
          <w:tcPr>
            <w:tcW w:w="326" w:type="dxa"/>
            <w:tcBorders/>
            <w:vAlign w:val="center"/>
          </w:tcPr>
          <w:p>
            <w:pPr>
              <w:pStyle w:val="TableContents"/>
              <w:bidi w:val="0"/>
              <w:spacing w:before="0" w:after="1"/>
              <w:ind w:left="0" w:right="0" w:hanging="0"/>
              <w:jc w:val="center"/>
              <w:rPr/>
            </w:pPr>
            <w:r>
              <w:rPr/>
              <w:t>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right"/>
              <w:rPr/>
            </w:pPr>
            <w:r>
              <w:rPr/>
              <w:t> </w:t>
            </w:r>
            <w:r>
              <w:rPr>
                <w:rFonts w:ascii="Times New Roman;Times;serif" w:hAnsi="Times New Roman;Times;serif"/>
                <w:b/>
                <w:sz w:val="16"/>
              </w:rPr>
              <w:t>Agreement</w:t>
            </w:r>
          </w:p>
        </w:tc>
        <w:tc>
          <w:tcPr>
            <w:tcW w:w="326" w:type="dxa"/>
            <w:tcBorders/>
            <w:vAlign w:val="center"/>
          </w:tcPr>
          <w:p>
            <w:pPr>
              <w:pStyle w:val="TableContents"/>
              <w:bidi w:val="0"/>
              <w:spacing w:before="0" w:after="1"/>
              <w:ind w:left="0" w:right="0" w:hanging="0"/>
              <w:jc w:val="center"/>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Contract</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Total</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Environmental Studies</w:t>
            </w:r>
          </w:p>
        </w:tc>
        <w:tc>
          <w:tcPr>
            <w:tcW w:w="326" w:type="dxa"/>
            <w:tcBorders/>
            <w:shd w:fill="CCEEFF" w:val="clear"/>
            <w:vAlign w:val="center"/>
          </w:tcPr>
          <w:p>
            <w:pPr>
              <w:pStyle w:val="TableContents"/>
              <w:bidi w:val="0"/>
              <w:spacing w:before="0" w:after="1"/>
              <w:ind w:left="0" w:right="0" w:hanging="0"/>
              <w:jc w:val="center"/>
              <w:rPr/>
            </w:pPr>
            <w:r>
              <w:rPr/>
              <w:t>​</w:t>
            </w:r>
          </w:p>
        </w:tc>
        <w:tc>
          <w:tcPr>
            <w:tcW w:w="2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20,526</w:t>
            </w:r>
          </w:p>
        </w:tc>
        <w:tc>
          <w:tcPr>
            <w:tcW w:w="326" w:type="dxa"/>
            <w:tcBorders/>
            <w:shd w:fill="CCEEFF" w:val="clear"/>
            <w:vAlign w:val="center"/>
          </w:tcPr>
          <w:p>
            <w:pPr>
              <w:pStyle w:val="TableContents"/>
              <w:bidi w:val="0"/>
              <w:spacing w:before="0" w:after="1"/>
              <w:ind w:left="0" w:right="0" w:hanging="0"/>
              <w:jc w:val="right"/>
              <w:rPr/>
            </w:pPr>
            <w:r>
              <w:rPr/>
              <w:t>​</w:t>
            </w:r>
          </w:p>
        </w:tc>
        <w:tc>
          <w:tcPr>
            <w:tcW w:w="2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1"/>
              <w:ind w:left="0" w:right="0" w:hanging="0"/>
              <w:jc w:val="right"/>
              <w:rPr/>
            </w:pPr>
            <w:r>
              <w:rPr/>
              <w:t>​</w:t>
            </w:r>
          </w:p>
        </w:tc>
        <w:tc>
          <w:tcPr>
            <w:tcW w:w="2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20,534</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Exploration Labor</w:t>
            </w:r>
          </w:p>
        </w:tc>
        <w:tc>
          <w:tcPr>
            <w:tcW w:w="326" w:type="dxa"/>
            <w:tcBorders/>
            <w:vAlign w:val="center"/>
          </w:tcPr>
          <w:p>
            <w:pPr>
              <w:pStyle w:val="TableContents"/>
              <w:bidi w:val="0"/>
              <w:spacing w:before="0" w:after="1"/>
              <w:ind w:left="0" w:right="0" w:hanging="0"/>
              <w:jc w:val="center"/>
              <w:rPr/>
            </w:pPr>
            <w:r>
              <w:rPr/>
              <w:t>​</w:t>
            </w:r>
          </w:p>
        </w:tc>
        <w:tc>
          <w:tcPr>
            <w:tcW w:w="257" w:type="dxa"/>
            <w:tcBorders/>
            <w:vAlign w:val="center"/>
          </w:tcPr>
          <w:p>
            <w:pPr>
              <w:pStyle w:val="TableContents"/>
              <w:bidi w:val="0"/>
              <w:spacing w:before="0" w:after="1"/>
              <w:ind w:left="0" w:right="0" w:hanging="0"/>
              <w:jc w:val="center"/>
              <w:rPr/>
            </w:pPr>
            <w:r>
              <w:rPr/>
              <w:t>​</w:t>
            </w:r>
          </w:p>
        </w:tc>
        <w:tc>
          <w:tcPr>
            <w:tcW w:w="8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2,308</w:t>
            </w:r>
          </w:p>
        </w:tc>
        <w:tc>
          <w:tcPr>
            <w:tcW w:w="326" w:type="dxa"/>
            <w:tcBorders/>
            <w:vAlign w:val="center"/>
          </w:tcPr>
          <w:p>
            <w:pPr>
              <w:pStyle w:val="TableContents"/>
              <w:bidi w:val="0"/>
              <w:spacing w:before="0" w:after="1"/>
              <w:ind w:left="0" w:right="0" w:hanging="0"/>
              <w:jc w:val="right"/>
              <w:rPr/>
            </w:pPr>
            <w:r>
              <w:rPr/>
              <w:t>​</w:t>
            </w:r>
          </w:p>
        </w:tc>
        <w:tc>
          <w:tcPr>
            <w:tcW w:w="259" w:type="dxa"/>
            <w:tcBorders/>
            <w:vAlign w:val="center"/>
          </w:tcPr>
          <w:p>
            <w:pPr>
              <w:pStyle w:val="TableContents"/>
              <w:bidi w:val="0"/>
              <w:spacing w:before="0" w:after="1"/>
              <w:ind w:left="0" w:right="0" w:hanging="0"/>
              <w:jc w:val="right"/>
              <w:rPr/>
            </w:pPr>
            <w:r>
              <w:rPr/>
              <w:t>​</w:t>
            </w:r>
          </w:p>
        </w:tc>
        <w:tc>
          <w:tcPr>
            <w:tcW w:w="7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541</w:t>
            </w:r>
          </w:p>
        </w:tc>
        <w:tc>
          <w:tcPr>
            <w:tcW w:w="326" w:type="dxa"/>
            <w:tcBorders/>
            <w:vAlign w:val="center"/>
          </w:tcPr>
          <w:p>
            <w:pPr>
              <w:pStyle w:val="TableContents"/>
              <w:bidi w:val="0"/>
              <w:spacing w:before="0" w:after="1"/>
              <w:ind w:left="0" w:right="0" w:hanging="0"/>
              <w:jc w:val="right"/>
              <w:rPr/>
            </w:pPr>
            <w:r>
              <w:rPr/>
              <w:t>​</w:t>
            </w:r>
          </w:p>
        </w:tc>
        <w:tc>
          <w:tcPr>
            <w:tcW w:w="275" w:type="dxa"/>
            <w:tcBorders/>
            <w:vAlign w:val="center"/>
          </w:tcPr>
          <w:p>
            <w:pPr>
              <w:pStyle w:val="TableContents"/>
              <w:bidi w:val="0"/>
              <w:spacing w:before="0" w:after="1"/>
              <w:ind w:left="0" w:right="0" w:hanging="0"/>
              <w:jc w:val="right"/>
              <w:rPr/>
            </w:pPr>
            <w:r>
              <w:rPr/>
              <w:t>​</w:t>
            </w:r>
          </w:p>
        </w:tc>
        <w:tc>
          <w:tcPr>
            <w:tcW w:w="7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3,374</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 (Note 10)</w:t>
            </w:r>
          </w:p>
        </w:tc>
        <w:tc>
          <w:tcPr>
            <w:tcW w:w="326" w:type="dxa"/>
            <w:tcBorders/>
            <w:shd w:fill="CCEEFF" w:val="clear"/>
            <w:vAlign w:val="center"/>
          </w:tcPr>
          <w:p>
            <w:pPr>
              <w:pStyle w:val="TableContents"/>
              <w:bidi w:val="0"/>
              <w:spacing w:before="0" w:after="1"/>
              <w:ind w:left="0" w:right="0" w:hanging="0"/>
              <w:jc w:val="left"/>
              <w:rPr/>
            </w:pPr>
            <w:r>
              <w:rPr/>
              <w:t> </w:t>
            </w:r>
          </w:p>
        </w:tc>
        <w:tc>
          <w:tcPr>
            <w:tcW w:w="257" w:type="dxa"/>
            <w:tcBorders/>
            <w:shd w:fill="CCEEFF" w:val="clear"/>
            <w:vAlign w:val="center"/>
          </w:tcPr>
          <w:p>
            <w:pPr>
              <w:pStyle w:val="TableContents"/>
              <w:bidi w:val="0"/>
              <w:spacing w:before="0" w:after="1"/>
              <w:ind w:left="0" w:right="0" w:hanging="0"/>
              <w:jc w:val="right"/>
              <w:rPr/>
            </w:pPr>
            <w:r>
              <w:rPr/>
              <w:t>​</w:t>
            </w:r>
          </w:p>
        </w:tc>
        <w:tc>
          <w:tcPr>
            <w:tcW w:w="8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5,142</w:t>
            </w:r>
          </w:p>
        </w:tc>
        <w:tc>
          <w:tcPr>
            <w:tcW w:w="326" w:type="dxa"/>
            <w:tcBorders/>
            <w:shd w:fill="CCEEFF" w:val="clear"/>
            <w:vAlign w:val="center"/>
          </w:tcPr>
          <w:p>
            <w:pPr>
              <w:pStyle w:val="TableContents"/>
              <w:bidi w:val="0"/>
              <w:spacing w:before="0" w:after="1"/>
              <w:ind w:left="0" w:right="0" w:hanging="0"/>
              <w:jc w:val="right"/>
              <w:rPr/>
            </w:pPr>
            <w:r>
              <w:rPr/>
              <w:t> </w:t>
            </w:r>
          </w:p>
        </w:tc>
        <w:tc>
          <w:tcPr>
            <w:tcW w:w="259" w:type="dxa"/>
            <w:tcBorders/>
            <w:shd w:fill="CCEEFF" w:val="clear"/>
            <w:vAlign w:val="center"/>
          </w:tcPr>
          <w:p>
            <w:pPr>
              <w:pStyle w:val="TableContents"/>
              <w:bidi w:val="0"/>
              <w:spacing w:before="0" w:after="1"/>
              <w:ind w:left="0" w:right="0" w:hanging="0"/>
              <w:jc w:val="right"/>
              <w:rPr/>
            </w:pPr>
            <w:r>
              <w:rPr/>
              <w:t>​</w:t>
            </w:r>
          </w:p>
        </w:tc>
        <w:tc>
          <w:tcPr>
            <w:tcW w:w="7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1,123</w:t>
            </w:r>
          </w:p>
        </w:tc>
        <w:tc>
          <w:tcPr>
            <w:tcW w:w="326" w:type="dxa"/>
            <w:tcBorders/>
            <w:shd w:fill="CCEEFF" w:val="clear"/>
            <w:vAlign w:val="center"/>
          </w:tcPr>
          <w:p>
            <w:pPr>
              <w:pStyle w:val="TableContents"/>
              <w:bidi w:val="0"/>
              <w:spacing w:before="0" w:after="1"/>
              <w:ind w:left="0" w:right="0" w:hanging="0"/>
              <w:jc w:val="right"/>
              <w:rPr/>
            </w:pPr>
            <w:r>
              <w:rPr/>
              <w:t> </w:t>
            </w:r>
          </w:p>
        </w:tc>
        <w:tc>
          <w:tcPr>
            <w:tcW w:w="275" w:type="dxa"/>
            <w:tcBorders/>
            <w:shd w:fill="CCEEFF" w:val="clear"/>
            <w:vAlign w:val="center"/>
          </w:tcPr>
          <w:p>
            <w:pPr>
              <w:pStyle w:val="TableContents"/>
              <w:bidi w:val="0"/>
              <w:spacing w:before="0" w:after="1"/>
              <w:ind w:left="0" w:right="0" w:hanging="0"/>
              <w:jc w:val="right"/>
              <w:rPr/>
            </w:pPr>
            <w:r>
              <w:rPr/>
              <w:t>​</w:t>
            </w:r>
          </w:p>
        </w:tc>
        <w:tc>
          <w:tcPr>
            <w:tcW w:w="7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1,134</w:t>
            </w:r>
          </w:p>
        </w:tc>
        <w:tc>
          <w:tcPr>
            <w:tcW w:w="326" w:type="dxa"/>
            <w:tcBorders/>
            <w:shd w:fill="CCEEFF" w:val="clear"/>
            <w:vAlign w:val="center"/>
          </w:tcPr>
          <w:p>
            <w:pPr>
              <w:pStyle w:val="TableContents"/>
              <w:bidi w:val="0"/>
              <w:spacing w:before="0" w:after="1"/>
              <w:ind w:left="0" w:right="0" w:hanging="0"/>
              <w:jc w:val="righ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7,399</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Mining, Technological and Process Development</w:t>
            </w:r>
          </w:p>
        </w:tc>
        <w:tc>
          <w:tcPr>
            <w:tcW w:w="326" w:type="dxa"/>
            <w:tcBorders/>
            <w:vAlign w:val="center"/>
          </w:tcPr>
          <w:p>
            <w:pPr>
              <w:pStyle w:val="TableContents"/>
              <w:bidi w:val="0"/>
              <w:spacing w:before="0" w:after="1"/>
              <w:ind w:left="0" w:right="0" w:hanging="0"/>
              <w:jc w:val="left"/>
              <w:rPr/>
            </w:pPr>
            <w:r>
              <w:rPr/>
              <w:t> </w:t>
            </w:r>
          </w:p>
        </w:tc>
        <w:tc>
          <w:tcPr>
            <w:tcW w:w="257" w:type="dxa"/>
            <w:tcBorders/>
            <w:vAlign w:val="center"/>
          </w:tcPr>
          <w:p>
            <w:pPr>
              <w:pStyle w:val="TableContents"/>
              <w:bidi w:val="0"/>
              <w:spacing w:before="0" w:after="1"/>
              <w:ind w:left="0" w:right="0" w:hanging="0"/>
              <w:jc w:val="right"/>
              <w:rPr/>
            </w:pPr>
            <w:r>
              <w:rPr/>
              <w:t>​</w:t>
            </w:r>
          </w:p>
        </w:tc>
        <w:tc>
          <w:tcPr>
            <w:tcW w:w="8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704</w:t>
            </w:r>
          </w:p>
        </w:tc>
        <w:tc>
          <w:tcPr>
            <w:tcW w:w="326" w:type="dxa"/>
            <w:tcBorders/>
            <w:vAlign w:val="center"/>
          </w:tcPr>
          <w:p>
            <w:pPr>
              <w:pStyle w:val="TableContents"/>
              <w:bidi w:val="0"/>
              <w:spacing w:before="0" w:after="1"/>
              <w:ind w:left="0" w:right="0" w:hanging="0"/>
              <w:jc w:val="right"/>
              <w:rPr/>
            </w:pPr>
            <w:r>
              <w:rPr/>
              <w:t> </w:t>
            </w:r>
          </w:p>
        </w:tc>
        <w:tc>
          <w:tcPr>
            <w:tcW w:w="259" w:type="dxa"/>
            <w:tcBorders/>
            <w:vAlign w:val="center"/>
          </w:tcPr>
          <w:p>
            <w:pPr>
              <w:pStyle w:val="TableContents"/>
              <w:bidi w:val="0"/>
              <w:spacing w:before="0" w:after="1"/>
              <w:ind w:left="0" w:right="0" w:hanging="0"/>
              <w:jc w:val="right"/>
              <w:rPr/>
            </w:pPr>
            <w:r>
              <w:rPr/>
              <w:t>​</w:t>
            </w:r>
          </w:p>
        </w:tc>
        <w:tc>
          <w:tcPr>
            <w:tcW w:w="7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26" w:type="dxa"/>
            <w:tcBorders/>
            <w:vAlign w:val="center"/>
          </w:tcPr>
          <w:p>
            <w:pPr>
              <w:pStyle w:val="TableContents"/>
              <w:bidi w:val="0"/>
              <w:spacing w:before="0" w:after="1"/>
              <w:ind w:left="0" w:right="0" w:hanging="0"/>
              <w:jc w:val="right"/>
              <w:rPr/>
            </w:pPr>
            <w:r>
              <w:rPr/>
              <w:t> </w:t>
            </w:r>
          </w:p>
        </w:tc>
        <w:tc>
          <w:tcPr>
            <w:tcW w:w="275" w:type="dxa"/>
            <w:tcBorders/>
            <w:vAlign w:val="center"/>
          </w:tcPr>
          <w:p>
            <w:pPr>
              <w:pStyle w:val="TableContents"/>
              <w:bidi w:val="0"/>
              <w:spacing w:before="0" w:after="1"/>
              <w:ind w:left="0" w:right="0" w:hanging="0"/>
              <w:jc w:val="right"/>
              <w:rPr/>
            </w:pPr>
            <w:r>
              <w:rPr/>
              <w:t>​</w:t>
            </w:r>
          </w:p>
        </w:tc>
        <w:tc>
          <w:tcPr>
            <w:tcW w:w="7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vAlign w:val="center"/>
          </w:tcPr>
          <w:p>
            <w:pPr>
              <w:pStyle w:val="TableContents"/>
              <w:bidi w:val="0"/>
              <w:spacing w:before="0" w:after="1"/>
              <w:ind w:left="0" w:right="0" w:hanging="0"/>
              <w:jc w:val="right"/>
              <w:rPr/>
            </w:pPr>
            <w:r>
              <w:rPr/>
              <w:t> </w:t>
            </w:r>
          </w:p>
        </w:tc>
        <w:tc>
          <w:tcPr>
            <w:tcW w:w="211"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813</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PMTS</w:t>
            </w:r>
          </w:p>
        </w:tc>
        <w:tc>
          <w:tcPr>
            <w:tcW w:w="326" w:type="dxa"/>
            <w:tcBorders/>
            <w:shd w:fill="CCEEFF" w:val="clear"/>
            <w:vAlign w:val="center"/>
          </w:tcPr>
          <w:p>
            <w:pPr>
              <w:pStyle w:val="TableContents"/>
              <w:bidi w:val="0"/>
              <w:spacing w:before="0" w:after="1"/>
              <w:ind w:left="0" w:right="0" w:hanging="0"/>
              <w:jc w:val="left"/>
              <w:rPr/>
            </w:pPr>
            <w:r>
              <w:rPr/>
              <w:t> </w:t>
            </w:r>
          </w:p>
        </w:tc>
        <w:tc>
          <w:tcPr>
            <w:tcW w:w="257" w:type="dxa"/>
            <w:tcBorders/>
            <w:shd w:fill="CCEEFF" w:val="clear"/>
            <w:vAlign w:val="center"/>
          </w:tcPr>
          <w:p>
            <w:pPr>
              <w:pStyle w:val="TableContents"/>
              <w:bidi w:val="0"/>
              <w:spacing w:before="0" w:after="1"/>
              <w:ind w:left="0" w:right="0" w:hanging="0"/>
              <w:jc w:val="right"/>
              <w:rPr/>
            </w:pPr>
            <w:r>
              <w:rPr/>
              <w:t>​</w:t>
            </w:r>
          </w:p>
        </w:tc>
        <w:tc>
          <w:tcPr>
            <w:tcW w:w="8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5,461</w:t>
            </w:r>
          </w:p>
        </w:tc>
        <w:tc>
          <w:tcPr>
            <w:tcW w:w="326" w:type="dxa"/>
            <w:tcBorders/>
            <w:shd w:fill="CCEEFF" w:val="clear"/>
            <w:vAlign w:val="center"/>
          </w:tcPr>
          <w:p>
            <w:pPr>
              <w:pStyle w:val="TableContents"/>
              <w:bidi w:val="0"/>
              <w:spacing w:before="0" w:after="1"/>
              <w:ind w:left="0" w:right="0" w:hanging="0"/>
              <w:jc w:val="right"/>
              <w:rPr/>
            </w:pPr>
            <w:r>
              <w:rPr/>
              <w:t> </w:t>
            </w:r>
          </w:p>
        </w:tc>
        <w:tc>
          <w:tcPr>
            <w:tcW w:w="259" w:type="dxa"/>
            <w:tcBorders/>
            <w:shd w:fill="CCEEFF" w:val="clear"/>
            <w:vAlign w:val="center"/>
          </w:tcPr>
          <w:p>
            <w:pPr>
              <w:pStyle w:val="TableContents"/>
              <w:bidi w:val="0"/>
              <w:spacing w:before="0" w:after="1"/>
              <w:ind w:left="0" w:right="0" w:hanging="0"/>
              <w:jc w:val="right"/>
              <w:rPr/>
            </w:pPr>
            <w:r>
              <w:rPr/>
              <w:t>​</w:t>
            </w:r>
          </w:p>
        </w:tc>
        <w:tc>
          <w:tcPr>
            <w:tcW w:w="7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w:t>
            </w:r>
          </w:p>
        </w:tc>
        <w:tc>
          <w:tcPr>
            <w:tcW w:w="326" w:type="dxa"/>
            <w:tcBorders/>
            <w:shd w:fill="CCEEFF" w:val="clear"/>
            <w:vAlign w:val="center"/>
          </w:tcPr>
          <w:p>
            <w:pPr>
              <w:pStyle w:val="TableContents"/>
              <w:bidi w:val="0"/>
              <w:spacing w:before="0" w:after="1"/>
              <w:ind w:left="0" w:right="0" w:hanging="0"/>
              <w:jc w:val="right"/>
              <w:rPr/>
            </w:pPr>
            <w:r>
              <w:rPr/>
              <w:t> </w:t>
            </w:r>
          </w:p>
        </w:tc>
        <w:tc>
          <w:tcPr>
            <w:tcW w:w="275" w:type="dxa"/>
            <w:tcBorders/>
            <w:shd w:fill="CCEEFF" w:val="clear"/>
            <w:vAlign w:val="center"/>
          </w:tcPr>
          <w:p>
            <w:pPr>
              <w:pStyle w:val="TableContents"/>
              <w:bidi w:val="0"/>
              <w:spacing w:before="0" w:after="1"/>
              <w:ind w:left="0" w:right="0" w:hanging="0"/>
              <w:jc w:val="right"/>
              <w:rPr/>
            </w:pPr>
            <w:r>
              <w:rPr/>
              <w:t>​</w:t>
            </w:r>
          </w:p>
        </w:tc>
        <w:tc>
          <w:tcPr>
            <w:tcW w:w="7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498</w:t>
            </w:r>
          </w:p>
        </w:tc>
        <w:tc>
          <w:tcPr>
            <w:tcW w:w="326" w:type="dxa"/>
            <w:tcBorders/>
            <w:shd w:fill="CCEEFF" w:val="clear"/>
            <w:vAlign w:val="center"/>
          </w:tcPr>
          <w:p>
            <w:pPr>
              <w:pStyle w:val="TableContents"/>
              <w:bidi w:val="0"/>
              <w:spacing w:before="0" w:after="1"/>
              <w:ind w:left="0" w:right="0" w:hanging="0"/>
              <w:jc w:val="righ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6,458</w:t>
            </w:r>
          </w:p>
        </w:tc>
      </w:tr>
      <w:tr>
        <w:trPr/>
        <w:tc>
          <w:tcPr>
            <w:tcW w:w="4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Sponsorship, Training and Stakeholder Engagement</w:t>
            </w:r>
          </w:p>
        </w:tc>
        <w:tc>
          <w:tcPr>
            <w:tcW w:w="32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right"/>
              <w:rPr/>
            </w:pPr>
            <w:r>
              <w:rPr/>
              <w:t>​</w:t>
            </w:r>
          </w:p>
        </w:tc>
        <w:tc>
          <w:tcPr>
            <w:tcW w:w="8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654</w:t>
            </w:r>
          </w:p>
        </w:tc>
        <w:tc>
          <w:tcPr>
            <w:tcW w:w="326" w:type="dxa"/>
            <w:tcBorders/>
            <w:vAlign w:val="center"/>
          </w:tcPr>
          <w:p>
            <w:pPr>
              <w:pStyle w:val="TableContents"/>
              <w:bidi w:val="0"/>
              <w:spacing w:before="0" w:after="1"/>
              <w:ind w:left="0" w:right="0" w:hanging="0"/>
              <w:jc w:val="right"/>
              <w:rPr/>
            </w:pPr>
            <w:r>
              <w:rPr/>
              <w:t>​</w:t>
            </w:r>
          </w:p>
        </w:tc>
        <w:tc>
          <w:tcPr>
            <w:tcW w:w="259" w:type="dxa"/>
            <w:tcBorders/>
            <w:vAlign w:val="center"/>
          </w:tcPr>
          <w:p>
            <w:pPr>
              <w:pStyle w:val="TableContents"/>
              <w:bidi w:val="0"/>
              <w:spacing w:before="0" w:after="1"/>
              <w:ind w:left="0" w:right="0" w:hanging="0"/>
              <w:jc w:val="right"/>
              <w:rPr/>
            </w:pPr>
            <w:r>
              <w:rPr/>
              <w:t>​</w:t>
            </w:r>
          </w:p>
        </w:tc>
        <w:tc>
          <w:tcPr>
            <w:tcW w:w="7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w:t>
            </w:r>
          </w:p>
        </w:tc>
        <w:tc>
          <w:tcPr>
            <w:tcW w:w="326" w:type="dxa"/>
            <w:tcBorders/>
            <w:vAlign w:val="center"/>
          </w:tcPr>
          <w:p>
            <w:pPr>
              <w:pStyle w:val="TableContents"/>
              <w:bidi w:val="0"/>
              <w:spacing w:before="0" w:after="1"/>
              <w:ind w:left="0" w:right="0" w:hanging="0"/>
              <w:jc w:val="right"/>
              <w:rPr/>
            </w:pPr>
            <w:r>
              <w:rPr/>
              <w:t>​</w:t>
            </w:r>
          </w:p>
        </w:tc>
        <w:tc>
          <w:tcPr>
            <w:tcW w:w="275" w:type="dxa"/>
            <w:tcBorders/>
            <w:vAlign w:val="center"/>
          </w:tcPr>
          <w:p>
            <w:pPr>
              <w:pStyle w:val="TableContents"/>
              <w:bidi w:val="0"/>
              <w:spacing w:before="0" w:after="1"/>
              <w:ind w:left="0" w:right="0" w:hanging="0"/>
              <w:jc w:val="right"/>
              <w:rPr/>
            </w:pPr>
            <w:r>
              <w:rPr/>
              <w:t>​</w:t>
            </w:r>
          </w:p>
        </w:tc>
        <w:tc>
          <w:tcPr>
            <w:tcW w:w="7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1,116</w:t>
            </w:r>
          </w:p>
        </w:tc>
      </w:tr>
      <w:tr>
        <w:trPr/>
        <w:tc>
          <w:tcPr>
            <w:tcW w:w="4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1"/>
              <w:ind w:left="0" w:right="0" w:hanging="0"/>
              <w:jc w:val="left"/>
              <w:rPr/>
            </w:pPr>
            <w:r>
              <w:rPr/>
              <w:t> </w:t>
            </w:r>
          </w:p>
        </w:tc>
        <w:tc>
          <w:tcPr>
            <w:tcW w:w="2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8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w:t>
            </w:r>
          </w:p>
        </w:tc>
        <w:tc>
          <w:tcPr>
            <w:tcW w:w="326" w:type="dxa"/>
            <w:tcBorders/>
            <w:shd w:fill="CCEEFF" w:val="clear"/>
            <w:vAlign w:val="center"/>
          </w:tcPr>
          <w:p>
            <w:pPr>
              <w:pStyle w:val="TableContents"/>
              <w:bidi w:val="0"/>
              <w:spacing w:before="0" w:after="1"/>
              <w:ind w:left="0" w:right="0" w:hanging="0"/>
              <w:jc w:val="right"/>
              <w:rPr/>
            </w:pPr>
            <w:r>
              <w:rPr/>
              <w:t> </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bidi w:val="0"/>
              <w:spacing w:before="0" w:after="1"/>
              <w:ind w:left="0" w:right="0" w:hanging="0"/>
              <w:jc w:val="right"/>
              <w:rPr/>
            </w:pPr>
            <w:r>
              <w:rPr/>
              <w:t> </w:t>
            </w:r>
          </w:p>
        </w:tc>
        <w:tc>
          <w:tcPr>
            <w:tcW w:w="2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26" w:type="dxa"/>
            <w:tcBorders/>
            <w:shd w:fill="CCEEFF" w:val="clear"/>
            <w:vAlign w:val="center"/>
          </w:tcPr>
          <w:p>
            <w:pPr>
              <w:pStyle w:val="TableContents"/>
              <w:bidi w:val="0"/>
              <w:spacing w:before="0" w:after="1"/>
              <w:ind w:left="0" w:right="0" w:hanging="0"/>
              <w:jc w:val="righ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646</w:t>
            </w:r>
          </w:p>
        </w:tc>
      </w:tr>
      <w:tr>
        <w:trPr/>
        <w:tc>
          <w:tcPr>
            <w:tcW w:w="4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35,368</w:t>
            </w:r>
          </w:p>
        </w:tc>
        <w:tc>
          <w:tcPr>
            <w:tcW w:w="326"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2,392</w:t>
            </w:r>
          </w:p>
        </w:tc>
        <w:tc>
          <w:tcPr>
            <w:tcW w:w="326"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2,580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single" w:sz="2"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40,340</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8.</w:t>
      </w:r>
      <w:r>
        <w:rPr>
          <w:rFonts w:ascii="Times New Roman;Times;serif" w:hAnsi="Times New Roman;Times;serif"/>
          <w:b/>
          <w:sz w:val="20"/>
        </w:rPr>
        <w:t>Registered Direct Offering</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val="false"/>
          <w:sz w:val="20"/>
        </w:rPr>
        <w:t>On August 14, 2023, the Company entered into a securities purchase agreement with certain investors, pursuant to which the Company agreed to sell and issue, in a registered direct offering (the “Registered Direct Offering”) 12,461,540</w:t>
      </w:r>
      <w:r>
        <w:rPr>
          <w:rFonts w:ascii="Times New Roman;Times;serif" w:hAnsi="Times New Roman;Times;serif"/>
          <w:b/>
          <w:sz w:val="20"/>
        </w:rPr>
        <w:t xml:space="preserve"> </w:t>
      </w:r>
      <w:r>
        <w:rPr>
          <w:rFonts w:ascii="Times New Roman;Times;serif" w:hAnsi="Times New Roman;Times;serif"/>
          <w:b w:val="false"/>
          <w:sz w:val="20"/>
        </w:rPr>
        <w:t>common shares and issue Class A Warrants to purchase 6,230,770</w:t>
      </w:r>
      <w:r>
        <w:rPr>
          <w:rFonts w:ascii="Times New Roman;Times;serif" w:hAnsi="Times New Roman;Times;serif"/>
          <w:b/>
          <w:sz w:val="20"/>
        </w:rPr>
        <w:t xml:space="preserve"> </w:t>
      </w:r>
      <w:r>
        <w:rPr>
          <w:rFonts w:ascii="Times New Roman;Times;serif" w:hAnsi="Times New Roman;Times;serif"/>
          <w:b w:val="false"/>
          <w:sz w:val="20"/>
        </w:rPr>
        <w:t>common shares (Note 9). The common share and accompanying Class A Warrant to purchase 0.5</w:t>
      </w:r>
      <w:r>
        <w:rPr>
          <w:rFonts w:ascii="Times New Roman;Times;serif" w:hAnsi="Times New Roman;Times;serif"/>
          <w:b/>
          <w:sz w:val="20"/>
        </w:rPr>
        <w:t xml:space="preserve"> </w:t>
      </w:r>
      <w:r>
        <w:rPr>
          <w:rFonts w:ascii="Times New Roman;Times;serif" w:hAnsi="Times New Roman;Times;serif"/>
          <w:b w:val="false"/>
          <w:sz w:val="20"/>
        </w:rPr>
        <w:t>of a common share were sold at a price of $2.00.  The exercise price of the Class A warrants is $3.00, subject to adjustment as provided in the warrant agreement.  The aggregate gross proceeds to the Company from the Registered Direct Offering are now expected to be approximately $24.9</w:t>
      </w:r>
      <w:r>
        <w:rPr>
          <w:rFonts w:ascii="Times New Roman;Times;serif" w:hAnsi="Times New Roman;Times;serif"/>
          <w:b/>
          <w:sz w:val="20"/>
        </w:rPr>
        <w:t xml:space="preserve"> </w:t>
      </w:r>
      <w:r>
        <w:rPr>
          <w:rFonts w:ascii="Times New Roman;Times;serif" w:hAnsi="Times New Roman;Times;serif"/>
          <w:b w:val="false"/>
          <w:sz w:val="20"/>
        </w:rPr>
        <w:t>million, before deducting fees payable to financial advisors and other estimated offering expenses payable by the Company ($23.5</w:t>
      </w:r>
      <w:r>
        <w:rPr>
          <w:rFonts w:ascii="Times New Roman;Times;serif" w:hAnsi="Times New Roman;Times;serif"/>
          <w:b/>
          <w:sz w:val="20"/>
        </w:rPr>
        <w:t xml:space="preserve"> </w:t>
      </w:r>
      <w:r>
        <w:rPr>
          <w:rFonts w:ascii="Times New Roman;Times;serif" w:hAnsi="Times New Roman;Times;serif"/>
          <w:b w:val="false"/>
          <w:sz w:val="20"/>
        </w:rPr>
        <w:t>million net of fees).</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val="false"/>
          <w:sz w:val="20"/>
        </w:rPr>
        <w:t>As at September 30, 2023, 7,961,540</w:t>
      </w:r>
      <w:r>
        <w:rPr>
          <w:rFonts w:ascii="Times New Roman;Times;serif" w:hAnsi="Times New Roman;Times;serif"/>
          <w:b/>
          <w:sz w:val="20"/>
        </w:rPr>
        <w:t xml:space="preserve"> </w:t>
      </w:r>
      <w:r>
        <w:rPr>
          <w:rFonts w:ascii="Times New Roman;Times;serif" w:hAnsi="Times New Roman;Times;serif"/>
          <w:b w:val="false"/>
          <w:sz w:val="20"/>
        </w:rPr>
        <w:t>common shares and Class A Warrants to purchase 3,980,770</w:t>
      </w:r>
      <w:r>
        <w:rPr>
          <w:rFonts w:ascii="Times New Roman;Times;serif" w:hAnsi="Times New Roman;Times;serif"/>
          <w:b/>
          <w:sz w:val="20"/>
        </w:rPr>
        <w:t xml:space="preserve"> </w:t>
      </w:r>
      <w:r>
        <w:rPr>
          <w:rFonts w:ascii="Times New Roman;Times;serif" w:hAnsi="Times New Roman;Times;serif"/>
          <w:b w:val="false"/>
          <w:sz w:val="20"/>
        </w:rPr>
        <w:t>common shares had been issued and the Company received gross proceeds amounting to $15.7</w:t>
      </w:r>
      <w:r>
        <w:rPr>
          <w:rFonts w:ascii="Times New Roman;Times;serif" w:hAnsi="Times New Roman;Times;serif"/>
          <w:b/>
          <w:sz w:val="20"/>
        </w:rPr>
        <w:t xml:space="preserve"> </w:t>
      </w:r>
      <w:r>
        <w:rPr>
          <w:rFonts w:ascii="Times New Roman;Times;serif" w:hAnsi="Times New Roman;Times;serif"/>
          <w:b w:val="false"/>
          <w:sz w:val="20"/>
        </w:rPr>
        <w:t>million. The Company incurred $1.4</w:t>
      </w:r>
      <w:r>
        <w:rPr>
          <w:rFonts w:ascii="Times New Roman;Times;serif" w:hAnsi="Times New Roman;Times;serif"/>
          <w:b/>
          <w:sz w:val="20"/>
        </w:rPr>
        <w:t xml:space="preserve"> </w:t>
      </w:r>
      <w:r>
        <w:rPr>
          <w:rFonts w:ascii="Times New Roman;Times;serif" w:hAnsi="Times New Roman;Times;serif"/>
          <w:b w:val="false"/>
          <w:sz w:val="20"/>
        </w:rPr>
        <w:t>million as offering expenses, resulting in net proceeds received of $14.3</w:t>
      </w:r>
      <w:r>
        <w:rPr>
          <w:rFonts w:ascii="Times New Roman;Times;serif" w:hAnsi="Times New Roman;Times;serif"/>
          <w:b/>
          <w:sz w:val="20"/>
        </w:rPr>
        <w:t xml:space="preserve"> </w:t>
      </w:r>
      <w:r>
        <w:rPr>
          <w:rFonts w:ascii="Times New Roman;Times;serif" w:hAnsi="Times New Roman;Times;serif"/>
          <w:b w:val="false"/>
          <w:sz w:val="20"/>
        </w:rPr>
        <w:t>million.  The remaining committed funding of $9</w:t>
      </w:r>
      <w:r>
        <w:rPr>
          <w:rFonts w:ascii="Times New Roman;Times;serif" w:hAnsi="Times New Roman;Times;serif"/>
          <w:b/>
          <w:sz w:val="20"/>
        </w:rPr>
        <w:t xml:space="preserve"> </w:t>
      </w:r>
      <w:r>
        <w:rPr>
          <w:rFonts w:ascii="Times New Roman;Times;serif" w:hAnsi="Times New Roman;Times;serif"/>
          <w:b w:val="false"/>
          <w:sz w:val="20"/>
        </w:rPr>
        <w:t>million (representing 4,500,000</w:t>
      </w:r>
      <w:r>
        <w:rPr>
          <w:rFonts w:ascii="Times New Roman;Times;serif" w:hAnsi="Times New Roman;Times;serif"/>
          <w:b/>
          <w:sz w:val="20"/>
        </w:rPr>
        <w:t xml:space="preserve"> </w:t>
      </w:r>
      <w:r>
        <w:rPr>
          <w:rFonts w:ascii="Times New Roman;Times;serif" w:hAnsi="Times New Roman;Times;serif"/>
          <w:b w:val="false"/>
          <w:sz w:val="20"/>
        </w:rPr>
        <w:t>common shares and 2,250,000</w:t>
      </w:r>
      <w:r>
        <w:rPr>
          <w:rFonts w:ascii="Times New Roman;Times;serif" w:hAnsi="Times New Roman;Times;serif"/>
          <w:b/>
          <w:sz w:val="20"/>
        </w:rPr>
        <w:t xml:space="preserve"> </w:t>
      </w:r>
      <w:r>
        <w:rPr>
          <w:rFonts w:ascii="Times New Roman;Times;serif" w:hAnsi="Times New Roman;Times;serif"/>
          <w:b w:val="false"/>
          <w:sz w:val="20"/>
        </w:rPr>
        <w:t>warrants) from an investor affiliated with the Company is to be received in two</w:t>
      </w:r>
      <w:r>
        <w:rPr>
          <w:rFonts w:ascii="Times New Roman;Times;serif" w:hAnsi="Times New Roman;Times;serif"/>
          <w:b/>
          <w:sz w:val="20"/>
        </w:rPr>
        <w:t xml:space="preserve"> </w:t>
      </w:r>
      <w:r>
        <w:rPr>
          <w:rFonts w:ascii="Times New Roman;Times;serif" w:hAnsi="Times New Roman;Times;serif"/>
          <w:b w:val="false"/>
          <w:sz w:val="20"/>
        </w:rPr>
        <w:t>installments, $2.5</w:t>
      </w:r>
      <w:r>
        <w:rPr>
          <w:rFonts w:ascii="Times New Roman;Times;serif" w:hAnsi="Times New Roman;Times;serif"/>
          <w:b/>
          <w:sz w:val="20"/>
        </w:rPr>
        <w:t xml:space="preserve"> </w:t>
      </w:r>
      <w:r>
        <w:rPr>
          <w:rFonts w:ascii="Times New Roman;Times;serif" w:hAnsi="Times New Roman;Times;serif"/>
          <w:b w:val="false"/>
          <w:sz w:val="20"/>
        </w:rPr>
        <w:t>million (1,250,000</w:t>
      </w:r>
      <w:r>
        <w:rPr>
          <w:rFonts w:ascii="Times New Roman;Times;serif" w:hAnsi="Times New Roman;Times;serif"/>
          <w:b/>
          <w:sz w:val="20"/>
        </w:rPr>
        <w:t xml:space="preserve"> </w:t>
      </w:r>
      <w:r>
        <w:rPr>
          <w:rFonts w:ascii="Times New Roman;Times;serif" w:hAnsi="Times New Roman;Times;serif"/>
          <w:b w:val="false"/>
          <w:sz w:val="20"/>
        </w:rPr>
        <w:t>common shares and 625,000</w:t>
      </w:r>
      <w:r>
        <w:rPr>
          <w:rFonts w:ascii="Times New Roman;Times;serif" w:hAnsi="Times New Roman;Times;serif"/>
          <w:b/>
          <w:sz w:val="20"/>
        </w:rPr>
        <w:t xml:space="preserve"> </w:t>
      </w:r>
      <w:r>
        <w:rPr>
          <w:rFonts w:ascii="Times New Roman;Times;serif" w:hAnsi="Times New Roman;Times;serif"/>
          <w:b w:val="false"/>
          <w:sz w:val="20"/>
        </w:rPr>
        <w:t>warrants) on November 30, 2023 and $6.5</w:t>
      </w:r>
      <w:r>
        <w:rPr>
          <w:rFonts w:ascii="Times New Roman;Times;serif" w:hAnsi="Times New Roman;Times;serif"/>
          <w:b/>
          <w:sz w:val="20"/>
        </w:rPr>
        <w:t xml:space="preserve"> </w:t>
      </w:r>
      <w:r>
        <w:rPr>
          <w:rFonts w:ascii="Times New Roman;Times;serif" w:hAnsi="Times New Roman;Times;serif"/>
          <w:b w:val="false"/>
          <w:sz w:val="20"/>
        </w:rPr>
        <w:t>million (3,250,000</w:t>
      </w:r>
      <w:r>
        <w:rPr>
          <w:rFonts w:ascii="Times New Roman;Times;serif" w:hAnsi="Times New Roman;Times;serif"/>
          <w:b/>
          <w:sz w:val="20"/>
        </w:rPr>
        <w:t xml:space="preserve"> </w:t>
      </w:r>
      <w:r>
        <w:rPr>
          <w:rFonts w:ascii="Times New Roman;Times;serif" w:hAnsi="Times New Roman;Times;serif"/>
          <w:b w:val="false"/>
          <w:sz w:val="20"/>
        </w:rPr>
        <w:t>common shares and 1,625,000</w:t>
      </w:r>
      <w:r>
        <w:rPr>
          <w:rFonts w:ascii="Times New Roman;Times;serif" w:hAnsi="Times New Roman;Times;serif"/>
          <w:b/>
          <w:sz w:val="20"/>
        </w:rPr>
        <w:t xml:space="preserve"> </w:t>
      </w:r>
      <w:r>
        <w:rPr>
          <w:rFonts w:ascii="Times New Roman;Times;serif" w:hAnsi="Times New Roman;Times;serif"/>
          <w:b w:val="false"/>
          <w:sz w:val="20"/>
        </w:rPr>
        <w:t>warrants) on January 31,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 xml:space="preserve">Warrants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For accounting purposes, the Company was considered to have issued the 15,000,000 common share warrants issued by SOAC as part of the units offered in its initial public offering (“Public Warrants”) and the 9,500,000 private placement common share warrants issued by SOAC in a private placement simultaneously with the closing of the initial public offering (“Private Warrants”) as part of the Business Combination.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TMC the metals company Inc.</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Notes to Condensed Consolidated Financial Statements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(in thousands of US Dollars, except share and per share amounts and unless otherwise stated)</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(Unaudited)</w:t>
      </w:r>
    </w:p>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b/>
          <w:i/>
          <w:sz w:val="20"/>
        </w:rPr>
      </w:pPr>
      <w:bookmarkStart w:id="1132" w:name="Narr_AhfmNNVuvUeQihN_naveKw"/>
      <w:bookmarkStart w:id="1133" w:name="Narr_3K-8SIciUkmIKFEFP9BBwQ"/>
      <w:bookmarkStart w:id="1134" w:name="Tc_nWCNuYTM7ECgS2IIEKnBnw_8_7"/>
      <w:bookmarkStart w:id="1135" w:name="Tc_ZsR5oRPPLkKypr9Xqssmpw_8_4"/>
      <w:bookmarkStart w:id="1136" w:name="Tc_G4j_bmb8LE-4V2zM89wm8A_8_0"/>
      <w:bookmarkStart w:id="1137" w:name="Tc_lNWSkm0x0UmjihOwiYXzxw_7_7"/>
      <w:bookmarkStart w:id="1138" w:name="Tc_4x30qoZPJ0WsbIoLQ3JCow_7_4"/>
      <w:bookmarkStart w:id="1139" w:name="Tc_5yrTcotZkkW2Re4sJjLJ6g_7_0"/>
      <w:bookmarkStart w:id="1140" w:name="Tc_MvX_dQ_ayEOrWblyyPX6aQ_6_0"/>
      <w:bookmarkStart w:id="1141" w:name="Tc_HecDhcGcwkS_m5DN1OC4GQ_5_7"/>
      <w:bookmarkStart w:id="1142" w:name="Tc_hjG1Zii3O0KK9N210fTrqQ_5_4"/>
      <w:bookmarkStart w:id="1143" w:name="Tc_TDM1AaguEEm7vq5MnndoVA_5_0"/>
      <w:bookmarkStart w:id="1144" w:name="Tc_rtL89iv7I0OQ-K3NPQWVXQ_4_5"/>
      <w:bookmarkStart w:id="1145" w:name="Tc_WPVOLC5PSEKlhNVXKBlEBQ_4_2"/>
      <w:bookmarkStart w:id="1146" w:name="Tc_pOFStKRb-0W86IjFzQAqZA_4_0"/>
      <w:bookmarkStart w:id="1147" w:name="Tc_yC4osLl1S02VmXzhj_ov0Q_3_5"/>
      <w:bookmarkStart w:id="1148" w:name="Tc_e9jH6Cbiw0eb_ab2UIVvnQ_3_2"/>
      <w:bookmarkStart w:id="1149" w:name="Tc_FVM8tdDHC0ObCkZ5kiVvTw_3_0"/>
      <w:bookmarkStart w:id="1150" w:name="Tc_qk_XJiD37UGcXw_VVl1j1g_2_5"/>
      <w:bookmarkStart w:id="1151" w:name="Tc_QWh3oXmhqkSNW4EgzBVEzQ_2_2"/>
      <w:bookmarkStart w:id="1152" w:name="Tc_57KFXU5B9UqGBeW9E8WKFw_1_5"/>
      <w:bookmarkStart w:id="1153" w:name="Tc_1OADXEMTV0WZ757mYRIU7g_1_2"/>
      <w:bookmarkStart w:id="1154" w:name="Tc__aOZyHTjsEKqIyCaPtLI1Q_5_2"/>
      <w:bookmarkStart w:id="1155" w:name="Tc_XIBaYAGakkqBPDGmXwTJVw_5_0"/>
      <w:bookmarkStart w:id="1156" w:name="Tc_Gf5NuyyrJUa-jEqelmp-fA_4_0"/>
      <w:bookmarkStart w:id="1157" w:name="Tc_wMmWOFOduUaQ2i60LHQZ8Q_3_2"/>
      <w:bookmarkStart w:id="1158" w:name="Tc_1se6d7p8h06a-CxPF2tJ_g_3_0"/>
      <w:bookmarkStart w:id="1159" w:name="Tc_WXT5re0SQ0GTbNo89BJC2Q_2_2"/>
      <w:bookmarkStart w:id="1160" w:name="Tc__HnjQ2tBekKI3Y15_i12Fw_1_2"/>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r>
        <w:rPr>
          <w:rFonts w:ascii="Times New Roman;Times;serif" w:hAnsi="Times New Roman;Times;serif"/>
          <w:b/>
          <w:i/>
          <w:sz w:val="20"/>
        </w:rPr>
        <w:t>Public Warrants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September 30, 2023, 15,000,000 Public Warrants were outstanding (December 31, 2022 - 15,000,000). Public Warrants may only be exercised for a whole number of shares.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September 30, 2023, the value of outstanding Public Warrants of $19.5 million was recorded in additional paid in capital.</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Private Warrants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September 30, 2023, 9,500,000 Private Warrants were outstanding (December 31, 2022 - 9,500,000).</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re-measures the fair value of the Private Warrants at the end of each reporting period. The Private Warrants were valued using a Black-Scholes model, which resulted in a Level 3 fair value measurement. The primary unobservable input utilized in determining the fair value of the Private Warrants was the expected volatility of the Company’s common shares. The volatility for the private warrants is based 50% on expected volatility from the public warrants and 50% based on historical volatility of the common shares. The expected volatility was estimated using a binomial model based on consideration of the implied volatility from the Company’s Public Warrants adjusted to account for the call feature of the Public Warrants at prices above $18.00 during 20 trading days within any 30-trading day period.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September 30, 2023, the fair value of outstanding Private Warrants of $2.2 million is recorded as warrants liability. The following table presents the changes in the fair value of warrants liability:</w:t>
      </w:r>
    </w:p>
    <w:p>
      <w:pPr>
        <w:pStyle w:val="TextBody"/>
        <w:bidi w:val="0"/>
        <w:spacing w:before="0" w:after="0"/>
        <w:ind w:left="0" w:right="0" w:hanging="0"/>
        <w:jc w:val="left"/>
        <w:rPr/>
      </w:pPr>
      <w:r>
        <w:rPr/>
        <w:t>​</w:t>
      </w:r>
    </w:p>
    <w:tbl>
      <w:tblPr>
        <w:tblW w:w="5024" w:type="dxa"/>
        <w:jc w:val="left"/>
        <w:tblInd w:w="0" w:type="dxa"/>
        <w:tblLayout w:type="fixed"/>
        <w:tblCellMar>
          <w:top w:w="0" w:type="dxa"/>
          <w:left w:w="0" w:type="dxa"/>
          <w:bottom w:w="0" w:type="dxa"/>
          <w:right w:w="0" w:type="dxa"/>
        </w:tblCellMar>
      </w:tblPr>
      <w:tblGrid>
        <w:gridCol w:w="3811"/>
        <w:gridCol w:w="326"/>
        <w:gridCol w:w="211"/>
        <w:gridCol w:w="676"/>
      </w:tblGrid>
      <w:tr>
        <w:trPr/>
        <w:tc>
          <w:tcPr>
            <w:tcW w:w="3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6" name="Frame1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33985" cy="175260"/>
                      <wp:effectExtent l="0" t="0" r="0" b="0"/>
                      <wp:wrapNone/>
                      <wp:docPr id="177" name="Frame1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29260" cy="175260"/>
                      <wp:effectExtent l="0" t="0" r="0" b="0"/>
                      <wp:wrapNone/>
                      <wp:docPr id="178" name="Frame17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Private</w:t>
            </w:r>
          </w:p>
        </w:tc>
      </w:tr>
      <w:tr>
        <w:trPr/>
        <w:tc>
          <w:tcPr>
            <w:tcW w:w="38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Warrants</w:t>
            </w:r>
          </w:p>
        </w:tc>
      </w:tr>
      <w:tr>
        <w:trPr/>
        <w:tc>
          <w:tcPr>
            <w:tcW w:w="38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 liability as at December 31, 2022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983</w:t>
            </w:r>
          </w:p>
        </w:tc>
      </w:tr>
      <w:tr>
        <w:trPr/>
        <w:tc>
          <w:tcPr>
            <w:tcW w:w="38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Increase in fair value of warrants liability</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1,214</w:t>
            </w:r>
          </w:p>
        </w:tc>
      </w:tr>
      <w:tr>
        <w:trPr/>
        <w:tc>
          <w:tcPr>
            <w:tcW w:w="38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Warrants liability as at September 30, 2023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2,197</w:t>
            </w:r>
          </w:p>
        </w:tc>
      </w:tr>
    </w:tbl>
    <w:p>
      <w:pPr>
        <w:pStyle w:val="TextBody"/>
        <w:bidi w:val="0"/>
        <w:spacing w:before="0" w:after="240"/>
        <w:ind w:left="360" w:right="0" w:hanging="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September 30, 2023 and December 31, 2022, the fair value of the Private Warrants was estimated using the following assumptions:</w:t>
      </w:r>
    </w:p>
    <w:p>
      <w:pPr>
        <w:pStyle w:val="TextBody"/>
        <w:bidi w:val="0"/>
        <w:spacing w:before="0" w:after="0"/>
        <w:ind w:left="0" w:right="0" w:hanging="0"/>
        <w:jc w:val="left"/>
        <w:rPr/>
      </w:pPr>
      <w:r>
        <w:rPr/>
        <w:t>​</w:t>
      </w:r>
    </w:p>
    <w:tbl>
      <w:tblPr>
        <w:tblW w:w="4644" w:type="dxa"/>
        <w:jc w:val="left"/>
        <w:tblInd w:w="0" w:type="dxa"/>
        <w:tblLayout w:type="fixed"/>
        <w:tblCellMar>
          <w:top w:w="0" w:type="dxa"/>
          <w:left w:w="0" w:type="dxa"/>
          <w:bottom w:w="0" w:type="dxa"/>
          <w:right w:w="0" w:type="dxa"/>
        </w:tblCellMar>
      </w:tblPr>
      <w:tblGrid>
        <w:gridCol w:w="1351"/>
        <w:gridCol w:w="326"/>
        <w:gridCol w:w="281"/>
        <w:gridCol w:w="904"/>
        <w:gridCol w:w="326"/>
        <w:gridCol w:w="307"/>
        <w:gridCol w:w="833"/>
        <w:gridCol w:w="316"/>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857885" cy="175260"/>
                      <wp:effectExtent l="0" t="0" r="0" b="0"/>
                      <wp:wrapNone/>
                      <wp:docPr id="179" name="Frame179"/>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80"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78435" cy="175260"/>
                      <wp:effectExtent l="0" t="0" r="0" b="0"/>
                      <wp:wrapNone/>
                      <wp:docPr id="181" name="Frame181"/>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574040" cy="175260"/>
                      <wp:effectExtent l="0" t="0" r="0" b="0"/>
                      <wp:wrapNone/>
                      <wp:docPr id="182" name="Frame182"/>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94945" cy="175260"/>
                      <wp:effectExtent l="0" t="0" r="0" b="0"/>
                      <wp:wrapNone/>
                      <wp:docPr id="184" name="Frame184"/>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528955" cy="175260"/>
                      <wp:effectExtent l="0" t="0" r="0" b="0"/>
                      <wp:wrapNone/>
                      <wp:docPr id="185" name="Frame185"/>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0660" cy="175260"/>
                      <wp:effectExtent l="0" t="0" r="0" b="0"/>
                      <wp:wrapNone/>
                      <wp:docPr id="186" name="Frame18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December 31, </w:t>
            </w:r>
          </w:p>
        </w:tc>
        <w:tc>
          <w:tcPr>
            <w:tcW w:w="316" w:type="dxa"/>
            <w:tcBorders/>
            <w:vAlign w:val="center"/>
          </w:tcPr>
          <w:p>
            <w:pPr>
              <w:pStyle w:val="TableContents"/>
              <w:bidi w:val="0"/>
              <w:spacing w:before="0" w:after="1"/>
              <w:ind w:left="0" w:right="0" w:hanging="0"/>
              <w:jc w:val="left"/>
              <w:rPr/>
            </w:pPr>
            <w:r>
              <w:rPr/>
              <w:t> </w:t>
            </w:r>
          </w:p>
        </w:tc>
      </w:tr>
      <w:tr>
        <w:trPr/>
        <w:tc>
          <w:tcPr>
            <w:tcW w:w="1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2022</w:t>
            </w:r>
          </w:p>
        </w:tc>
        <w:tc>
          <w:tcPr>
            <w:tcW w:w="316" w:type="dxa"/>
            <w:tcBorders/>
            <w:vAlign w:val="center"/>
          </w:tcPr>
          <w:p>
            <w:pPr>
              <w:pStyle w:val="TableContents"/>
              <w:bidi w:val="0"/>
              <w:spacing w:before="0" w:after="1"/>
              <w:ind w:left="0" w:right="0" w:hanging="0"/>
              <w:jc w:val="left"/>
              <w:rPr/>
            </w:pPr>
            <w:r>
              <w:rPr/>
              <w:t> </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11.50</w:t>
            </w:r>
          </w:p>
        </w:tc>
        <w:tc>
          <w:tcPr>
            <w:tcW w:w="326"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11.50</w:t>
            </w:r>
          </w:p>
        </w:tc>
        <w:tc>
          <w:tcPr>
            <w:tcW w:w="316" w:type="dxa"/>
            <w:tcBorders/>
            <w:shd w:fill="CCEEFF" w:val="clear"/>
            <w:vAlign w:val="center"/>
          </w:tcPr>
          <w:p>
            <w:pPr>
              <w:pStyle w:val="TableContents"/>
              <w:bidi w:val="0"/>
              <w:spacing w:before="0" w:after="1"/>
              <w:ind w:left="0" w:right="0" w:hanging="0"/>
              <w:jc w:val="left"/>
              <w:rPr/>
            </w:pPr>
            <w:r>
              <w:rPr/>
              <w:t> </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price</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0.99</w:t>
            </w:r>
          </w:p>
        </w:tc>
        <w:tc>
          <w:tcPr>
            <w:tcW w:w="326"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0.77</w:t>
            </w:r>
          </w:p>
        </w:tc>
        <w:tc>
          <w:tcPr>
            <w:tcW w:w="316" w:type="dxa"/>
            <w:tcBorders/>
            <w:vAlign w:val="center"/>
          </w:tcPr>
          <w:p>
            <w:pPr>
              <w:pStyle w:val="TableContents"/>
              <w:bidi w:val="0"/>
              <w:spacing w:before="0" w:after="1"/>
              <w:ind w:left="0" w:right="0" w:hanging="0"/>
              <w:jc w:val="left"/>
              <w:rPr/>
            </w:pPr>
            <w:r>
              <w:rPr/>
              <w:t>​</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109.48</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07" w:type="dxa"/>
            <w:tcBorders/>
            <w:shd w:fill="CCEEFF" w:val="clear"/>
            <w:vAlign w:val="center"/>
          </w:tcPr>
          <w:p>
            <w:pPr>
              <w:pStyle w:val="TableContents"/>
              <w:bidi w:val="0"/>
              <w:spacing w:before="0" w:after="1"/>
              <w:ind w:left="0" w:right="0" w:hanging="0"/>
              <w:jc w:val="left"/>
              <w:rPr/>
            </w:pPr>
            <w:r>
              <w:rPr/>
              <w:t> </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88.05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(years)</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w:t>
            </w:r>
          </w:p>
        </w:tc>
        <w:tc>
          <w:tcPr>
            <w:tcW w:w="326"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 </w:t>
            </w:r>
          </w:p>
        </w:tc>
        <w:tc>
          <w:tcPr>
            <w:tcW w:w="8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w:t>
            </w:r>
          </w:p>
        </w:tc>
        <w:tc>
          <w:tcPr>
            <w:tcW w:w="316" w:type="dxa"/>
            <w:tcBorders/>
            <w:vAlign w:val="center"/>
          </w:tcPr>
          <w:p>
            <w:pPr>
              <w:pStyle w:val="TableContents"/>
              <w:bidi w:val="0"/>
              <w:spacing w:before="0" w:after="1"/>
              <w:ind w:left="0" w:right="0" w:hanging="0"/>
              <w:jc w:val="left"/>
              <w:rPr/>
            </w:pPr>
            <w:r>
              <w:rPr/>
              <w:t>​</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07" w:type="dxa"/>
            <w:tcBorders/>
            <w:shd w:fill="CCEEFF" w:val="clear"/>
            <w:vAlign w:val="center"/>
          </w:tcPr>
          <w:p>
            <w:pPr>
              <w:pStyle w:val="TableContents"/>
              <w:bidi w:val="0"/>
              <w:spacing w:before="0" w:after="1"/>
              <w:ind w:left="0" w:right="0" w:hanging="0"/>
              <w:jc w:val="left"/>
              <w:rPr/>
            </w:pPr>
            <w:r>
              <w:rPr/>
              <w:t> </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07" w:type="dxa"/>
            <w:tcBorders/>
            <w:vAlign w:val="center"/>
          </w:tcPr>
          <w:p>
            <w:pPr>
              <w:pStyle w:val="TableContents"/>
              <w:bidi w:val="0"/>
              <w:spacing w:before="0" w:after="1"/>
              <w:ind w:left="0" w:right="0" w:hanging="0"/>
              <w:jc w:val="left"/>
              <w:rPr/>
            </w:pPr>
            <w:r>
              <w:rPr/>
              <w:t> </w:t>
            </w:r>
          </w:p>
        </w:tc>
        <w:tc>
          <w:tcPr>
            <w:tcW w:w="8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360" w:right="0" w:firstLine="36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There were no exercises or redemptions of the Public Warrants or Private Warrants during the three and nine months ended September 30, 2023.</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Allseas Warrant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Allseas warrant vested and became exercisable upon the successful completion of the PMTS in November 2022. On July 26, 2023, the Allseas warrant was exercised resulting in the issuance of 11,578,620 common shares of the Company on August 9, 2023, once the exercise amount of $115.8 thousand warrant fee was received from Allseas.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TMC the metals company Inc.</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Notes to Condensed Consolidated Financial Statements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(in thousands of US Dollars, except share and per share amounts and unless otherwise stated)</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(Unaudited)</w:t>
      </w:r>
    </w:p>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b/>
          <w:i/>
          <w:sz w:val="20"/>
        </w:rPr>
      </w:pPr>
      <w:bookmarkStart w:id="1161" w:name="Tc_Es_d7gmWxUevsu4c-tZD3Q_9_4"/>
      <w:bookmarkStart w:id="1162" w:name="Tc_hy7XJ1NTxk29ZKxFi4mLvw_9_0"/>
      <w:bookmarkStart w:id="1163" w:name="Tc_mrxCjSWeOk-GFGLgyNVS0A_8_4"/>
      <w:bookmarkStart w:id="1164" w:name="Tc_Pzbm7gPqq0WwQbI8nelnqw_8_0"/>
      <w:bookmarkStart w:id="1165" w:name="Tc_qKnUZCSJfEmZ1asjMMGagg_7_0"/>
      <w:bookmarkStart w:id="1166" w:name="Tc_76FbjktqA0S3pTycUtSpGQ_6_4"/>
      <w:bookmarkStart w:id="1167" w:name="Tc_O81NxfUz1kmh8YXRxzd-Kw_6_0"/>
      <w:bookmarkStart w:id="1168" w:name="Tc_hNPBxRms7E-dAYDCV7BbuQ_5_2"/>
      <w:bookmarkStart w:id="1169" w:name="Tc_FH2y6DuEZk-_ypDzX8BfRA_5_0"/>
      <w:bookmarkStart w:id="1170" w:name="Tc_RbBXiQAfH0-evObfLXSBfw_4_2"/>
      <w:bookmarkStart w:id="1171" w:name="Tc_zxrOMSMzr0KQ7LEYAXtUJw_4_0"/>
      <w:bookmarkStart w:id="1172" w:name="Tc_eelwaND-Pk6lJM4NqY4crw_3_2"/>
      <w:bookmarkStart w:id="1173" w:name="Tc_yjAoStO_-UutK6-vvsjv-g_3_0"/>
      <w:bookmarkStart w:id="1174" w:name="Tc_Jcd_TUnmSUiWUnUZx7tbKg_2_2"/>
      <w:bookmarkStart w:id="1175" w:name="Tc_aAK_IjTuqk-Fc4cqZ2ClOA_1_2"/>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r>
        <w:rPr>
          <w:rFonts w:ascii="Times New Roman;Times;serif" w:hAnsi="Times New Roman;Times;serif"/>
          <w:b/>
          <w:i/>
          <w:sz w:val="20"/>
        </w:rPr>
        <w:t xml:space="preserve">Class A Warrants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As a part of the Registered Direct Offering (Note 8), the Company issued 3,980,770 Class A Warrants for the purchase of common shares at an exercise price of $3.00 per share. The Class A Warrants expire on December 31, 2027. The valuation of these Class A Warrants was determined using a Monte Carlo simulation.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Class A Warrants were valued on August 14, 2023, at a fair value of $0.80 per warrant. The fair value of the Class A Warrants was estimated using the following assumptions:</w:t>
      </w:r>
    </w:p>
    <w:p>
      <w:pPr>
        <w:pStyle w:val="TextBody"/>
        <w:bidi w:val="0"/>
        <w:spacing w:before="0" w:after="0"/>
        <w:ind w:left="0" w:right="0" w:hanging="0"/>
        <w:jc w:val="left"/>
        <w:rPr/>
      </w:pPr>
      <w:r>
        <w:rPr/>
        <w:t>​</w:t>
      </w:r>
    </w:p>
    <w:tbl>
      <w:tblPr>
        <w:tblW w:w="3298" w:type="dxa"/>
        <w:jc w:val="left"/>
        <w:tblInd w:w="0" w:type="dxa"/>
        <w:tblLayout w:type="fixed"/>
        <w:tblCellMar>
          <w:top w:w="0" w:type="dxa"/>
          <w:left w:w="0" w:type="dxa"/>
          <w:bottom w:w="0" w:type="dxa"/>
          <w:right w:w="0" w:type="dxa"/>
        </w:tblCellMar>
      </w:tblPr>
      <w:tblGrid>
        <w:gridCol w:w="1726"/>
        <w:gridCol w:w="326"/>
        <w:gridCol w:w="221"/>
        <w:gridCol w:w="709"/>
        <w:gridCol w:w="316"/>
      </w:tblGrid>
      <w:tr>
        <w:trPr/>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096010" cy="175260"/>
                      <wp:effectExtent l="0" t="0" r="0" b="0"/>
                      <wp:wrapNone/>
                      <wp:docPr id="187" name="Frame187"/>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8"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40335" cy="175260"/>
                      <wp:effectExtent l="0" t="0" r="0" b="0"/>
                      <wp:wrapNone/>
                      <wp:docPr id="189" name="Frame189"/>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50215" cy="175260"/>
                      <wp:effectExtent l="0" t="0" r="0" b="0"/>
                      <wp:wrapNone/>
                      <wp:docPr id="190" name="Frame190"/>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0660" cy="175260"/>
                      <wp:effectExtent l="0" t="0" r="0" b="0"/>
                      <wp:wrapNone/>
                      <wp:docPr id="191" name="Frame19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30" w:type="dxa"/>
            <w:gridSpan w:val="2"/>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August 14, </w:t>
            </w:r>
          </w:p>
        </w:tc>
        <w:tc>
          <w:tcPr>
            <w:tcW w:w="316" w:type="dxa"/>
            <w:tcBorders/>
            <w:vAlign w:val="center"/>
          </w:tcPr>
          <w:p>
            <w:pPr>
              <w:pStyle w:val="TableContents"/>
              <w:bidi w:val="0"/>
              <w:spacing w:before="0" w:after="1"/>
              <w:ind w:left="0" w:right="0" w:hanging="0"/>
              <w:jc w:val="left"/>
              <w:rPr/>
            </w:pPr>
            <w:r>
              <w:rPr/>
              <w:t> </w:t>
            </w:r>
          </w:p>
        </w:tc>
      </w:tr>
      <w:tr>
        <w:trPr/>
        <w:tc>
          <w:tcPr>
            <w:tcW w:w="17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0"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1"/>
              <w:ind w:left="0" w:right="0" w:hanging="0"/>
              <w:jc w:val="left"/>
              <w:rPr/>
            </w:pPr>
            <w:r>
              <w:rPr/>
              <w:t> </w:t>
            </w:r>
          </w:p>
        </w:tc>
      </w:tr>
      <w:tr>
        <w:trP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price</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w:t>
            </w:r>
          </w:p>
        </w:tc>
        <w:tc>
          <w:tcPr>
            <w:tcW w:w="316" w:type="dxa"/>
            <w:tcBorders/>
            <w:vAlign w:val="center"/>
          </w:tcPr>
          <w:p>
            <w:pPr>
              <w:pStyle w:val="TableContents"/>
              <w:bidi w:val="0"/>
              <w:spacing w:before="0" w:after="1"/>
              <w:ind w:left="0" w:right="0" w:hanging="0"/>
              <w:jc w:val="left"/>
              <w:rPr/>
            </w:pPr>
            <w:r>
              <w:rPr/>
              <w:t>​</w:t>
            </w:r>
          </w:p>
        </w:tc>
      </w:tr>
      <w:tr>
        <w:trP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Call price threshold</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7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107.08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(years)</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7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7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7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360" w:right="0" w:hanging="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accordance with ASC 815 – Derivatives and Hedging, the Company has classified the Class A Warrants as equity and as at September 30, 2023 recorded $3.2 million as additional paid in capital.</w:t>
      </w:r>
    </w:p>
    <w:p>
      <w:pPr>
        <w:pStyle w:val="TextBody"/>
        <w:bidi w:val="0"/>
        <w:spacing w:before="0" w:after="240"/>
        <w:ind w:left="36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10.</w:t>
      </w:r>
      <w:r>
        <w:rPr>
          <w:rFonts w:ascii="Times New Roman;Times;serif" w:hAnsi="Times New Roman;Times;serif"/>
          <w:b/>
          <w:sz w:val="20"/>
        </w:rPr>
        <w:t>Share-Based Compensation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Company’s 2021 Incentive Equity Plan (the “Plan”) provides that the aggregate number of common shares reserved for future issuance under the Plan as of September 30, 2023, is 44,372,170 common shares, including 10,672,485 shares added to the Plan in January 2023 pursuant to the Plan’s automatic annual increase provision, provided that 2,243,853 of the outstanding common shares shall only be available for awards made to non-employee directors of the Company. On the first day of each fiscal year beginning in 2022 to the tenth anniversary of the closing of the Business Combination, the number of common shares that may be issued pursuant to the Plan is automatically increased by an amount equal to the lesser of 4% of the number of outstanding common shares or an amount determined by the board of directors.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September 30, 2023, there were 15,236,340 stock options outstanding under the Company’s Short-Term Incentive Plan (“STIP”) and 9,783,922 stock options outstanding under the Company’s Long-Term Incentive Plan (“LTIP”). During the three and nine months ended September 30, 2023, 120,000 STIP stock options were exercised.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three and nine months ended September 30, 2023, the Company recognized $0.1 million and $0.4 million, respectively (three and nine months ended September 30, 2022 - $1.7 million and $9.2 million, respectively), of share-based compensation expense for stock options in the statement of loss and comprehensive loss. For the three and nine months ended September 30, 2023, a total of $57 thousand and $195 thousand, respectively, of this share-based compensation expense recognized was related to exploration and evaluation activities (three and nine months ended September 30, 2022 - $0.7 million and $4.6 million, respectively). The amount of this share-based compensation expense recognized related to general and administrative matters for three and nine months ended September 30, 2023 was $60 thousand and $236 thousand, respectively (three and nine months ended September 30, 2022 - $1 million and $4.6 million,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TMC the metals company Inc.</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Notes to Condensed Consolidated Financial Statements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(in thousands of US Dollars, except share and per share amounts and unless otherwise stated)</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(Unaudited)</w:t>
      </w:r>
    </w:p>
    <w:p>
      <w:pPr>
        <w:pStyle w:val="TextBody"/>
        <w:bidi w:val="0"/>
        <w:spacing w:before="0" w:after="0"/>
        <w:ind w:left="0" w:right="0" w:hanging="0"/>
        <w:jc w:val="left"/>
        <w:rPr/>
      </w:pPr>
      <w:r>
        <w:rPr/>
        <w:t>​</w:t>
      </w:r>
    </w:p>
    <w:p>
      <w:pPr>
        <w:pStyle w:val="TextBody"/>
        <w:bidi w:val="0"/>
        <w:spacing w:before="0" w:after="240"/>
        <w:ind w:left="360" w:right="0" w:hanging="0"/>
        <w:jc w:val="left"/>
        <w:rPr>
          <w:rFonts w:ascii="Times New Roman;Times;serif" w:hAnsi="Times New Roman;Times;serif"/>
          <w:b/>
          <w:i/>
          <w:sz w:val="20"/>
        </w:rPr>
      </w:pPr>
      <w:bookmarkStart w:id="1176" w:name="Tc_YIYT9Q0xfke5f3jzHuy6pg_7_4"/>
      <w:bookmarkStart w:id="1177" w:name="Tc_jjgFTBjD70-8QsXrfncwkQ_7_2"/>
      <w:bookmarkStart w:id="1178" w:name="Tc_4EXF6sqzY0SfpZax05m3Vg_7_0"/>
      <w:bookmarkStart w:id="1179" w:name="Tc_eBBDPsZQJ0izb8-abb9dZg_6_2"/>
      <w:bookmarkStart w:id="1180" w:name="Tc_xUhHe_l000-IoftgOqVreA_6_0"/>
      <w:bookmarkStart w:id="1181" w:name="Tc_I6cRKv5IBEKTEa0qsmLSsA_5_4"/>
      <w:bookmarkStart w:id="1182" w:name="Tc_LgI8Ffzmd0qiL4a7Qi0TTA_5_2"/>
      <w:bookmarkStart w:id="1183" w:name="Tc_9tGBS8Pa_0mSa11WtnEzeg_5_0"/>
      <w:bookmarkStart w:id="1184" w:name="Tc_yf2fafQlaU-6wVFOKtJ5Lg_4_2"/>
      <w:bookmarkStart w:id="1185" w:name="Tc_G442ltkXrEajOF8FJwmPgw_4_0"/>
      <w:bookmarkStart w:id="1186" w:name="Tc_736VZ6DftEuYbGjD9RRmsA_3_8"/>
      <w:bookmarkStart w:id="1187" w:name="Tc_Qr0WUdIHlEaQnNc3_bFS4g_3_6"/>
      <w:bookmarkStart w:id="1188" w:name="Tc_mK2Ud_mxqEGtfIQxt6lEzA_3_4"/>
      <w:bookmarkStart w:id="1189" w:name="Tc_IwD7Sk4ZfkCxOc3rDWVKTQ_3_2"/>
      <w:bookmarkStart w:id="1190" w:name="Tc_0WkCuCwds0CpMo3PK7Jsxg_3_0"/>
      <w:bookmarkStart w:id="1191" w:name="Tc_-W_WZ9zd3kaznUZoyRg1Gg_2_6"/>
      <w:bookmarkStart w:id="1192" w:name="Tc_2JYUxrSif0uWo1uFbgPOlA_2_2"/>
      <w:bookmarkStart w:id="1193" w:name="Tc_ZztHv_QDSEyvTWic7mho3g_1_6"/>
      <w:bookmarkStart w:id="1194" w:name="Tc_xgrOvU3aXUuXi0QJun7asQ_1_2"/>
      <w:bookmarkStart w:id="1195" w:name="_096ddf95_fbc1_4682_9d20_14ec1bbc26c8"/>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r>
        <w:rPr>
          <w:rFonts w:ascii="Times New Roman;Times;serif" w:hAnsi="Times New Roman;Times;serif"/>
          <w:b/>
          <w:i/>
          <w:sz w:val="20"/>
        </w:rPr>
        <w:t>Restricted Share Units</w:t>
      </w:r>
    </w:p>
    <w:p>
      <w:pPr>
        <w:pStyle w:val="TextBody"/>
        <w:bidi w:val="0"/>
        <w:spacing w:before="0" w:after="240"/>
        <w:ind w:left="403" w:right="0" w:hanging="0"/>
        <w:jc w:val="both"/>
        <w:rPr>
          <w:rFonts w:ascii="Times New Roman;Times;serif" w:hAnsi="Times New Roman;Times;serif"/>
          <w:sz w:val="20"/>
        </w:rPr>
      </w:pPr>
      <w:r>
        <w:rPr>
          <w:rFonts w:ascii="Times New Roman;Times;serif" w:hAnsi="Times New Roman;Times;serif"/>
          <w:sz w:val="20"/>
        </w:rPr>
        <w:t>The details of restricted share units (“RSUs”) granted during the three and nine months ended September 30, 2023 are described below.</w:t>
      </w:r>
    </w:p>
    <w:p>
      <w:pPr>
        <w:pStyle w:val="TextBody"/>
        <w:bidi w:val="0"/>
        <w:spacing w:before="0" w:after="0"/>
        <w:ind w:left="0" w:right="0" w:hanging="0"/>
        <w:jc w:val="left"/>
        <w:rPr/>
      </w:pPr>
      <w:r>
        <w:rPr/>
        <w:t>​</w:t>
      </w:r>
    </w:p>
    <w:tbl>
      <w:tblPr>
        <w:tblW w:w="9155" w:type="dxa"/>
        <w:jc w:val="left"/>
        <w:tblInd w:w="0" w:type="dxa"/>
        <w:tblLayout w:type="fixed"/>
        <w:tblCellMar>
          <w:top w:w="0" w:type="dxa"/>
          <w:left w:w="0" w:type="dxa"/>
          <w:bottom w:w="0" w:type="dxa"/>
          <w:right w:w="0" w:type="dxa"/>
        </w:tblCellMar>
      </w:tblPr>
      <w:tblGrid>
        <w:gridCol w:w="4666"/>
        <w:gridCol w:w="326"/>
        <w:gridCol w:w="509"/>
        <w:gridCol w:w="356"/>
        <w:gridCol w:w="739"/>
        <w:gridCol w:w="326"/>
        <w:gridCol w:w="931"/>
        <w:gridCol w:w="326"/>
        <w:gridCol w:w="976"/>
      </w:tblGrid>
      <w:tr>
        <w:trPr/>
        <w:tc>
          <w:tcPr>
            <w:tcW w:w="4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962910" cy="175260"/>
                      <wp:effectExtent l="0" t="0" r="0" b="0"/>
                      <wp:wrapNone/>
                      <wp:docPr id="192" name="Frame192"/>
                      <a:graphic xmlns:a="http://schemas.openxmlformats.org/drawingml/2006/main">
                        <a:graphicData uri="http://schemas.microsoft.com/office/word/2010/wordprocessingShape">
                          <wps:wsp>
                            <wps:cNvSpPr txBox="1"/>
                            <wps:spPr>
                              <a:xfrm>
                                <a:off x="0" y="0"/>
                                <a:ext cx="2962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3" name="Frame1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323215" cy="175260"/>
                      <wp:effectExtent l="0" t="0" r="0" b="0"/>
                      <wp:wrapNone/>
                      <wp:docPr id="194" name="Frame194"/>
                      <a:graphic xmlns:a="http://schemas.openxmlformats.org/drawingml/2006/main">
                        <a:graphicData uri="http://schemas.microsoft.com/office/word/2010/wordprocessingShape">
                          <wps:wsp>
                            <wps:cNvSpPr txBox="1"/>
                            <wps:spPr>
                              <a:xfrm>
                                <a:off x="0" y="0"/>
                                <a:ext cx="323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26060" cy="175260"/>
                      <wp:effectExtent l="0" t="0" r="0" b="0"/>
                      <wp:wrapNone/>
                      <wp:docPr id="195" name="Frame195"/>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69265" cy="175260"/>
                      <wp:effectExtent l="0" t="0" r="0" b="0"/>
                      <wp:wrapNone/>
                      <wp:docPr id="196" name="Frame196"/>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7010" cy="175260"/>
                      <wp:effectExtent l="0" t="0" r="0" b="0"/>
                      <wp:wrapNone/>
                      <wp:docPr id="197" name="Frame1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591185" cy="175260"/>
                      <wp:effectExtent l="0" t="0" r="0" b="0"/>
                      <wp:wrapNone/>
                      <wp:docPr id="198" name="Frame19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19760" cy="175260"/>
                      <wp:effectExtent l="0" t="0" r="0" b="0"/>
                      <wp:wrapNone/>
                      <wp:docPr id="200" name="Frame20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604"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w:t>
            </w:r>
          </w:p>
        </w:tc>
        <w:tc>
          <w:tcPr>
            <w:tcW w:w="326" w:type="dxa"/>
            <w:tcBorders/>
            <w:vAlign w:val="center"/>
          </w:tcPr>
          <w:p>
            <w:pPr>
              <w:pStyle w:val="TableContents"/>
              <w:bidi w:val="0"/>
              <w:spacing w:before="0" w:after="0"/>
              <w:ind w:left="0" w:right="0" w:hanging="0"/>
              <w:jc w:val="center"/>
              <w:rPr/>
            </w:pPr>
            <w:r>
              <w:rPr/>
              <w:t>    </w:t>
            </w:r>
          </w:p>
        </w:tc>
        <w:tc>
          <w:tcPr>
            <w:tcW w:w="223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w:t>
            </w:r>
          </w:p>
        </w:tc>
      </w:tr>
      <w:tr>
        <w:trPr/>
        <w:tc>
          <w:tcPr>
            <w:tcW w:w="46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60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September 30,</w:t>
            </w:r>
          </w:p>
        </w:tc>
        <w:tc>
          <w:tcPr>
            <w:tcW w:w="326" w:type="dxa"/>
            <w:tcBorders/>
            <w:vAlign w:val="center"/>
          </w:tcPr>
          <w:p>
            <w:pPr>
              <w:pStyle w:val="TableContents"/>
              <w:bidi w:val="0"/>
              <w:spacing w:before="0" w:after="0"/>
              <w:ind w:left="0" w:right="0" w:hanging="0"/>
              <w:jc w:val="center"/>
              <w:rPr/>
            </w:pPr>
            <w:r>
              <w:rPr/>
              <w:t>​</w:t>
            </w:r>
          </w:p>
        </w:tc>
        <w:tc>
          <w:tcPr>
            <w:tcW w:w="223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September 30,</w:t>
            </w:r>
          </w:p>
        </w:tc>
      </w:tr>
      <w:tr>
        <w:trPr/>
        <w:tc>
          <w:tcPr>
            <w:tcW w:w="46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Vesting Period</w:t>
            </w:r>
          </w:p>
        </w:tc>
        <w:tc>
          <w:tcPr>
            <w:tcW w:w="326" w:type="dxa"/>
            <w:tcBorders/>
            <w:vAlign w:val="center"/>
          </w:tcPr>
          <w:p>
            <w:pPr>
              <w:pStyle w:val="TableContents"/>
              <w:bidi w:val="0"/>
              <w:spacing w:before="0" w:after="0"/>
              <w:ind w:left="0" w:right="0" w:hanging="0"/>
              <w:jc w:val="center"/>
              <w:rPr/>
            </w:pPr>
            <w:r>
              <w:rPr/>
              <w:t>   </w:t>
            </w:r>
          </w:p>
        </w:tc>
        <w:tc>
          <w:tcPr>
            <w:tcW w:w="5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2023</w:t>
            </w:r>
          </w:p>
        </w:tc>
        <w:tc>
          <w:tcPr>
            <w:tcW w:w="356" w:type="dxa"/>
            <w:tcBorders/>
            <w:vAlign w:val="center"/>
          </w:tcPr>
          <w:p>
            <w:pPr>
              <w:pStyle w:val="TableContents"/>
              <w:bidi w:val="0"/>
              <w:spacing w:before="0" w:after="0"/>
              <w:ind w:left="0" w:right="0" w:hanging="0"/>
              <w:jc w:val="center"/>
              <w:rPr/>
            </w:pPr>
            <w:r>
              <w:rPr/>
              <w:t>    </w:t>
            </w:r>
          </w:p>
        </w:tc>
        <w:tc>
          <w:tcPr>
            <w:tcW w:w="7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2022</w:t>
            </w:r>
          </w:p>
        </w:tc>
      </w:tr>
      <w:tr>
        <w:trPr/>
        <w:tc>
          <w:tcPr>
            <w:tcW w:w="466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Vesting immediately</w:t>
            </w:r>
            <w:r>
              <w:rPr>
                <w:rFonts w:ascii="Times New Roman;Times;serif" w:hAnsi="Times New Roman;Times;serif"/>
                <w:sz w:val="15"/>
              </w:rPr>
              <w:t>(1)(2)</w:t>
            </w:r>
          </w:p>
        </w:tc>
        <w:tc>
          <w:tcPr>
            <w:tcW w:w="326" w:type="dxa"/>
            <w:tcBorders/>
            <w:shd w:fill="CCEEFF" w:val="clear"/>
            <w:vAlign w:val="center"/>
          </w:tcPr>
          <w:p>
            <w:pPr>
              <w:pStyle w:val="TableContents"/>
              <w:bidi w:val="0"/>
              <w:spacing w:before="0" w:after="0"/>
              <w:ind w:left="0" w:right="0" w:hanging="0"/>
              <w:jc w:val="center"/>
              <w:rPr/>
            </w:pPr>
            <w:r>
              <w:rPr/>
              <w:t>​</w:t>
            </w:r>
          </w:p>
        </w:tc>
        <w:tc>
          <w:tcPr>
            <w:tcW w:w="509" w:type="dxa"/>
            <w:tcBorders/>
            <w:shd w:fill="CCEEFF" w:val="clear"/>
            <w:vAlign w:val="center"/>
          </w:tcPr>
          <w:p>
            <w:pPr>
              <w:pStyle w:val="TableContents"/>
              <w:bidi w:val="0"/>
              <w:spacing w:before="0" w:after="0"/>
              <w:ind w:left="0" w:right="0" w:hanging="0"/>
              <w:jc w:val="right"/>
              <w:rPr/>
            </w:pPr>
            <w:r>
              <w:rPr/>
              <w:t>—</w:t>
            </w:r>
          </w:p>
        </w:tc>
        <w:tc>
          <w:tcPr>
            <w:tcW w:w="356" w:type="dxa"/>
            <w:tcBorders/>
            <w:shd w:fill="CCEEFF" w:val="clear"/>
            <w:vAlign w:val="center"/>
          </w:tcPr>
          <w:p>
            <w:pPr>
              <w:pStyle w:val="TableContents"/>
              <w:bidi w:val="0"/>
              <w:spacing w:before="0" w:after="0"/>
              <w:ind w:left="0" w:right="0" w:hanging="0"/>
              <w:jc w:val="center"/>
              <w:rPr/>
            </w:pPr>
            <w:r>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8,576</w:t>
            </w:r>
          </w:p>
        </w:tc>
        <w:tc>
          <w:tcPr>
            <w:tcW w:w="326"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3,237,710</w:t>
            </w:r>
          </w:p>
        </w:tc>
        <w:tc>
          <w:tcPr>
            <w:tcW w:w="326" w:type="dxa"/>
            <w:tcBorders/>
            <w:shd w:fill="CCEEFF" w:val="clear"/>
            <w:vAlign w:val="center"/>
          </w:tcPr>
          <w:p>
            <w:pPr>
              <w:pStyle w:val="TableContents"/>
              <w:bidi w:val="0"/>
              <w:spacing w:before="0" w:after="0"/>
              <w:ind w:left="0" w:right="0" w:hanging="0"/>
              <w:jc w:val="center"/>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1,721,729</w:t>
            </w:r>
          </w:p>
        </w:tc>
      </w:tr>
      <w:tr>
        <w:trPr/>
        <w:tc>
          <w:tcPr>
            <w:tcW w:w="466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Vesting fully on the first anniversary of the grant date</w:t>
            </w:r>
            <w:r>
              <w:rPr>
                <w:rFonts w:ascii="Times New Roman;Times;serif" w:hAnsi="Times New Roman;Times;serif"/>
                <w:sz w:val="15"/>
              </w:rPr>
              <w:t>(3)</w:t>
            </w:r>
          </w:p>
        </w:tc>
        <w:tc>
          <w:tcPr>
            <w:tcW w:w="326" w:type="dxa"/>
            <w:tcBorders/>
            <w:vAlign w:val="center"/>
          </w:tcPr>
          <w:p>
            <w:pPr>
              <w:pStyle w:val="TableContents"/>
              <w:bidi w:val="0"/>
              <w:spacing w:before="0" w:after="0"/>
              <w:ind w:left="0" w:right="0" w:hanging="0"/>
              <w:jc w:val="left"/>
              <w:rPr/>
            </w:pPr>
            <w:r>
              <w:rPr/>
              <w:t> </w:t>
            </w:r>
          </w:p>
        </w:tc>
        <w:tc>
          <w:tcPr>
            <w:tcW w:w="509"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1,014,349</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476,189</w:t>
            </w:r>
          </w:p>
        </w:tc>
      </w:tr>
      <w:tr>
        <w:trPr/>
        <w:tc>
          <w:tcPr>
            <w:tcW w:w="466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Vesting in thirds on each anniversary of the grant date</w:t>
            </w:r>
            <w:r>
              <w:rPr>
                <w:rFonts w:ascii="Times New Roman;Times;serif" w:hAnsi="Times New Roman;Times;serif"/>
                <w:sz w:val="15"/>
              </w:rPr>
              <w:t>(4)</w:t>
            </w:r>
          </w:p>
        </w:tc>
        <w:tc>
          <w:tcPr>
            <w:tcW w:w="326" w:type="dxa"/>
            <w:tcBorders/>
            <w:shd w:fill="CCEEFF" w:val="clear"/>
            <w:vAlign w:val="center"/>
          </w:tcPr>
          <w:p>
            <w:pPr>
              <w:pStyle w:val="TableContents"/>
              <w:bidi w:val="0"/>
              <w:spacing w:before="0" w:after="0"/>
              <w:ind w:left="0" w:right="0" w:hanging="0"/>
              <w:jc w:val="left"/>
              <w:rPr/>
            </w:pPr>
            <w:r>
              <w:rPr/>
              <w:t> </w:t>
            </w:r>
          </w:p>
        </w:tc>
        <w:tc>
          <w:tcPr>
            <w:tcW w:w="509" w:type="dxa"/>
            <w:tcBorders/>
            <w:shd w:fill="CCEEFF" w:val="clear"/>
            <w:vAlign w:val="center"/>
          </w:tcPr>
          <w:p>
            <w:pPr>
              <w:pStyle w:val="TableContents"/>
              <w:bidi w:val="0"/>
              <w:spacing w:before="0" w:after="0"/>
              <w:ind w:left="0" w:right="0" w:hanging="0"/>
              <w:jc w:val="right"/>
              <w:rPr/>
            </w:pPr>
            <w:r>
              <w:rPr/>
              <w:t>—</w:t>
            </w:r>
          </w:p>
        </w:tc>
        <w:tc>
          <w:tcPr>
            <w:tcW w:w="356" w:type="dxa"/>
            <w:tcBorders/>
            <w:shd w:fill="CCEEFF" w:val="clear"/>
            <w:vAlign w:val="center"/>
          </w:tcPr>
          <w:p>
            <w:pPr>
              <w:pStyle w:val="TableContents"/>
              <w:bidi w:val="0"/>
              <w:spacing w:before="0" w:after="0"/>
              <w:ind w:left="0" w:right="0" w:hanging="0"/>
              <w:jc w:val="left"/>
              <w:rPr/>
            </w:pPr>
            <w:r>
              <w:rPr/>
              <w:t> </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95,238</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8,683,486</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464,632</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in fourths on each anniversary of the grant date</w:t>
            </w:r>
          </w:p>
        </w:tc>
        <w:tc>
          <w:tcPr>
            <w:tcW w:w="326" w:type="dxa"/>
            <w:tcBorders/>
            <w:vAlign w:val="center"/>
          </w:tcPr>
          <w:p>
            <w:pPr>
              <w:pStyle w:val="TableContents"/>
              <w:bidi w:val="0"/>
              <w:spacing w:before="0" w:after="0"/>
              <w:ind w:left="0" w:right="0" w:hanging="0"/>
              <w:jc w:val="left"/>
              <w:rPr/>
            </w:pPr>
            <w:r>
              <w:rPr/>
              <w:t> </w:t>
            </w:r>
          </w:p>
        </w:tc>
        <w:tc>
          <w:tcPr>
            <w:tcW w:w="509"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343,750</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527,800</w:t>
            </w:r>
          </w:p>
        </w:tc>
      </w:tr>
    </w:tbl>
    <w:tbl>
      <w:tblPr>
        <w:tblW w:w="10205" w:type="dxa"/>
        <w:jc w:val="left"/>
        <w:tblInd w:w="0" w:type="dxa"/>
        <w:tblLayout w:type="fixed"/>
        <w:tblCellMar>
          <w:top w:w="28" w:type="dxa"/>
          <w:left w:w="28" w:type="dxa"/>
          <w:bottom w:w="28" w:type="dxa"/>
          <w:right w:w="28" w:type="dxa"/>
        </w:tblCellMar>
      </w:tblPr>
      <w:tblGrid>
        <w:gridCol w:w="124"/>
        <w:gridCol w:w="299"/>
        <w:gridCol w:w="9782"/>
      </w:tblGrid>
      <w:tr>
        <w:trPr/>
        <w:tc>
          <w:tcPr>
            <w:tcW w:w="124" w:type="dxa"/>
            <w:tcBorders/>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82"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Of the 3,237,710</w:t>
            </w:r>
            <w:r>
              <w:rPr>
                <w:caps w:val="false"/>
                <w:smallCaps w:val="false"/>
              </w:rPr>
              <w:t xml:space="preserve"> </w:t>
            </w:r>
            <w:r>
              <w:rPr>
                <w:rFonts w:ascii="Times New Roman;Times;serif" w:hAnsi="Times New Roman;Times;serif"/>
                <w:b w:val="false"/>
                <w:i w:val="false"/>
                <w:caps w:val="false"/>
                <w:smallCaps w:val="false"/>
                <w:sz w:val="20"/>
              </w:rPr>
              <w:t>units vesting immediately granted during the first quarter of 2023, 3,222,086</w:t>
            </w:r>
            <w:r>
              <w:rPr>
                <w:caps w:val="false"/>
                <w:smallCaps w:val="false"/>
              </w:rPr>
              <w:t xml:space="preserve"> </w:t>
            </w:r>
            <w:r>
              <w:rPr>
                <w:rFonts w:ascii="Times New Roman;Times;serif" w:hAnsi="Times New Roman;Times;serif"/>
                <w:b w:val="false"/>
                <w:i w:val="false"/>
                <w:caps w:val="false"/>
                <w:smallCaps w:val="false"/>
                <w:sz w:val="20"/>
              </w:rPr>
              <w:t>units were issued to settle liabilities with a carrying amount of</w:t>
            </w:r>
            <w:r>
              <w:rPr>
                <w:caps w:val="false"/>
                <w:smallCaps w:val="false"/>
              </w:rPr>
              <w:t xml:space="preserve"> </w:t>
            </w:r>
            <w:r>
              <w:rPr>
                <w:rFonts w:ascii="Times New Roman;Times;serif" w:hAnsi="Times New Roman;Times;serif"/>
                <w:b w:val="false"/>
                <w:i w:val="false"/>
                <w:caps w:val="false"/>
                <w:smallCaps w:val="false"/>
                <w:sz w:val="20"/>
              </w:rPr>
              <w:t>$2.9</w:t>
            </w:r>
            <w:r>
              <w:rPr>
                <w:caps w:val="false"/>
                <w:smallCaps w:val="false"/>
              </w:rPr>
              <w:t xml:space="preserve"> </w:t>
            </w:r>
            <w:r>
              <w:rPr>
                <w:rFonts w:ascii="Times New Roman;Times;serif" w:hAnsi="Times New Roman;Times;serif"/>
                <w:b w:val="false"/>
                <w:i w:val="false"/>
                <w:caps w:val="false"/>
                <w:smallCaps w:val="false"/>
                <w:sz w:val="20"/>
              </w:rPr>
              <w:t>million, at a weighted average grant date fair value of</w:t>
            </w:r>
            <w:r>
              <w:rPr>
                <w:caps w:val="false"/>
                <w:smallCaps w:val="false"/>
              </w:rPr>
              <w:t xml:space="preserve"> </w:t>
            </w:r>
            <w:r>
              <w:rPr>
                <w:rFonts w:ascii="Times New Roman;Times;serif" w:hAnsi="Times New Roman;Times;serif"/>
                <w:b w:val="false"/>
                <w:i w:val="false"/>
                <w:caps w:val="false"/>
                <w:smallCaps w:val="false"/>
                <w:sz w:val="20"/>
              </w:rPr>
              <w:t>$0.89</w:t>
            </w:r>
            <w:r>
              <w:rPr>
                <w:caps w:val="false"/>
                <w:smallCaps w:val="false"/>
              </w:rPr>
              <w:t xml:space="preserve"> </w:t>
            </w:r>
            <w:r>
              <w:rPr>
                <w:rFonts w:ascii="Times New Roman;Times;serif" w:hAnsi="Times New Roman;Times;serif"/>
                <w:b w:val="false"/>
                <w:i w:val="false"/>
                <w:caps w:val="false"/>
                <w:smallCaps w:val="false"/>
                <w:sz w:val="20"/>
              </w:rPr>
              <w:t>per RSU.</w:t>
            </w:r>
          </w:p>
        </w:tc>
      </w:tr>
    </w:tbl>
    <w:tbl>
      <w:tblPr>
        <w:tblW w:w="10205" w:type="dxa"/>
        <w:jc w:val="left"/>
        <w:tblInd w:w="0" w:type="dxa"/>
        <w:tblLayout w:type="fixed"/>
        <w:tblCellMar>
          <w:top w:w="28" w:type="dxa"/>
          <w:left w:w="28" w:type="dxa"/>
          <w:bottom w:w="28" w:type="dxa"/>
          <w:right w:w="28" w:type="dxa"/>
        </w:tblCellMar>
      </w:tblPr>
      <w:tblGrid>
        <w:gridCol w:w="124"/>
        <w:gridCol w:w="277"/>
        <w:gridCol w:w="9804"/>
      </w:tblGrid>
      <w:tr>
        <w:trPr/>
        <w:tc>
          <w:tcPr>
            <w:tcW w:w="124" w:type="dxa"/>
            <w:tcBorders/>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04"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During the three and nine months ended September 30, 2023 the Company granted nil</w:t>
            </w:r>
            <w:r>
              <w:rPr>
                <w:caps w:val="false"/>
                <w:smallCaps w:val="false"/>
              </w:rPr>
              <w:t xml:space="preserve"> </w:t>
            </w:r>
            <w:r>
              <w:rPr>
                <w:rFonts w:ascii="Times New Roman;Times;serif" w:hAnsi="Times New Roman;Times;serif"/>
                <w:b w:val="false"/>
                <w:i w:val="false"/>
                <w:caps w:val="false"/>
                <w:smallCaps w:val="false"/>
                <w:sz w:val="20"/>
              </w:rPr>
              <w:t>and 23,438</w:t>
            </w:r>
            <w:r>
              <w:rPr>
                <w:caps w:val="false"/>
                <w:smallCaps w:val="false"/>
              </w:rPr>
              <w:t xml:space="preserve"> </w:t>
            </w:r>
            <w:r>
              <w:rPr>
                <w:rFonts w:ascii="Times New Roman;Times;serif" w:hAnsi="Times New Roman;Times;serif"/>
                <w:b w:val="false"/>
                <w:i w:val="false"/>
                <w:caps w:val="false"/>
                <w:smallCaps w:val="false"/>
                <w:sz w:val="20"/>
              </w:rPr>
              <w:t>units to consultants, (three and nine months ended September 30, 2022: 8,576</w:t>
            </w:r>
            <w:r>
              <w:rPr>
                <w:caps w:val="false"/>
                <w:smallCaps w:val="false"/>
              </w:rPr>
              <w:t xml:space="preserve"> </w:t>
            </w:r>
            <w:r>
              <w:rPr>
                <w:rFonts w:ascii="Times New Roman;Times;serif" w:hAnsi="Times New Roman;Times;serif"/>
                <w:b w:val="false"/>
                <w:i w:val="false"/>
                <w:caps w:val="false"/>
                <w:smallCaps w:val="false"/>
                <w:sz w:val="20"/>
              </w:rPr>
              <w:t>units and 649,157</w:t>
            </w:r>
            <w:r>
              <w:rPr>
                <w:caps w:val="false"/>
                <w:smallCaps w:val="false"/>
              </w:rPr>
              <w:t xml:space="preserve"> </w:t>
            </w:r>
            <w:r>
              <w:rPr>
                <w:rFonts w:ascii="Times New Roman;Times;serif" w:hAnsi="Times New Roman;Times;serif"/>
                <w:b w:val="false"/>
                <w:i w:val="false"/>
                <w:caps w:val="false"/>
                <w:smallCaps w:val="false"/>
                <w:sz w:val="20"/>
              </w:rPr>
              <w:t>units, respectively) resulting in $nil</w:t>
            </w:r>
            <w:r>
              <w:rPr>
                <w:caps w:val="false"/>
                <w:smallCaps w:val="false"/>
              </w:rPr>
              <w:t xml:space="preserve"> </w:t>
            </w:r>
            <w:r>
              <w:rPr>
                <w:rFonts w:ascii="Times New Roman;Times;serif" w:hAnsi="Times New Roman;Times;serif"/>
                <w:b w:val="false"/>
                <w:i w:val="false"/>
                <w:caps w:val="false"/>
                <w:smallCaps w:val="false"/>
                <w:sz w:val="20"/>
              </w:rPr>
              <w:t>and $23</w:t>
            </w:r>
            <w:r>
              <w:rPr>
                <w:caps w:val="false"/>
                <w:smallCaps w:val="false"/>
              </w:rPr>
              <w:t xml:space="preserve"> </w:t>
            </w:r>
            <w:r>
              <w:rPr>
                <w:rFonts w:ascii="Times New Roman;Times;serif" w:hAnsi="Times New Roman;Times;serif"/>
                <w:b w:val="false"/>
                <w:i w:val="false"/>
                <w:caps w:val="false"/>
                <w:smallCaps w:val="false"/>
                <w:sz w:val="20"/>
              </w:rPr>
              <w:t>thousand, respectively, charged to professional and consulting fees under general and administrative expenses for three and nine months ended September 30, 2023 (three and nine months ended September 30, 2022: $7.5</w:t>
            </w:r>
            <w:r>
              <w:rPr>
                <w:caps w:val="false"/>
                <w:smallCaps w:val="false"/>
              </w:rPr>
              <w:t xml:space="preserve"> </w:t>
            </w:r>
            <w:r>
              <w:rPr>
                <w:rFonts w:ascii="Times New Roman;Times;serif" w:hAnsi="Times New Roman;Times;serif"/>
                <w:b w:val="false"/>
                <w:i w:val="false"/>
                <w:caps w:val="false"/>
                <w:smallCaps w:val="false"/>
                <w:sz w:val="20"/>
              </w:rPr>
              <w:t>thousand and $1.2</w:t>
            </w:r>
            <w:r>
              <w:rPr>
                <w:caps w:val="false"/>
                <w:smallCaps w:val="false"/>
              </w:rPr>
              <w:t xml:space="preserve"> </w:t>
            </w:r>
            <w:r>
              <w:rPr>
                <w:rFonts w:ascii="Times New Roman;Times;serif" w:hAnsi="Times New Roman;Times;serif"/>
                <w:b w:val="false"/>
                <w:i w:val="false"/>
                <w:caps w:val="false"/>
                <w:smallCaps w:val="false"/>
                <w:sz w:val="20"/>
              </w:rPr>
              <w:t>million, respectively). During the three and nine months ended September 30, 2023 the Company also granted nil</w:t>
            </w:r>
            <w:r>
              <w:rPr>
                <w:caps w:val="false"/>
                <w:smallCaps w:val="false"/>
              </w:rPr>
              <w:t xml:space="preserve"> </w:t>
            </w:r>
            <w:r>
              <w:rPr>
                <w:rFonts w:ascii="Times New Roman;Times;serif" w:hAnsi="Times New Roman;Times;serif"/>
                <w:b w:val="false"/>
                <w:i w:val="false"/>
                <w:caps w:val="false"/>
                <w:smallCaps w:val="false"/>
                <w:sz w:val="20"/>
              </w:rPr>
              <w:t>and 15,625</w:t>
            </w:r>
            <w:r>
              <w:rPr>
                <w:caps w:val="false"/>
                <w:smallCaps w:val="false"/>
              </w:rPr>
              <w:t xml:space="preserve"> </w:t>
            </w:r>
            <w:r>
              <w:rPr>
                <w:rFonts w:ascii="Times New Roman;Times;serif" w:hAnsi="Times New Roman;Times;serif"/>
                <w:b w:val="false"/>
                <w:i w:val="false"/>
                <w:caps w:val="false"/>
                <w:smallCaps w:val="false"/>
                <w:sz w:val="20"/>
              </w:rPr>
              <w:t>units to consultants as a prepayment for the services (three and nine months ended September 30, 2022: nil). The amortization of the prepayment amounting to $nil</w:t>
            </w:r>
            <w:r>
              <w:rPr>
                <w:caps w:val="false"/>
                <w:smallCaps w:val="false"/>
              </w:rPr>
              <w:t xml:space="preserve"> </w:t>
            </w:r>
            <w:r>
              <w:rPr>
                <w:rFonts w:ascii="Times New Roman;Times;serif" w:hAnsi="Times New Roman;Times;serif"/>
                <w:b w:val="false"/>
                <w:i w:val="false"/>
                <w:caps w:val="false"/>
                <w:smallCaps w:val="false"/>
                <w:sz w:val="20"/>
              </w:rPr>
              <w:t>and $15</w:t>
            </w:r>
            <w:r>
              <w:rPr>
                <w:caps w:val="false"/>
                <w:smallCaps w:val="false"/>
              </w:rPr>
              <w:t xml:space="preserve"> </w:t>
            </w:r>
            <w:r>
              <w:rPr>
                <w:rFonts w:ascii="Times New Roman;Times;serif" w:hAnsi="Times New Roman;Times;serif"/>
                <w:b w:val="false"/>
                <w:i w:val="false"/>
                <w:caps w:val="false"/>
                <w:smallCaps w:val="false"/>
                <w:sz w:val="20"/>
              </w:rPr>
              <w:t>thousand, respectively, was charged to professional and consulting fees under general and administrative expenses for three and nine months ended September 30, 2023 (three and nine months ended Sept 30, 2022: nil).</w:t>
            </w:r>
          </w:p>
        </w:tc>
      </w:tr>
    </w:tbl>
    <w:tbl>
      <w:tblPr>
        <w:tblW w:w="10205" w:type="dxa"/>
        <w:jc w:val="left"/>
        <w:tblInd w:w="0" w:type="dxa"/>
        <w:tblLayout w:type="fixed"/>
        <w:tblCellMar>
          <w:top w:w="28" w:type="dxa"/>
          <w:left w:w="28" w:type="dxa"/>
          <w:bottom w:w="28" w:type="dxa"/>
          <w:right w:w="28" w:type="dxa"/>
        </w:tblCellMar>
      </w:tblPr>
      <w:tblGrid>
        <w:gridCol w:w="124"/>
        <w:gridCol w:w="287"/>
        <w:gridCol w:w="9794"/>
      </w:tblGrid>
      <w:tr>
        <w:trPr/>
        <w:tc>
          <w:tcPr>
            <w:tcW w:w="124" w:type="dxa"/>
            <w:tcBorders/>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794"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During the three and nine months ended September 30, 2023, nil</w:t>
            </w:r>
            <w:r>
              <w:rPr>
                <w:caps w:val="false"/>
                <w:smallCaps w:val="false"/>
              </w:rPr>
              <w:t xml:space="preserve"> </w:t>
            </w:r>
            <w:r>
              <w:rPr>
                <w:rFonts w:ascii="Times New Roman;Times;serif" w:hAnsi="Times New Roman;Times;serif"/>
                <w:b w:val="false"/>
                <w:i w:val="false"/>
                <w:caps w:val="false"/>
                <w:smallCaps w:val="false"/>
                <w:sz w:val="20"/>
              </w:rPr>
              <w:t>and 1,014,349</w:t>
            </w:r>
            <w:r>
              <w:rPr>
                <w:caps w:val="false"/>
                <w:smallCaps w:val="false"/>
              </w:rPr>
              <w:t xml:space="preserve"> </w:t>
            </w:r>
            <w:r>
              <w:rPr>
                <w:rFonts w:ascii="Times New Roman;Times;serif" w:hAnsi="Times New Roman;Times;serif"/>
                <w:b w:val="false"/>
                <w:i w:val="false"/>
                <w:caps w:val="false"/>
                <w:smallCaps w:val="false"/>
                <w:sz w:val="20"/>
              </w:rPr>
              <w:t xml:space="preserve">RSUs respectively, were granted to the Company’s non-employee directors under the Company’s Non-employee Director Compensation Policy, which vest upon the Company’s 2024 annual shareholders meeting. The total fair value of units granted as annual grants to the non-employee directors amounted to $700,000. </w:t>
            </w:r>
          </w:p>
        </w:tc>
      </w:tr>
    </w:tbl>
    <w:tbl>
      <w:tblPr>
        <w:tblW w:w="10205" w:type="dxa"/>
        <w:jc w:val="left"/>
        <w:tblInd w:w="0" w:type="dxa"/>
        <w:tblLayout w:type="fixed"/>
        <w:tblCellMar>
          <w:top w:w="28" w:type="dxa"/>
          <w:left w:w="28" w:type="dxa"/>
          <w:bottom w:w="28" w:type="dxa"/>
          <w:right w:w="28" w:type="dxa"/>
        </w:tblCellMar>
      </w:tblPr>
      <w:tblGrid>
        <w:gridCol w:w="124"/>
        <w:gridCol w:w="294"/>
        <w:gridCol w:w="9787"/>
      </w:tblGrid>
      <w:tr>
        <w:trPr/>
        <w:tc>
          <w:tcPr>
            <w:tcW w:w="124" w:type="dxa"/>
            <w:tcBorders/>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787"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During the three and nine months ended September 30, 2023, the Company granted nil</w:t>
            </w:r>
            <w:r>
              <w:rPr>
                <w:caps w:val="false"/>
                <w:smallCaps w:val="false"/>
              </w:rPr>
              <w:t xml:space="preserve"> </w:t>
            </w:r>
            <w:r>
              <w:rPr>
                <w:rFonts w:ascii="Times New Roman;Times;serif" w:hAnsi="Times New Roman;Times;serif"/>
                <w:b w:val="false"/>
                <w:i w:val="false"/>
                <w:caps w:val="false"/>
                <w:smallCaps w:val="false"/>
                <w:sz w:val="20"/>
              </w:rPr>
              <w:t>and 8,645,465</w:t>
            </w:r>
            <w:r>
              <w:rPr>
                <w:caps w:val="false"/>
                <w:smallCaps w:val="false"/>
              </w:rPr>
              <w:t xml:space="preserve"> </w:t>
            </w:r>
            <w:r>
              <w:rPr>
                <w:rFonts w:ascii="Times New Roman;Times;serif" w:hAnsi="Times New Roman;Times;serif"/>
                <w:b w:val="false"/>
                <w:i w:val="false"/>
                <w:caps w:val="false"/>
                <w:smallCaps w:val="false"/>
                <w:sz w:val="20"/>
              </w:rPr>
              <w:t>units, respectively, as payment for the 2022 LTIP awards and 38,021</w:t>
            </w:r>
            <w:r>
              <w:rPr>
                <w:caps w:val="false"/>
                <w:smallCaps w:val="false"/>
              </w:rPr>
              <w:t xml:space="preserve"> </w:t>
            </w:r>
            <w:r>
              <w:rPr>
                <w:rFonts w:ascii="Times New Roman;Times;serif" w:hAnsi="Times New Roman;Times;serif"/>
                <w:b w:val="false"/>
                <w:i w:val="false"/>
                <w:caps w:val="false"/>
                <w:smallCaps w:val="false"/>
                <w:sz w:val="20"/>
              </w:rPr>
              <w:t>units as a sign-on grant. The 2021 LTIP awards were granted in the fourth quarter of 2021 and totaled 3,500,000</w:t>
            </w:r>
            <w:r>
              <w:rPr>
                <w:caps w:val="false"/>
                <w:smallCaps w:val="false"/>
              </w:rPr>
              <w:t xml:space="preserve"> </w:t>
            </w:r>
            <w:r>
              <w:rPr>
                <w:rFonts w:ascii="Times New Roman;Times;serif" w:hAnsi="Times New Roman;Times;serif"/>
                <w:b w:val="false"/>
                <w:i w:val="false"/>
                <w:caps w:val="false"/>
                <w:smallCaps w:val="false"/>
                <w:sz w:val="20"/>
              </w:rPr>
              <w:t>units.</w:t>
            </w:r>
          </w:p>
        </w:tc>
      </w:tr>
    </w:tbl>
    <w:p>
      <w:pPr>
        <w:pStyle w:val="TextBody"/>
        <w:bidi w:val="0"/>
        <w:spacing w:before="0" w:after="240"/>
        <w:ind w:left="403" w:right="0" w:hanging="0"/>
        <w:jc w:val="both"/>
        <w:rPr>
          <w:rFonts w:ascii="Times New Roman;Times;serif" w:hAnsi="Times New Roman;Times;serif"/>
          <w:sz w:val="20"/>
        </w:rPr>
      </w:pPr>
      <w:r>
        <w:rPr>
          <w:rFonts w:ascii="Times New Roman;Times;serif" w:hAnsi="Times New Roman;Times;serif"/>
          <w:sz w:val="20"/>
        </w:rPr>
        <w:t>During the three and nine months ended September 30, 2023, a total of $2.4 million and $6.4 million, respectively (three and nine months ended September 30, 2022 - $1.8 million and $5.7 million, respectively), was charged to the statement of loss and comprehensive loss as share-based compensation expense for RSUs. For the three and nine months ended September 30, 2023, a total of $1.4 million and $3.6 million, respectively, of this share-based compensation expense recognized was related to exploration and evaluation activities (three and nine months ended September 30, 2022 - $0.9 million and $2.8 million respectively). The amount of this share-based compensation expense recognized related to general and administrative matters for three and nine months ended September 30, 2023 was $1 million and $2.8 million, respectively (three and nine months ended September 30, 2022 - $0.9 million and $3.0 million, respectively). As at September 30, 2023, total unrecognized share-based compensation expense for RSUs was $9.1 million (December 31, 2022 - $6.1 million).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at September 30, 2023, an aggregate of 498,863 vested units were outstanding and due to be converted into common shares.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TMC the metals company Inc.</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Notes to Condensed Consolidated Financial Statements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(in thousands of US Dollars, except share and per share amounts and unless otherwise stated)</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(Unaudited)</w:t>
      </w:r>
    </w:p>
    <w:p>
      <w:pPr>
        <w:pStyle w:val="TextBody"/>
        <w:bidi w:val="0"/>
        <w:spacing w:before="0" w:after="0"/>
        <w:ind w:left="0" w:right="0" w:hanging="0"/>
        <w:jc w:val="left"/>
        <w:rPr/>
      </w:pPr>
      <w:r>
        <w:rPr/>
        <w:t>​</w:t>
      </w:r>
    </w:p>
    <w:p>
      <w:pPr>
        <w:pStyle w:val="TextBody"/>
        <w:bidi w:val="0"/>
        <w:spacing w:before="0" w:after="240"/>
        <w:ind w:left="403" w:right="0" w:hanging="0"/>
        <w:jc w:val="both"/>
        <w:rPr>
          <w:rFonts w:ascii="Times New Roman;Times;serif" w:hAnsi="Times New Roman;Times;serif"/>
          <w:b/>
          <w:i/>
          <w:sz w:val="20"/>
        </w:rPr>
      </w:pPr>
      <w:r>
        <w:rPr>
          <w:rFonts w:ascii="Times New Roman;Times;serif" w:hAnsi="Times New Roman;Times;serif"/>
          <w:b/>
          <w:i/>
          <w:sz w:val="20"/>
        </w:rPr>
        <w:t>Employee Share Purchase Plan</w:t>
      </w:r>
    </w:p>
    <w:p>
      <w:pPr>
        <w:pStyle w:val="TextBody"/>
        <w:bidi w:val="0"/>
        <w:spacing w:before="0" w:after="240"/>
        <w:ind w:left="403" w:right="0" w:hanging="0"/>
        <w:jc w:val="both"/>
        <w:rPr>
          <w:rFonts w:ascii="Times New Roman;Times;serif" w:hAnsi="Times New Roman;Times;serif"/>
          <w:sz w:val="20"/>
        </w:rPr>
      </w:pPr>
      <w:r>
        <w:rPr>
          <w:rFonts w:ascii="Times New Roman;Times;serif" w:hAnsi="Times New Roman;Times;serif"/>
          <w:sz w:val="20"/>
        </w:rPr>
        <w:t>As of September 30, 2023, there were 7,922,445 common shares reserved for issuance under the Employee Share Purchase Plan (the “ESPP”), including 2,668,121 shares added to the ESPP in January 2023 pursuant to the ESPP’s automatic annual increase provision. An aggregate of 201,501 of the reserved common shares have been issued under the ESPP. Under the ESPP, the number of shares reserved for issuance is subject to an annual increase provision which provides that on the first day of each of the Company’s fiscal years starting in 2022, common shares equal to the lesser of (i) 1% percent of the common shares outstanding on the last day of the immediately preceding fiscal year, or (ii) such lesser number of shares as is determined by the board of directors will be added to the ESPP.</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three and nine months ended September 30, 2023, the Company issued nil and 83,572 common shares respectively to its employees, thereby converting employee payroll contributions received over the previous six months into shares, as prescribed in its ESPP program (in the three and nine months ended September 30, 2022, nil and 42,426 common shares respectively).</w:t>
      </w:r>
    </w:p>
    <w:p>
      <w:pPr>
        <w:pStyle w:val="TextBody"/>
        <w:bidi w:val="0"/>
        <w:spacing w:before="0" w:after="240"/>
        <w:ind w:left="0" w:right="0" w:hanging="0"/>
        <w:jc w:val="left"/>
        <w:rPr>
          <w:rFonts w:ascii="Times New Roman;Times;serif" w:hAnsi="Times New Roman;Times;serif"/>
          <w:b/>
          <w:sz w:val="20"/>
        </w:rPr>
      </w:pPr>
      <w:bookmarkStart w:id="1196" w:name="Tc_adkW9yCz2UaMYCq4feUcXQ_9_0"/>
      <w:bookmarkStart w:id="1197" w:name="Tc_8LjzJcXfSU-rk8lJeJvSLg_8_0"/>
      <w:bookmarkStart w:id="1198" w:name="Tc_-M0RhwqrY02m-LQBAXhsfQ_7_0"/>
      <w:bookmarkStart w:id="1199" w:name="Tc_cd0oOt56qECc2aTUnP6TWA_6_0"/>
      <w:bookmarkStart w:id="1200" w:name="Tc_fgVCBdZZN0OxscrL6OZ7XQ_5_0"/>
      <w:bookmarkStart w:id="1201" w:name="Tc_xzzzNLMp1EuwAAq3PS3sdQ_4_0"/>
      <w:bookmarkStart w:id="1202" w:name="Tc_ONzg1FyDekyvvaWvtHNeWg_3_4"/>
      <w:bookmarkStart w:id="1203" w:name="Tc_BTst9dAVZUCD5-lgs1PWtA_3_2"/>
      <w:bookmarkStart w:id="1204" w:name="Tc_ccqt5F_-F02BTJpJaUnp6A_2_4"/>
      <w:bookmarkStart w:id="1205" w:name="Tc_CND4V-SRZEWNxEbAwky6Ww_2_2"/>
      <w:bookmarkStart w:id="1206" w:name="Tc_RlX-KcnxK0yWquWeyZ3Fdg_1_4"/>
      <w:bookmarkStart w:id="1207" w:name="Tc_gbO9i3esP0yxP-sDzSBmEA_1_2"/>
      <w:bookmarkEnd w:id="1196"/>
      <w:bookmarkEnd w:id="1197"/>
      <w:bookmarkEnd w:id="1198"/>
      <w:bookmarkEnd w:id="1199"/>
      <w:bookmarkEnd w:id="1200"/>
      <w:bookmarkEnd w:id="1201"/>
      <w:bookmarkEnd w:id="1202"/>
      <w:bookmarkEnd w:id="1203"/>
      <w:bookmarkEnd w:id="1204"/>
      <w:bookmarkEnd w:id="1205"/>
      <w:bookmarkEnd w:id="1206"/>
      <w:bookmarkEnd w:id="1207"/>
      <w:r>
        <w:rPr>
          <w:rFonts w:ascii="Times New Roman;Times;serif" w:hAnsi="Times New Roman;Times;serif"/>
          <w:b/>
          <w:i w:val="false"/>
          <w:caps w:val="false"/>
          <w:smallCaps w:val="false"/>
          <w:sz w:val="20"/>
        </w:rPr>
        <w:t>11.</w:t>
      </w:r>
      <w:r>
        <w:rPr>
          <w:rFonts w:ascii="Times New Roman;Times;serif" w:hAnsi="Times New Roman;Times;serif"/>
          <w:b/>
          <w:sz w:val="20"/>
        </w:rPr>
        <w:t>Loss per Share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Basic and diluted loss per share was the same for each period presented as the inclusion of all common share equivalents would have been anti-dilutive. Anti-dilutive equivalent common shares were as follows:</w:t>
      </w:r>
    </w:p>
    <w:p>
      <w:pPr>
        <w:pStyle w:val="TextBody"/>
        <w:bidi w:val="0"/>
        <w:spacing w:before="0" w:after="0"/>
        <w:ind w:left="0" w:right="0" w:hanging="0"/>
        <w:jc w:val="left"/>
        <w:rPr/>
      </w:pPr>
      <w:r>
        <w:rPr/>
        <w:t>​</w:t>
      </w:r>
    </w:p>
    <w:tbl>
      <w:tblPr>
        <w:tblW w:w="9175" w:type="dxa"/>
        <w:jc w:val="left"/>
        <w:tblInd w:w="0" w:type="dxa"/>
        <w:tblLayout w:type="fixed"/>
        <w:tblCellMar>
          <w:top w:w="0" w:type="dxa"/>
          <w:left w:w="0" w:type="dxa"/>
          <w:bottom w:w="0" w:type="dxa"/>
          <w:right w:w="0" w:type="dxa"/>
        </w:tblCellMar>
      </w:tblPr>
      <w:tblGrid>
        <w:gridCol w:w="5536"/>
        <w:gridCol w:w="326"/>
        <w:gridCol w:w="1471"/>
        <w:gridCol w:w="326"/>
        <w:gridCol w:w="1516"/>
      </w:tblGrid>
      <w:tr>
        <w:trPr/>
        <w:tc>
          <w:tcPr>
            <w:tcW w:w="5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3515360" cy="175260"/>
                      <wp:effectExtent l="0" t="0" r="0" b="0"/>
                      <wp:wrapNone/>
                      <wp:docPr id="201" name="Frame201"/>
                      <a:graphic xmlns:a="http://schemas.openxmlformats.org/drawingml/2006/main">
                        <a:graphicData uri="http://schemas.microsoft.com/office/word/2010/wordprocessingShape">
                          <wps:wsp>
                            <wps:cNvSpPr txBox="1"/>
                            <wps:spPr>
                              <a:xfrm>
                                <a:off x="0" y="0"/>
                                <a:ext cx="3515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934085" cy="175260"/>
                      <wp:effectExtent l="0" t="0" r="0" b="0"/>
                      <wp:wrapNone/>
                      <wp:docPr id="203" name="Frame203"/>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4"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962660" cy="175260"/>
                      <wp:effectExtent l="0" t="0" r="0" b="0"/>
                      <wp:wrapNone/>
                      <wp:docPr id="205" name="Frame205"/>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47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Nine months ended</w:t>
            </w:r>
          </w:p>
        </w:tc>
        <w:tc>
          <w:tcPr>
            <w:tcW w:w="326" w:type="dxa"/>
            <w:tcBorders/>
            <w:vAlign w:val="center"/>
          </w:tcPr>
          <w:p>
            <w:pPr>
              <w:pStyle w:val="TableContents"/>
              <w:bidi w:val="0"/>
              <w:spacing w:before="0" w:after="0"/>
              <w:ind w:left="0" w:right="0" w:hanging="0"/>
              <w:jc w:val="right"/>
              <w:rPr/>
            </w:pPr>
            <w:r>
              <w:rPr/>
              <w:t>​</w:t>
            </w:r>
          </w:p>
        </w:tc>
        <w:tc>
          <w:tcPr>
            <w:tcW w:w="15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Nine months ended</w:t>
            </w:r>
          </w:p>
        </w:tc>
      </w:tr>
      <w:tr>
        <w:trPr/>
        <w:tc>
          <w:tcPr>
            <w:tcW w:w="55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471"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right"/>
              <w:rPr/>
            </w:pPr>
            <w:r>
              <w:rPr/>
              <w:t>​</w:t>
            </w:r>
          </w:p>
        </w:tc>
        <w:tc>
          <w:tcPr>
            <w:tcW w:w="1516" w:type="dxa"/>
            <w:tcBorders/>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September 30, </w:t>
            </w:r>
          </w:p>
        </w:tc>
      </w:tr>
      <w:tr>
        <w:trPr/>
        <w:tc>
          <w:tcPr>
            <w:tcW w:w="55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    </w:t>
            </w:r>
          </w:p>
        </w:tc>
        <w:tc>
          <w:tcPr>
            <w:tcW w:w="14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right"/>
              <w:rPr/>
            </w:pPr>
            <w:r>
              <w:rPr/>
              <w:t>    </w:t>
            </w:r>
          </w:p>
        </w:tc>
        <w:tc>
          <w:tcPr>
            <w:tcW w:w="15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2022</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options to purchase common shares</w:t>
            </w:r>
          </w:p>
        </w:tc>
        <w:tc>
          <w:tcPr>
            <w:tcW w:w="326"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25,020,262</w:t>
            </w:r>
          </w:p>
        </w:tc>
        <w:tc>
          <w:tcPr>
            <w:tcW w:w="326" w:type="dxa"/>
            <w:tcBorders/>
            <w:shd w:fill="CCEEFF" w:val="clear"/>
            <w:vAlign w:val="center"/>
          </w:tcPr>
          <w:p>
            <w:pPr>
              <w:pStyle w:val="TableContents"/>
              <w:bidi w:val="0"/>
              <w:spacing w:before="0" w:after="0"/>
              <w:ind w:left="0" w:right="0" w:hanging="0"/>
              <w:jc w:val="left"/>
              <w:rPr/>
            </w:pPr>
            <w:r>
              <w:rPr/>
              <w:t>  </w:t>
            </w:r>
          </w:p>
        </w:tc>
        <w:tc>
          <w:tcPr>
            <w:tcW w:w="15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25,140,262</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RSUs</w:t>
            </w:r>
          </w:p>
        </w:tc>
        <w:tc>
          <w:tcPr>
            <w:tcW w:w="32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13,477,784</w:t>
            </w:r>
          </w:p>
        </w:tc>
        <w:tc>
          <w:tcPr>
            <w:tcW w:w="326" w:type="dxa"/>
            <w:tcBorders/>
            <w:vAlign w:val="center"/>
          </w:tcPr>
          <w:p>
            <w:pPr>
              <w:pStyle w:val="TableContents"/>
              <w:bidi w:val="0"/>
              <w:spacing w:before="0" w:after="0"/>
              <w:ind w:left="0" w:right="0" w:hanging="0"/>
              <w:jc w:val="left"/>
              <w:rPr/>
            </w:pPr>
            <w:r>
              <w:rPr/>
              <w:t>  </w:t>
            </w:r>
          </w:p>
        </w:tc>
        <w:tc>
          <w:tcPr>
            <w:tcW w:w="15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5,021,783</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shares under ESPP</w:t>
            </w:r>
          </w:p>
        </w:tc>
        <w:tc>
          <w:tcPr>
            <w:tcW w:w="326" w:type="dxa"/>
            <w:tcBorders/>
            <w:shd w:fill="CCEEFF" w:val="clear"/>
            <w:vAlign w:val="center"/>
          </w:tcPr>
          <w:p>
            <w:pPr>
              <w:pStyle w:val="TableContents"/>
              <w:bidi w:val="0"/>
              <w:spacing w:before="0" w:after="0"/>
              <w:ind w:left="0" w:right="0" w:hanging="0"/>
              <w:jc w:val="left"/>
              <w:rPr/>
            </w:pPr>
            <w:r>
              <w:rPr/>
              <w:t>​</w:t>
            </w:r>
          </w:p>
        </w:tc>
        <w:tc>
          <w:tcPr>
            <w:tcW w:w="14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77,241</w:t>
            </w:r>
          </w:p>
        </w:tc>
        <w:tc>
          <w:tcPr>
            <w:tcW w:w="32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34,116</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warrants</w:t>
            </w:r>
          </w:p>
        </w:tc>
        <w:tc>
          <w:tcPr>
            <w:tcW w:w="32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28,480,770</w:t>
            </w:r>
          </w:p>
        </w:tc>
        <w:tc>
          <w:tcPr>
            <w:tcW w:w="32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36,078,620</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Special Shares and options to purchase Special Shares</w:t>
            </w:r>
          </w:p>
        </w:tc>
        <w:tc>
          <w:tcPr>
            <w:tcW w:w="326" w:type="dxa"/>
            <w:tcBorders/>
            <w:shd w:fill="CCEEFF" w:val="clear"/>
            <w:vAlign w:val="center"/>
          </w:tcPr>
          <w:p>
            <w:pPr>
              <w:pStyle w:val="TableContents"/>
              <w:bidi w:val="0"/>
              <w:spacing w:before="0" w:after="0"/>
              <w:ind w:left="0" w:right="0" w:hanging="0"/>
              <w:jc w:val="left"/>
              <w:rPr/>
            </w:pPr>
            <w:r>
              <w:rPr/>
              <w:t>​</w:t>
            </w:r>
          </w:p>
        </w:tc>
        <w:tc>
          <w:tcPr>
            <w:tcW w:w="14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136,239,964</w:t>
            </w:r>
          </w:p>
        </w:tc>
        <w:tc>
          <w:tcPr>
            <w:tcW w:w="326" w:type="dxa"/>
            <w:tcBorders/>
            <w:shd w:fill="CCEEFF" w:val="clear"/>
            <w:vAlign w:val="center"/>
          </w:tcPr>
          <w:p>
            <w:pPr>
              <w:pStyle w:val="TableContents"/>
              <w:bidi w:val="0"/>
              <w:spacing w:before="0" w:after="0"/>
              <w:ind w:left="0" w:right="0" w:hanging="0"/>
              <w:jc w:val="left"/>
              <w:rPr/>
            </w:pPr>
            <w:r>
              <w:rPr/>
              <w:t>​</w:t>
            </w:r>
          </w:p>
        </w:tc>
        <w:tc>
          <w:tcPr>
            <w:tcW w:w="15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136,239,964</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anti-dilutive common equivalent shares</w:t>
            </w:r>
          </w:p>
        </w:tc>
        <w:tc>
          <w:tcPr>
            <w:tcW w:w="326" w:type="dxa"/>
            <w:tcBorders/>
            <w:vAlign w:val="center"/>
          </w:tcPr>
          <w:p>
            <w:pPr>
              <w:pStyle w:val="TableContents"/>
              <w:bidi w:val="0"/>
              <w:spacing w:before="0" w:after="0"/>
              <w:ind w:left="0" w:right="0" w:hanging="0"/>
              <w:jc w:val="left"/>
              <w:rPr/>
            </w:pPr>
            <w:r>
              <w:rPr/>
              <w:t>​</w:t>
            </w:r>
          </w:p>
        </w:tc>
        <w:tc>
          <w:tcPr>
            <w:tcW w:w="14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203,296,021</w:t>
            </w:r>
          </w:p>
        </w:tc>
        <w:tc>
          <w:tcPr>
            <w:tcW w:w="326" w:type="dxa"/>
            <w:tcBorders/>
            <w:vAlign w:val="center"/>
          </w:tcPr>
          <w:p>
            <w:pPr>
              <w:pStyle w:val="TableContents"/>
              <w:bidi w:val="0"/>
              <w:spacing w:before="0" w:after="0"/>
              <w:ind w:left="0" w:right="0" w:hanging="0"/>
              <w:jc w:val="left"/>
              <w:rPr/>
            </w:pPr>
            <w:r>
              <w:rPr/>
              <w:t>  </w:t>
            </w:r>
          </w:p>
        </w:tc>
        <w:tc>
          <w:tcPr>
            <w:tcW w:w="1516"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202,514,745</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Credit Facility with Allseas Affiliate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March 22, 2023, the Company entered into an Unsecured Credit Facility Agreement, which was amended on July 31, 2023 (“Credit Facility”), with Argentum Credit Virtuti GCV (the “Lender”), the parent of Allseas Investments S.A. and an affiliate of Allseas, pursuant to which, the Company may borrow from the Lender up to $25 million in the aggregate, from time to time, subject to certain conditions. All amounts drawn under the Credit Facility will bear interest based on the 6-month Secured Overnight Financing Rate, 180-day average plus a margin of 4.0% per annum payable in cash semi-annually (or plus 5% if paid-in-kind at maturity, at the Company’s election) on the first business day of each of June and January. The Company will pay an underutilization fee equal to 4.0% per annum payable semi-annually for any amounts that remain undrawn under the Credit Facility. The Company has the right to pre-pay the entire amount outstanding under the Credit Facility at any time before the Credit Facility’s maturity.  On July 31, 2023, the maturity date of this Credit Facility was extended to November 30, 2024. The Credit Facility also contains customary events of default.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During the three and nine months ended September 30, 2023, the Company had not drawn any amount from the Credit Facility and has incurred $0.3 million and $0.5 million respectively as underutilization fees, which would be payable only in the event the Credit Facility is not drawn down upon at the time such fees are payable.</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TMC the metals company Inc.</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Notes to Condensed Consolidated Financial Statements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(in thousands of US Dollars, except share and per share amounts and unless otherwise stated)</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1208" w:name="Tc_2Kp1HfxZ80uTa2pNNpcAqA_4_2"/>
      <w:bookmarkStart w:id="1209" w:name="Tc_b7t7Tqkpv0Siu7Ode_PmBQ_4_0"/>
      <w:bookmarkStart w:id="1210" w:name="Tc_CiwKNARi-kKSi_TKLjklmQ_3_0"/>
      <w:bookmarkStart w:id="1211" w:name="Tc_fcpx8A3vR0OSo96OpMNJIg_2_2"/>
      <w:bookmarkStart w:id="1212" w:name="Tc_e-OSn91ZuUulPiOuUD5gMA_2_0"/>
      <w:bookmarkStart w:id="1213" w:name="Tc_9ELGQHNPa0CBGsQ3wkPfOQ_1_2"/>
      <w:bookmarkStart w:id="1214" w:name="_8df839d3_3632_41af_89de_ef24682919aa"/>
      <w:bookmarkStart w:id="1215" w:name="Tc_udb3tUvd3kCch7vFwyKcAA_4_3"/>
      <w:bookmarkStart w:id="1216" w:name="Tc_t5U2QbUQckKVU_8wyWzY4Q_4_2"/>
      <w:bookmarkStart w:id="1217" w:name="Tc_Aujli4JOmk27gvBzY696iQ_4_0"/>
      <w:bookmarkStart w:id="1218" w:name="Tc_2SkXaV33m0GjgX6zCuCaMg_3_0"/>
      <w:bookmarkStart w:id="1219" w:name="Tc_8U68IlTMpEC5fRroIo1iRg_2_2"/>
      <w:bookmarkStart w:id="1220" w:name="Tc_tl4fhFW97U6n3sPuxq-pPg_2_0"/>
      <w:bookmarkStart w:id="1221" w:name="Tc_TIvtorDU40u9EMSXem7Bpw_1_2"/>
      <w:bookmarkStart w:id="1222" w:name="_30dd18ab_df51_4c10_b65a_57f8eb18d1ee"/>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r>
        <w:rPr>
          <w:rFonts w:ascii="Times New Roman;Times;serif" w:hAnsi="Times New Roman;Times;serif"/>
          <w:b/>
          <w:i w:val="false"/>
          <w:caps w:val="false"/>
          <w:smallCaps w:val="false"/>
          <w:sz w:val="20"/>
        </w:rPr>
        <w:t>13.</w:t>
      </w:r>
      <w:r>
        <w:rPr>
          <w:rFonts w:ascii="Times New Roman;Times;serif" w:hAnsi="Times New Roman;Times;serif"/>
          <w:b/>
          <w:sz w:val="20"/>
        </w:rPr>
        <w:t>Exclusive Vessel Use Agreement with Allseas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has determined that the Exclusive Vessel Use Agreement with Allseas (described in Note 6) is a lease agreement, classified as an operating lease. On August 1, 2023, the Company had recorded lease liability amounting to $6.5 million, which represents the fair value of 4.15 million common shares issued to Allseas on August 14, 2023, as consideration. As the entire lease liability was settled within 14 days of the commencement of lease, the discount rate for calculating the present value of lease payments was determined to be nil. On the date of the agreement, the Company recognized $6.5 million as a right-of-use asset, which represented the present value of the lease payments.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For the three and nine months ended September 30, 2023, the Company has recognized $0.3 million as lease expense recorded as exploration and evaluation expense.</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As at September 30, 2023, the net amount of lease liability and right-of-use asset is presented below:</w:t>
      </w:r>
    </w:p>
    <w:p>
      <w:pPr>
        <w:pStyle w:val="TextBody"/>
        <w:bidi w:val="0"/>
        <w:spacing w:before="0" w:after="240"/>
        <w:ind w:left="0" w:right="0" w:firstLine="360"/>
        <w:jc w:val="both"/>
        <w:rPr/>
      </w:pPr>
      <w:r>
        <w:rPr/>
        <w:t>​</w:t>
      </w:r>
    </w:p>
    <w:tbl>
      <w:tblPr>
        <w:tblW w:w="7647" w:type="dxa"/>
        <w:jc w:val="left"/>
        <w:tblInd w:w="0" w:type="dxa"/>
        <w:tblLayout w:type="fixed"/>
        <w:tblCellMar>
          <w:top w:w="0" w:type="dxa"/>
          <w:left w:w="0" w:type="dxa"/>
          <w:bottom w:w="0" w:type="dxa"/>
          <w:right w:w="0" w:type="dxa"/>
        </w:tblCellMar>
      </w:tblPr>
      <w:tblGrid>
        <w:gridCol w:w="6106"/>
        <w:gridCol w:w="326"/>
        <w:gridCol w:w="310"/>
        <w:gridCol w:w="905"/>
      </w:tblGrid>
      <w:tr>
        <w:trPr/>
        <w:tc>
          <w:tcPr>
            <w:tcW w:w="6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3877310" cy="175260"/>
                      <wp:effectExtent l="0" t="0" r="0" b="0"/>
                      <wp:wrapNone/>
                      <wp:docPr id="206" name="Frame206"/>
                      <a:graphic xmlns:a="http://schemas.openxmlformats.org/drawingml/2006/main">
                        <a:graphicData uri="http://schemas.microsoft.com/office/word/2010/wordprocessingShape">
                          <wps:wsp>
                            <wps:cNvSpPr txBox="1"/>
                            <wps:spPr>
                              <a:xfrm>
                                <a:off x="0" y="0"/>
                                <a:ext cx="3877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7"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96850" cy="175260"/>
                      <wp:effectExtent l="0" t="0" r="0" b="0"/>
                      <wp:wrapNone/>
                      <wp:docPr id="208" name="Frame208"/>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574675" cy="175260"/>
                      <wp:effectExtent l="0" t="0" r="0" b="0"/>
                      <wp:wrapNone/>
                      <wp:docPr id="209" name="Frame209"/>
                      <a:graphic xmlns:a="http://schemas.openxmlformats.org/drawingml/2006/main">
                        <a:graphicData uri="http://schemas.microsoft.com/office/word/2010/wordprocessingShape">
                          <wps:wsp>
                            <wps:cNvSpPr txBox="1"/>
                            <wps:spPr>
                              <a:xfrm>
                                <a:off x="0" y="0"/>
                                <a:ext cx="574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1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Lease Liability</w:t>
            </w:r>
          </w:p>
        </w:tc>
      </w:tr>
      <w:tr>
        <w:trPr/>
        <w:tc>
          <w:tcPr>
            <w:tcW w:w="61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on August 1, 2023</w:t>
            </w:r>
          </w:p>
        </w:tc>
        <w:tc>
          <w:tcPr>
            <w:tcW w:w="326" w:type="dxa"/>
            <w:tcBorders/>
            <w:shd w:fill="CCEEFF" w:val="clear"/>
            <w:vAlign w:val="center"/>
          </w:tcPr>
          <w:p>
            <w:pPr>
              <w:pStyle w:val="TableContents"/>
              <w:bidi w:val="0"/>
              <w:spacing w:before="0" w:after="1"/>
              <w:ind w:left="0" w:right="0" w:hanging="0"/>
              <w:jc w:val="left"/>
              <w:rPr/>
            </w:pPr>
            <w:r>
              <w:rPr/>
              <w:t> </w:t>
            </w:r>
          </w:p>
        </w:tc>
        <w:tc>
          <w:tcPr>
            <w:tcW w:w="3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6,515</w:t>
            </w:r>
          </w:p>
        </w:tc>
      </w:tr>
      <w:tr>
        <w:trPr/>
        <w:tc>
          <w:tcPr>
            <w:tcW w:w="61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Payments made during the quarter by issuing 4.15 million common shares</w:t>
            </w:r>
          </w:p>
        </w:tc>
        <w:tc>
          <w:tcPr>
            <w:tcW w:w="326" w:type="dxa"/>
            <w:tcBorders/>
            <w:vAlign w:val="center"/>
          </w:tcPr>
          <w:p>
            <w:pPr>
              <w:pStyle w:val="TableContents"/>
              <w:bidi w:val="0"/>
              <w:spacing w:before="0" w:after="1"/>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6,515</w:t>
            </w:r>
          </w:p>
        </w:tc>
      </w:tr>
      <w:tr>
        <w:trPr/>
        <w:tc>
          <w:tcPr>
            <w:tcW w:w="610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as at September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31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0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firstLine="360"/>
        <w:jc w:val="both"/>
        <w:rPr/>
      </w:pPr>
      <w:r>
        <w:rPr/>
        <w:t>​</w:t>
      </w:r>
    </w:p>
    <w:tbl>
      <w:tblPr>
        <w:tblW w:w="4752" w:type="dxa"/>
        <w:jc w:val="left"/>
        <w:tblInd w:w="0" w:type="dxa"/>
        <w:tblLayout w:type="fixed"/>
        <w:tblCellMar>
          <w:top w:w="0" w:type="dxa"/>
          <w:left w:w="0" w:type="dxa"/>
          <w:bottom w:w="0" w:type="dxa"/>
          <w:right w:w="0" w:type="dxa"/>
        </w:tblCellMar>
      </w:tblPr>
      <w:tblGrid>
        <w:gridCol w:w="2956"/>
        <w:gridCol w:w="326"/>
        <w:gridCol w:w="349"/>
        <w:gridCol w:w="1121"/>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877060" cy="175260"/>
                      <wp:effectExtent l="0" t="0" r="0" b="0"/>
                      <wp:wrapNone/>
                      <wp:docPr id="210" name="Frame210"/>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21615" cy="175260"/>
                      <wp:effectExtent l="0" t="0" r="0" b="0"/>
                      <wp:wrapNone/>
                      <wp:docPr id="212" name="Frame212"/>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711835" cy="175260"/>
                      <wp:effectExtent l="0" t="0" r="0" b="0"/>
                      <wp:wrapNone/>
                      <wp:docPr id="213" name="Frame213"/>
                      <a:graphic xmlns:a="http://schemas.openxmlformats.org/drawingml/2006/main">
                        <a:graphicData uri="http://schemas.microsoft.com/office/word/2010/wordprocessingShape">
                          <wps:wsp>
                            <wps:cNvSpPr txBox="1"/>
                            <wps:spPr>
                              <a:xfrm>
                                <a:off x="0" y="0"/>
                                <a:ext cx="711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470" w:type="dxa"/>
            <w:gridSpan w:val="2"/>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Right-of-use Asset</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on August 1, 2023</w:t>
            </w:r>
          </w:p>
        </w:tc>
        <w:tc>
          <w:tcPr>
            <w:tcW w:w="326" w:type="dxa"/>
            <w:tcBorders/>
            <w:shd w:fill="CCEEFF" w:val="clear"/>
            <w:vAlign w:val="center"/>
          </w:tcPr>
          <w:p>
            <w:pPr>
              <w:pStyle w:val="TableContents"/>
              <w:bidi w:val="0"/>
              <w:spacing w:before="0" w:after="1"/>
              <w:ind w:left="0" w:right="0" w:hanging="0"/>
              <w:jc w:val="left"/>
              <w:rPr/>
            </w:pPr>
            <w:r>
              <w:rPr/>
              <w:t> </w:t>
            </w:r>
          </w:p>
        </w:tc>
        <w:tc>
          <w:tcPr>
            <w:tcW w:w="3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6,515</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expense during the quarter</w:t>
            </w:r>
          </w:p>
        </w:tc>
        <w:tc>
          <w:tcPr>
            <w:tcW w:w="326" w:type="dxa"/>
            <w:tcBorders/>
            <w:vAlign w:val="center"/>
          </w:tcPr>
          <w:p>
            <w:pPr>
              <w:pStyle w:val="TableContents"/>
              <w:bidi w:val="0"/>
              <w:spacing w:before="0" w:after="1"/>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as at September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3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2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6,198</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14.</w:t>
      </w:r>
      <w:r>
        <w:rPr>
          <w:rFonts w:ascii="Times New Roman;Times;serif" w:hAnsi="Times New Roman;Times;serif"/>
          <w:b/>
          <w:sz w:val="20"/>
        </w:rPr>
        <w:t>Related Party Transactions</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Transactions with Allseas and its Affiliates: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August 1, 2023, the Company entered into an Exclusive Vessel Use Agreement with Allseas, as described in Notes 6 and 13.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August 9, 2023, Allseas exercised the Allseas Warrant, as described in Notes 6 and 9.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Allseas participated in the Registered Direct Offering in August 2023, as described in Notes 6 and 8.</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three and nine months ended September 30, 2023, the Company had not drawn from the Credit Facility with an affiliate of Allseas and has incurred $0.5 million as underutilization fees which would be payable only in the event the Credit Facility is not drawn down at the time such fees are payable (Note 12).</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During the three and nine months ended September 30, 2023, Allseas provided the Company with engineering and project management services totaling $1.9 million and $4.8 million respectively, recorded as mining, technological and process development within exploration and evaluation expenses (Note 7).  For the three and nine months ended September 30, 2022, Allseas managed and delivered the PMTS project, with services totaling $1.3 million and $3.9 million, respectively, recorded as PMTS within exploration and evaluation expenses (Note 7).  As at September 30, 2023, the amount payable to Allseas and its affiliates was $6.1 million (September 30, 2022 – prepaid amount of $1.8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TMC the metals company Inc.</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Notes to Condensed Consolidated Financial Statements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(in thousands of US Dollars, except share and per share amounts and unless otherwise stated)</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(Unaudited)</w:t>
      </w:r>
    </w:p>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Transactions with Other Related Parties: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Company’s subsidiary, DeepGreen Engineering Pte. Ltd., is engaged in a consulting agreement with SSCS Pte. Ltd. (“SSCS”) to manage offshore engineering studies. A director of DGE is employed through SSCS. Consulting services during the three and nine months ended September 30, 2023 totaled $40 thousand and $177 thousand, respectively (three and nine months ended September 30, 2022 - $69 thousand and $206 thousand, respectively), out of which for three and nine months ended September 30, 2023 a total of $32 thousand and $141 thousand, respectively (three and nine months ended September 30, 2022 - $55 thousand and $165 thousand, respectively), is disclosed as exploration labor within exploration and evaluation expenses (Note 7) and $8 thousand and $36 thousand, respectively, for three and nine months ended September 30, 2023 is disclosed as general and administrative expenses (three and nine months ended September 30, 2022 - $14 thousand and $41 thousand, respectively). As at September 30, 2023, the amount payable to SSCS was $17 thousand (December 31, 2022 - $23 thousand).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The Company’s Chief Ocean Scientist provides consulting services to the Company through Ocean Renaissance LLC (“Ocean Renaissance”) where he is a principal. Consulting services during the three and nine months ended September 30, 2023 amounted to $94 thousand and $281 thousand, respectively (three and nine months ended September 30, 2022 -$94 thousand and $281 thousand, respectively), out of which for three and nine months ended September 30, 2023 a total of $42 thousand and $127 thousand, respectively (three and nine months ended September 30, 2022 - $47 thousand and $140 thousand, respectively), is disclosed as exploration labor within exploration and evaluation expenses (Note 7) and $52 thousand and $154 thousand, respectively, for three and nine months ended September 30, 2023 is disclosed as general and administrative expenses (three and nine months ended September 30, 2022 - $47 thousand and $141 thousand, respectively).  As at September 30, 2023, the amount payable to Ocean Renaissance was $nil (December 31, 2022- $nil).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Registered Direct Offering announced on August 14, 2023, included approximately $0.3 million from the participation of several of the Company’s Directors and Officers, of which $0.2 million is receivable as at September 30, 2023, and subsequently received. In addition, the committed funding included $10 million from ERAS Capital LLC the investment fund of one of the Company’s Directors, $9 million of which is to be received in two installments, $2.5 million on November 30, 2023 and $6.5 million on January 31, 2024 (Note 8).</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 xml:space="preserve">The Company advanced $30 thousand to one of its officers on September 7, 2023. As at September 30, 2023, $15 thousand of this amount was outstanding, which was fully repaid on October 31, 2023. </w:t>
      </w:r>
    </w:p>
    <w:p>
      <w:pPr>
        <w:pStyle w:val="TextBody"/>
        <w:bidi w:val="0"/>
        <w:spacing w:before="0" w:after="240"/>
        <w:ind w:left="36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15.</w:t>
      </w:r>
      <w:r>
        <w:rPr>
          <w:rFonts w:ascii="Times New Roman;Times;serif" w:hAnsi="Times New Roman;Times;serif"/>
          <w:b/>
          <w:sz w:val="20"/>
        </w:rPr>
        <w:t>Commitments and Contingent Liabilities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NORI Exploration Contract</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val="false"/>
          <w:sz w:val="20"/>
        </w:rPr>
        <w:t>As part of the NORI Exploration Contract with the ISA, NORI submitted a periodic review report to the ISA in 2021, covering the 2017-2021 period.  The periodic review report, which included a proposed work plan and estimated budget for 2022 to 2026, has been reviewed by and agreed with the ISA, and the Company is implementing the five-year plan.  NORI has estimated its work plan for 2023 to be approximately</w:t>
      </w:r>
      <w:r>
        <w:rPr>
          <w:rFonts w:ascii="Times New Roman;Times;serif" w:hAnsi="Times New Roman;Times;serif"/>
          <w:b/>
          <w:sz w:val="20"/>
        </w:rPr>
        <w:t xml:space="preserve"> </w:t>
      </w:r>
      <w:r>
        <w:rPr>
          <w:rFonts w:ascii="Times New Roman;Times;serif" w:hAnsi="Times New Roman;Times;serif"/>
          <w:b w:val="false"/>
          <w:sz w:val="20"/>
        </w:rPr>
        <w:t>$25</w:t>
      </w:r>
      <w:r>
        <w:rPr>
          <w:rFonts w:ascii="Times New Roman;Times;serif" w:hAnsi="Times New Roman;Times;serif"/>
          <w:b/>
          <w:sz w:val="20"/>
        </w:rPr>
        <w:t xml:space="preserve"> </w:t>
      </w:r>
      <w:r>
        <w:rPr>
          <w:rFonts w:ascii="Times New Roman;Times;serif" w:hAnsi="Times New Roman;Times;serif"/>
          <w:b w:val="false"/>
          <w:sz w:val="20"/>
        </w:rPr>
        <w:t>million, which may be settled in cash or equity with its various vendors.  The cost of the estimated work plan for 2024 onwards is dependent on the ISA’s approval of the NORI Area D exploitation application. Should the approval of NORI’s exploitation application for NORI Area D be delayed or rejected, NORI intends to revise its estimated future work plan in respect of its NORI Area.  Work plans are reviewed annually by the Company, agreed with the ISA and may be subject to change depending on the Company’s progress to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TMC the metals company Inc.</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Notes to Condensed Consolidated Financial Statements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(in thousands of US Dollars, except share and per share amounts and unless otherwise stated)</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(Unaudited)</w:t>
      </w:r>
    </w:p>
    <w:p>
      <w:pPr>
        <w:pStyle w:val="TextBody"/>
        <w:bidi w:val="0"/>
        <w:spacing w:before="0" w:after="0"/>
        <w:ind w:left="0" w:right="0" w:hanging="0"/>
        <w:jc w:val="left"/>
        <w:rPr/>
      </w:pPr>
      <w:r>
        <w:rPr/>
        <w:t>​</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 xml:space="preserve">Marawa Option Agreement and Services Agreement </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val="false"/>
          <w:sz w:val="20"/>
        </w:rPr>
        <w:t>Through DGE’s Marawa Option Agreement and separate Services Agreement with Marawa with respect to the Marawa Area, Marawa and DGE committed to spend a defined amount of funds on exploration activities on an annual basis. The commitment for fiscal 2023 and 2024 is Australian dollar (“AUD”) $3</w:t>
      </w:r>
      <w:r>
        <w:rPr>
          <w:rFonts w:ascii="Times New Roman;Times;serif" w:hAnsi="Times New Roman;Times;serif"/>
          <w:b/>
          <w:sz w:val="20"/>
        </w:rPr>
        <w:t xml:space="preserve"> </w:t>
      </w:r>
      <w:r>
        <w:rPr>
          <w:rFonts w:ascii="Times New Roman;Times;serif" w:hAnsi="Times New Roman;Times;serif"/>
          <w:b w:val="false"/>
          <w:sz w:val="20"/>
        </w:rPr>
        <w:t>million and AUD $2</w:t>
      </w:r>
      <w:r>
        <w:rPr>
          <w:rFonts w:ascii="Times New Roman;Times;serif" w:hAnsi="Times New Roman;Times;serif"/>
          <w:b/>
          <w:sz w:val="20"/>
        </w:rPr>
        <w:t xml:space="preserve"> </w:t>
      </w:r>
      <w:r>
        <w:rPr>
          <w:rFonts w:ascii="Times New Roman;Times;serif" w:hAnsi="Times New Roman;Times;serif"/>
          <w:b w:val="false"/>
          <w:sz w:val="20"/>
        </w:rPr>
        <w:t>million, respectively. Such commitment is negotiated with the ISA for a five-year</w:t>
      </w:r>
      <w:r>
        <w:rPr>
          <w:rFonts w:ascii="Times New Roman;Times;serif" w:hAnsi="Times New Roman;Times;serif"/>
          <w:b/>
          <w:sz w:val="20"/>
        </w:rPr>
        <w:t xml:space="preserve"> </w:t>
      </w:r>
      <w:r>
        <w:rPr>
          <w:rFonts w:ascii="Times New Roman;Times;serif" w:hAnsi="Times New Roman;Times;serif"/>
          <w:b w:val="false"/>
          <w:sz w:val="20"/>
        </w:rPr>
        <w:t>plan and is subject to regular periodic reviews. To date, limited offshore marine resource definition activities in the Marawa Contract Area have occurred. The Company expects to collaborate with Marawa to assess the viability of any potential project in the Marawa Contract Area, although the timing of such assessment is unclear.  Marawa has delayed certain activities in the Marawa Contract Area while it determines how it will move forward with additional assessment work.</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TOML Exploration Contract</w:t>
      </w:r>
    </w:p>
    <w:p>
      <w:pPr>
        <w:pStyle w:val="TextBody"/>
        <w:bidi w:val="0"/>
        <w:spacing w:before="0" w:after="240"/>
        <w:ind w:left="360" w:right="0" w:hanging="0"/>
        <w:jc w:val="both"/>
        <w:rPr>
          <w:rFonts w:ascii="Times New Roman;Times;serif" w:hAnsi="Times New Roman;Times;serif"/>
          <w:b/>
          <w:sz w:val="20"/>
        </w:rPr>
      </w:pPr>
      <w:r>
        <w:rPr>
          <w:rFonts w:ascii="Times New Roman;Times;serif" w:hAnsi="Times New Roman;Times;serif"/>
          <w:b w:val="false"/>
          <w:sz w:val="20"/>
        </w:rPr>
        <w:t>As part of the TOML Exploration Contract, TOML submitted a periodic review report to the ISA in 2021, covering the 2017-2021 period. The periodic review report included a summary of work completed over the five-year period and a program of activities and estimated budget for the next five-year</w:t>
      </w:r>
      <w:r>
        <w:rPr>
          <w:rFonts w:ascii="Times New Roman;Times;serif" w:hAnsi="Times New Roman;Times;serif"/>
          <w:b/>
          <w:sz w:val="20"/>
        </w:rPr>
        <w:t xml:space="preserve"> </w:t>
      </w:r>
      <w:r>
        <w:rPr>
          <w:rFonts w:ascii="Times New Roman;Times;serif" w:hAnsi="Times New Roman;Times;serif"/>
          <w:b w:val="false"/>
          <w:sz w:val="20"/>
        </w:rPr>
        <w:t>period.  On December 23, 2022, the ISA accepted TOML’s proposed program of activities for the 2022-2026 five-year period, which included an estimated five-year expenditure of up to $44</w:t>
      </w:r>
      <w:r>
        <w:rPr>
          <w:rFonts w:ascii="Times New Roman;Times;serif" w:hAnsi="Times New Roman;Times;serif"/>
          <w:b/>
          <w:sz w:val="20"/>
        </w:rPr>
        <w:t xml:space="preserve"> </w:t>
      </w:r>
      <w:r>
        <w:rPr>
          <w:rFonts w:ascii="Times New Roman;Times;serif" w:hAnsi="Times New Roman;Times;serif"/>
          <w:b w:val="false"/>
          <w:sz w:val="20"/>
        </w:rPr>
        <w:t>million. The five-year estimated expenditure is indicative and subject to change, TOML will review the program regularly and TOML will inform the ISA of any changes through its annual reports.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Other Commitments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September 6, 2023, the Company’s wholly owned subsidiary NORI issued a Letter of Intent (“LOI”) to a third party to contract a survey vessel for the NORI-D Collector test monitoring program scheduled in the fourth quarter of the year. Under the LOI, NORI confirmed that in the event that the parties to the LOI not proceed with the formal contact execution or if NORI terminates performance of the designated works, NORI will reimburse the contractor with the actual direct costs and expenditures it has reasonably incurred in performance of the scope of LOI up to a maximum of $3.75 million.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Company’s wholly owned subsidiary NORI has issued purchase orders to various vendors totaling $0.3 million for the purchase of equipment for upcoming campaigns. These purchase orders are legally binding, resulting in a firm commitment on the part of the Company.</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Contingent Liability</w:t>
      </w:r>
    </w:p>
    <w:p>
      <w:pPr>
        <w:pStyle w:val="TextBody"/>
        <w:bidi w:val="0"/>
        <w:spacing w:before="0" w:after="240"/>
        <w:ind w:left="360" w:right="0" w:hanging="0"/>
        <w:jc w:val="both"/>
        <w:rPr>
          <w:rFonts w:ascii="Times New Roman;Times;serif" w:hAnsi="Times New Roman;Times;serif"/>
          <w:b w:val="false"/>
          <w:sz w:val="20"/>
        </w:rPr>
      </w:pPr>
      <w:r>
        <w:rPr>
          <w:rFonts w:ascii="Times New Roman;Times;serif" w:hAnsi="Times New Roman;Times;serif"/>
          <w:b w:val="false"/>
          <w:sz w:val="20"/>
        </w:rPr>
        <w:t>On October 28, 2021, a shareholder filed a putative class action against the Company, one of the Company’s executives and a former director in federal district court for the Eastern District of New York, captioned Caper v. TMC The Metals Company Inc. F/K/A Sustainable Opportunities Acquisition Corp., Gerard Barron and Scott Leonard. The complaint alleges that all defendants violated Section 10(b) of the Exchange Act of 1934 and Rule 10b-5 promulgated thereunder, and Messrs. Barron and Leonard violated Section 20(a) of the Exchange Act, by making false and/or misleading statements and/or failing to disclose information about the Company’s operations and prospects during the period from March 4, 2021 and October 5, 2021. On November 15, 2021, a second complaint containing substantially the same allegations was filed, captioned Tran v. TMC the Metals Company, Inc. These cases have been consolidated. On March 6, 2022, a lead plaintiff was selected. An amended complaint was filed on May 12, 2022, reflecting substantially similar allegations, with the Plaintiff seeking to recover compensable damages caused by the alleged wrongdoings. The Company denies any allegations of wrongdoing and filed and served the plaintiff a motion to dismiss on July 12, 2022 and intend to defend against this lawsuit. On July 12, 2023, an oral hearing on the motion to dismiss was held. The parties are currently awaiting a ruling. There is no assurance, however, that the Company or the other defendants will be successful in the Company’s defense of this lawsuit or that insurance will be available or adequate to fund any settlement or judgment or the litigation costs of this action. If the motion to dismiss is unsuccessful, there is a possibility that the Company may incur a loss in this matter. Such losses or range of possible losses cannot be reliably estimated. A resolution of this lawsuit adverse to the Company or the other defendants, however, could have a material effect on the Company’s financial position and results of operations in the period in which the lawsuit is resolved.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TMC the metals company Inc.</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Notes to Condensed Consolidated Financial Statements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(in thousands of US Dollars, except share and per share amounts and unless otherwise stated)</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(Unaudited)</w:t>
      </w:r>
    </w:p>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b w:val="false"/>
          <w:sz w:val="20"/>
        </w:rPr>
      </w:pPr>
      <w:r>
        <w:rPr>
          <w:rFonts w:ascii="Times New Roman;Times;serif" w:hAnsi="Times New Roman;Times;serif"/>
          <w:b w:val="false"/>
          <w:sz w:val="20"/>
        </w:rPr>
        <w:t>On January 23, 2023, an investor in the 2021 private placement from the Business Combination filed a lawsuit against the Company in New York Supreme Court, New York County, captioned Atalaya Special Purpose Investment Fund II LP et al. v. Sustainable Opportunities Acquisition Corp. n/k/a TMC The Metals Company Inc., Index No. 650449/2023 (N.Y. Sup. Ct.).  The Company filed a motion to dismiss on March 31, 2023, after which the plaintiffs filed an amended complaint on June 5, 2023.  The amended complaint alleges that the Company breached the representations and warranties in the plaintiff’s private placement Subscription Agreement and breached the covenant of good faith and fair dealing.  The Plaintiffs are seeking to recover compensable damages caused by the alleged wrongdoings.  The Company denies any allegations of wrongdoing and filed a motion to dismiss the amended complaint on July 28, 2023. An Oral Hearing on the Motion to Dismiss has been scheduled for December 7, 2023. There is no assurance, however, that the Company will be successful in its defense of this lawsuit or that insurance will be available or adequate to fund any settlement or judgment or the litigation costs of this action. If the motion to dismiss is unsuccessful, there is a possibility that the Company may incur a loss in this matter. Such losses or range of possible losses cannot be reliably estimated.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16.</w:t>
      </w:r>
      <w:r>
        <w:rPr>
          <w:rFonts w:ascii="Times New Roman;Times;serif" w:hAnsi="Times New Roman;Times;serif"/>
          <w:b/>
          <w:sz w:val="20"/>
        </w:rPr>
        <w:t>Segmented Information</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The Company’s business consists of only one operating segment, namely exploration of seafloor polymetallic nodules, which includes the development of a metallurgical process to treat such seafloor polymetallic nodules.</w:t>
      </w:r>
    </w:p>
    <w:p>
      <w:pPr>
        <w:pStyle w:val="TextBody"/>
        <w:bidi w:val="0"/>
        <w:spacing w:before="0" w:after="240"/>
        <w:ind w:left="36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720"/>
        <w:jc w:val="left"/>
        <w:rPr>
          <w:rFonts w:ascii="Times New Roman;Times;serif" w:hAnsi="Times New Roman;Times;serif"/>
          <w:b/>
          <w:sz w:val="20"/>
        </w:rPr>
      </w:pPr>
      <w:bookmarkStart w:id="1223" w:name="Item2ManagementsDiscussionandAnalysisofF"/>
      <w:bookmarkStart w:id="1224" w:name="_917d67a5_4d88_4d3e_8a97_f1c4ebf3e818"/>
      <w:bookmarkEnd w:id="1223"/>
      <w:bookmarkEnd w:id="1224"/>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The following discussion and analysis provide information which management believes is relevant to an assessment and understanding of our condensed consolidated results of operations and financial condition. The discussion should be read in conjunction with the unaudited condensed consolidated financial statements and notes thereto contained in this Quarterly Report on Form 10-Q and the consolidated financial statements and notes thereto for the year ended December 31, 2022 contained in our 2022 Annual Report on Form 10-K. This discussion contains forward looking statements and involves numerous risks and uncertainties, including, but not limited to, those described in “Risk Factors” in Item 1A of Part I of the 2022 Annual Report on Form 10-K, as updated and supplemented under the caption “Risk Factors” in Item 1A of Part II of our Quarterly Report on Form 10-Q for the quarter ended June 30, 2023 as filed with the SEC on August 14, 2023 and this Quarterly Report on Form 10-Q, as further updated and/or supplemented in subsequent filings with the SEC. Actual results may differ materially from those contained in any forward-looking statements. Unless the context otherwise requires, references to “we”, “us”, “our”, “TMC” and “the Company” are intended to mean the business and operations of TMC the metals company Inc. and its consolidated subsidiaries. The unaudited condensed consolidated interim financial statements for the three and nine months ended September 30, 2023 and 2022, respectively, present the financial position and results of operations of TMC the metals company Inc. and its consolidated subsidiaries.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 deep-sea minerals exploration company focused on the collection, processing and refining of polymetallic nodules found on the seafloor in international waters of the Clarion Clipperton Zone (“CCZ”), about 1,300 nautical miles (1,500 miles or 2,400 kilometers) south-west of San Diego, California. The CCZ is a geological submarine fracture zone of abyssal plains and other formations in the Eastern Pacific Ocean, with a length of around 7,240 km (4,500 miles) that spans approximately 4,500,000 square kilometers (1,700,000 square miles). Polymetallic nodules are discrete rocks that sit unattached to the seafloor, occur in significant quantities in the CCZ and have high concentrations of nickel, manganese, cobalt and copper in a single rock.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These four metals contained in the polymetallic nodules are critical for the transition to low-carbon energy. Our resource definition work to date shows that nodules in our contract areas represent the world’s largest undeveloped resource of critical battery metals. If we are able to collect polymetallic nodules from the seafloor on a commercial scale, we plan to use such nodules to produce three types of metal products: (i) feedstock for battery cathode precursors (nickel and cobalt sulfates, or intermediary nickel-copper-cobalt matte, or nickel-copper-cobalt alloy) for electric vehicles (“EV”) and renewable energy storage markets, (ii) copper cathode for EV wiring, clean energy transmission and other applications, and (iii) manganese silicate for manganese alloy production required for steel production. Our mission is to build a carefully managed, shared stock of metal (a “metal commons”) that can be used, recovered and reused for generations to come. Significant quantities of newly mined metal are required because existing metal stocks are insufficient to meet rapidly rising demand.</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Exploration and exploitation of seabed minerals in international waters is regulated by the International Seabed Authority, an intergovernmental organization established pursuant to the 1994 Agreement Relating to the Implementation of the United Nations Convention on the Law of the Sea (“UNCLOS”). The ISA grants contracts to sovereign states or to private contractors who are sponsored by a sovereign state. The ISA requires that a contractor obtain and maintain sponsorship by a host nation that is a member of the ISA and signatory to UNCLOS, and that such nation maintains effective supervision and regulatory control over such sponsored contractor. The ISA has issued a total of 19 polymetallic nodule exploration contracts covering approximately 1.28 million km</w:t>
      </w:r>
      <w:r>
        <w:rPr>
          <w:rFonts w:ascii="Times New Roman;Times;serif" w:hAnsi="Times New Roman;Times;serif"/>
          <w:sz w:val="15"/>
        </w:rPr>
        <w:t>2</w:t>
      </w:r>
      <w:r>
        <w:rPr>
          <w:rFonts w:ascii="Times New Roman;Times;serif" w:hAnsi="Times New Roman;Times;serif"/>
          <w:sz w:val="20"/>
        </w:rPr>
        <w:t xml:space="preserve">, or 0.4% of the global seafloor, 17 of which are in the CCZ. We hold exclusive exploration and commercial rights to three of the 17 polymetallic nodule contract areas in the CCZ through our subsidiaries Nauru Ocean Resources Inc. (“NORI”) and Tonga Offshore Mining Limited (“TOML”), sponsored by the Republic of Nauru (“Nauru”) and the Kingdom of Tonga (“Tonga”), respectively, and exclusive commercial rights through our subsidiary, DeepGreen Engineering Pte. Ltd.’s (“DGE”), arrangement with Marawa Research and Exploration Limited (“Marawa”), a company owned and sponsored by the Republic of Kiribati (“Kiribati”).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still in the exploration phase and have not yet obtained any exploitation contracts from the ISA to commence commercial scale polymetallic nodule collection in the CCZ nor do we have the applicable environmental and other permits required to build and/ or operate commercial-scale polymetallic nodule processing and refining plants on land.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1225" w:name="_Hlk130335091"/>
      <w:bookmarkEnd w:id="1225"/>
      <w:r>
        <w:rPr>
          <w:rFonts w:ascii="Times New Roman;Times;serif" w:hAnsi="Times New Roman;Times;serif"/>
          <w:sz w:val="20"/>
        </w:rPr>
        <w:t xml:space="preserve">We have key strategic alliances with (i) Allseas Group S.A. (“Allseas”), a leading global offshore contractor, which has developed and </w:t>
      </w:r>
      <w:r>
        <w:rPr>
          <w:rFonts w:ascii="Times New Roman PS Std" w:hAnsi="Times New Roman PS Std"/>
          <w:sz w:val="20"/>
        </w:rPr>
        <w:t xml:space="preserve">successfully tested the pilot nodule collection system </w:t>
      </w:r>
      <w:r>
        <w:rPr>
          <w:rFonts w:ascii="Times New Roman;Times;serif" w:hAnsi="Times New Roman;Times;serif"/>
          <w:sz w:val="20"/>
        </w:rPr>
        <w:t xml:space="preserve">in the NORI Area D, completed in the fourth quarter of 2022, with experience from this testing program informing the design of upgrades and modifications </w:t>
      </w:r>
      <w:r>
        <w:rPr>
          <w:rFonts w:ascii="Times New Roman PS Std" w:hAnsi="Times New Roman PS Std"/>
          <w:sz w:val="20"/>
        </w:rPr>
        <w:t>of the pilot system for conversion into the initial smaller scale commercial production system which is expected to serve as the basis for the design of a full-scale</w:t>
      </w:r>
      <w:r>
        <w:rPr>
          <w:rFonts w:ascii="Times New Roman;Times;serif" w:hAnsi="Times New Roman;Times;serif"/>
          <w:sz w:val="20"/>
        </w:rPr>
        <w:t> </w:t>
      </w:r>
      <w:r>
        <w:rPr>
          <w:rFonts w:ascii="Times New Roman PS Std" w:hAnsi="Times New Roman PS Std"/>
          <w:sz w:val="20"/>
        </w:rPr>
        <w:t xml:space="preserve">commercial production system, </w:t>
      </w:r>
      <w:r>
        <w:rPr>
          <w:rFonts w:ascii="Times New Roman;Times;serif" w:hAnsi="Times New Roman;Times;serif"/>
          <w:sz w:val="20"/>
        </w:rPr>
        <w:t xml:space="preserve">and (ii) Glencore International AG (“Glencore”) which holds offtake rights to 50% of nickel and copper production from the NORI area processed through a TMC owned and operated production facility. In addition, we have worked with engineering firm Hatch Ltd. and consultants Kingston Process Metallurgy Inc. to develop a near-zero solid waste flowsheet. </w:t>
      </w:r>
      <w:r>
        <w:rPr>
          <w:rFonts w:ascii="Times New Roman PS Std" w:hAnsi="Times New Roman PS Std"/>
          <w:sz w:val="20"/>
        </w:rPr>
        <w:t>The primary processing stages of the flowsheet from nodule to NiCuCo matte intermediate were tested as part of our pilot plant program at FLSmidth &amp; Co A/S’s and Xpert Process Solutions’ (“XPS”, a Glencore company) facilities. The matte refining stages are being tested at SGS Lakefield. The near-zero solid waste flowsheet is expected to serve as the basis for the onshore facilities that will process the nodules in the future.</w:t>
      </w:r>
      <w:r>
        <w:rPr>
          <w:rFonts w:ascii="Times New Roman;Times;serif" w:hAnsi="Times New Roman;Times;serif"/>
          <w:sz w:val="20"/>
        </w:rPr>
        <w:t xml:space="preserve"> </w:t>
      </w:r>
      <w:r>
        <w:rPr>
          <w:rFonts w:ascii="Times New Roman PS Std" w:hAnsi="Times New Roman PS Std"/>
          <w:sz w:val="20"/>
        </w:rPr>
        <w:t>In November 2022, we entered into a non-binding memorandum of understanding (“MoU”) with Pacific Metals Co Ltd (PAMCO) of Japan, to evaluate the toll treatment of an initial quantity of 1.3 million tonnes of wet polymetallic nodules per year at PAMCO’s Hachinohe smelting facility starting in 2025. Subject to entering into a binding arrangement with PAMCO, the toll treatment is intended to take place on a dedicated rotary kiln-electric arc furnace (“RKEF”) processing line and produce two products: nickel-copper-cobalt alloy, an intermediate product used as feedstock to produce Li-ion battery cathodes, and a manganese silicate product used to make silico-manganese alloy, a critical input into steel manufacturing. PAMCO’s Hachinohe facility is located on the coast in northern Japan and is equipped with suitable port and processing infrastructure required to receive and process polymetallic nodules and to ship products to customers.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currently focused on preparing to submit our application to the ISA for our first exploitation contract for the NORI Area D contract area following the July 2024 meetings of the ISA’s twenty-ninth session. Assuming a one-year review process, we expect to be in production in the fourth quarter of 2025 if the application is approved. To reach our objective and initiate commercial production, we are: (i) defining our resource and project economics, (ii) developing a commercial offshore nodule collection system, (iii) assessing the environmental and social impacts of offshore nodule collection, and (iv) developing onshore technology to process collected polymetallic nodules into a manganese silicate product, and an intermediate nickel-copper-cobalt matte or nickel-copper-cobalt alloy product and/or end-products like nickel and cobalt sulfates, and copper cathode.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Developments in the Third Quarter 2023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Below are some of the major developments that occurred in the third quarter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TMC Announces Registered Direct Offering:</w:t>
      </w:r>
    </w:p>
    <w:p>
      <w:pPr>
        <w:pStyle w:val="TextBody"/>
        <w:bidi w:val="0"/>
        <w:spacing w:before="0" w:after="24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2023, we entered into a securities purchase agreement with certain investors , pursuant to which we agreed to sell and issue, in a registered direct offering (the “Registered Direct Offering”) 12,461,540 common shares and issue Class A Warrants to purchase 6,230,770 common shares for expected gross proceeds to us of $24.9 million and expected net proceeds to us of $23.5 million, after deducting underwriting discounts and commissions and other offering expenses payable by us.  The common share and the accompanying Class A Warrant to purchase 0.5 of a common share were sold at a price of $2.00.  The exercise price of the Class A Warrants is $3.00, subject to adjustment as provided in the warrant agreement.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Next Phase of Adaptive Management System Development Announced: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Following the delivery of a prototype Digital Twin from Kongsberg Digital in 2022 and its deployment during the collector tests in 2022, we announced in September 2023 that we had entered into the next phase of our relationship with Kongsberg Digital to further develop the Digital Twin which will integrate multiple data streams from our future production system and is designed to enable 3D visualization of our deep-sea operating environment, providing ‘eyes and ears’ to the regulator and stakeholders. The Digital Twin is a core component of our broader Adaptive Management System (AMS) which is designed to utilise AI and hybrid machine learning capabilities of the Digital Twin with expert analysis to ensure operations remain within environmental impact thresholds, a system with potential applications for resource operations at sea and on land.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Developments subsequent to the Third Quarter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TMC Publishes 2022 Impact Report: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October 2023, we published our second annual Impact Report which provides an update on key milestones achieved in our assessment of the environmental and social impacts of seafloor nodule collection and those impacts relative to land-based alternatives, and the efforts we are undertaking to eliminate or reduce such impacts. As part of the Impact Report, we also introduced our Sustainability Approach highlighting our thought processes about how we intend to fully align our activities to environmental, social and governance (ESG) principles.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TMC Launches Post Collector Test Monitoring Campaign: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October 2023 we entered into a services agreement with a third party in order for NORI to conduct an assessment of the benthic impact of the 2022 collector test for the period of approximately 12 months post the collector test activities, which we believe will strengthen the quality of NORI’s Environmental Impact Statement (“EIS”) and Environmental Management &amp; Monitoring Plan (“EMMP”) by providing additional information on the environmental regeneration of the collection test area. The key activities to be undertaken are box cores, multicores, benthic and covariance lander works, and megafauna and sedimentation survey around the test field area. While undertaking this work, the pre-survey of Project Zero mining areas for the first 2 years of production will be undertaken to identify major geological and geomorphological features to inform the mine plan, EIS and EMMP, each of which will be key elements of NORI’s application to the ISA for an exploitation contract for NORI Area D.  The activities pursuant to the Services Agreement are expected to take approximately 3 months to complete.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Developments with our Allseas Partnership: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result of lifting to the production vessel, Hidden Gem, more than 3,000 tonnes of wet nodules during the collector tests conducted in the fourth quarter of 2022, Allseas and NORI believe that they can upgrade the pilot nodule collection system, including the Hidden Gem, into the first production system, which we refer to as the Project Zero Offshore System.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August 2023, we announced that Allseas and NORI are now executing on a plan designed to increase the maximum production capacity of the Project Zero Offshore System from the previous estimate of 1.3 million wet tonnes per annum to an estimated 3.0 million wet tonnes per annum in stepped increments based on Allseas’ estimates – a potential increase of 130%.  The upgrades are expected to include the addition of a second 15-meter collector vehicle, the use of a wider diameter riser pipe from the seafloor to the surface, implementation of a larger compressor spread and improvements to the system designed to further mitigate its environmental impacts. Capacity is expected to be increased over time as production and experience milestones are met, which we believe will help manage operational risk, minimize up-front capital expenditure requirements and allow for staged increases in capacity as environmental review thresholds are met. Most of these capacity improvements are expected to occur after NORI’s application for an exploitation contract over NORI Area D is ready for submission to the ISA.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furtherance of our non-binding term sheet entered into in March 2022 with Allseas, we continue our discussions with Allseas regarding these upgrades and the development of the Project Zero Offshore System and anticipate reaching a definitive agreement with Allseas before the end of 2023. The definitive agreement is expected to include further details on pre-production system development and post-production costs. There can be no assurances, however, that we will enter into a definitive agreement(s) with Allseas in a particular time period, or at all, or on terms similar to those currently expected, or that if such definitive agreement(s) is entered into that the Project Zero Offshore System will be successfully developed or operated.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addition, on August 1, 2023, we entered into an Exclusive Vessel Use Agreement with Allseas pursuant to which Allseas will give exclusive use of the </w:t>
      </w:r>
      <w:r>
        <w:rPr>
          <w:rFonts w:ascii="Times New Roman;Times;serif" w:hAnsi="Times New Roman;Times;serif"/>
          <w:i/>
          <w:sz w:val="20"/>
        </w:rPr>
        <w:t>Hidden Gem</w:t>
      </w:r>
      <w:r>
        <w:rPr>
          <w:rFonts w:ascii="Times New Roman;Times;serif" w:hAnsi="Times New Roman;Times;serif"/>
          <w:sz w:val="20"/>
        </w:rPr>
        <w:t xml:space="preserve"> to us in support of the development of the Project Zero Offshore System until the system is completed or December 31, 2026, whichever is earlier.  In consideration of the exclusivity term, we have issued 4.15 million common shares to Allseas on August 14, 2023. We expect that the definitive agreement with Allseas discussed above will extend the exclusive use of the </w:t>
      </w:r>
      <w:r>
        <w:rPr>
          <w:rFonts w:ascii="Times New Roman;Times;serif" w:hAnsi="Times New Roman;Times;serif"/>
          <w:i/>
          <w:sz w:val="20"/>
        </w:rPr>
        <w:t>Hidden Gem</w:t>
      </w:r>
      <w:r>
        <w:rPr>
          <w:rFonts w:ascii="Times New Roman;Times;serif" w:hAnsi="Times New Roman;Times;serif"/>
          <w:sz w:val="20"/>
        </w:rPr>
        <w:t xml:space="preser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Industry Update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ISA Developments: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ISA did not provisionally adopt and approve the final rules, regulations and procedures (“RRPs” or the “Mining Code”) for the exploitation of mineral resources by the July 9, 2023 deadline. At its July 2023 session, the ISA released a road map to continue the elaboration of the Mining Code with a view to its adoption during the thirtieth session of the ISA in 2025, with the potential for earlier adoption during the twenty-ninth session of the ISA in 2024 if the Mining Code is ready for adoption.  The road map includes three scheduled ISA Council meetings, October/November 2023, March 2024 and July 2024, to progress the Mining Code. There can be no assurances, however, that the Mining Code will be adopted within these timelines, or at all.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Consistent with Nauru’s rights, as the sponsoring state of NORI, under UNCLOS and the 1994 agreement relating to the implementation of Part XI of UNCLOS, NORI reserves its right to submit a plan of work for exploitation, in the absence of the adoption of the final Mining Code pursuant to Section 1, Paragraph 15(c) of the Annex to the 1994 agreement relating to the implementation of Part XI of UNCLOS, the possibility of which was recognized in ISA Council decisions ISBA/28/C/24 and ISBA/28/C/25. There can be no assurances, however, that the ISA will provisionally approve our plan of work or that such provisional approval would lead to the issuance of an exploitation contract by the ISA.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NORI intends to submit an application to the ISA for an exploitation contract for NORI Area D following the conclusion of the July 2024 meeting of the ISA’s twenty-ninth session.  Assuming submission of an application for a plan of work for exploitation following the July 2024 meeting of the ISA and an approval process taking approximately one year, the Company expects its first production of nodules from NORI Area D to be in the fourth quarter of 2025. There can be no assurances, however, if the ISA will approve an application, or the plan of work included therein, and/or issue an exploitation contract.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The Business Combination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September 9, 2021, we completed the Business Combination with SOAC. The transaction resulted in the combined company being renamed “TMC the metals company Inc.” and the combined company’s common shares and public warrants to purchase common shares (the “Public Warrants”) commenced trading on Nasdaq on September 10, 2021, under the symbols “TMC” and “TMCWW,” respectively. As a result of the Business Combination, we received gross proceeds of approximately $137.6 million.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Exploration Contracts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currently hold exclusive exploration rights to certain polymetallic nodule areas in the CCZ through our subsidiaries NORI and TOML, sponsored by the Republic of Nauru and Kingdom of Tonga, respectively, and exclusive commercial rights through our subsidiary’s (DGE) arrangement with Marawa, a company owned and sponsored by the Republic of Kiribati.</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NORI Exploration Contract</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NORI, our wholly-owned subsidiary, was granted a polymetallic nodule exploration contract in the CCZ by the ISA on July 22, 2011 under the sponsorship of Nauru. This Exploration Contract provides NORI with exclusive rights to explore for polymetallic nodules in an area covering 74,830 km</w:t>
      </w:r>
      <w:r>
        <w:rPr>
          <w:rFonts w:ascii="Times New Roman;Times;serif" w:hAnsi="Times New Roman;Times;serif"/>
          <w:sz w:val="15"/>
        </w:rPr>
        <w:t>2</w:t>
      </w:r>
      <w:r>
        <w:rPr>
          <w:rFonts w:ascii="Times New Roman;Times;serif" w:hAnsi="Times New Roman;Times;serif"/>
          <w:sz w:val="20"/>
        </w:rPr>
        <w:t xml:space="preserve"> in the CCZ (“NORI Area”) for an initial term of 15 years (renewable for successive five-year periods) subject to complying with the exploration contract terms and provides NORI with the priority right to apply for an exploitation contract to collect polymetallic nodules in the same area.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TOML Exploration Contract</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TOML, our wholly owned subsidiary, was granted a polymetallic nodule exploration contract in the CCZ by the ISA on January 11, 2012 under the sponsorship of Tonga. This Exploration Contract provides TOML with exclusive rights to explore for polymetallic nodules in an area covering 74,713 km</w:t>
      </w:r>
      <w:r>
        <w:rPr>
          <w:rFonts w:ascii="Times New Roman;Times;serif" w:hAnsi="Times New Roman;Times;serif"/>
          <w:sz w:val="15"/>
        </w:rPr>
        <w:t>2</w:t>
      </w:r>
      <w:r>
        <w:rPr>
          <w:rFonts w:ascii="Times New Roman;Times;serif" w:hAnsi="Times New Roman;Times;serif"/>
          <w:sz w:val="20"/>
        </w:rPr>
        <w:t xml:space="preserve"> in the CCZ (“TOML Area”) for an initial term of 15 years (renewable for successive five-year periods) subject to complying with the exploration contract terms and provides TOML with priority right to apply for an exploitation contract to collect polymetallic nodules in the same area.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Marawa Agreements</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Marawa, an entity owned and sponsored by Kiribati, was granted the Marawa Exploration Contract on May 30, 2012. DGE, our wholly owned subsidiary DGE, entered into agreements with Marawa and Kiribati which provide DGE with exclusive exploration and exploitation (if awarded) rights to an area covering 74,990 km</w:t>
      </w:r>
      <w:r>
        <w:rPr>
          <w:rFonts w:ascii="Times New Roman;Times;serif" w:hAnsi="Times New Roman;Times;serif"/>
          <w:sz w:val="15"/>
        </w:rPr>
        <w:t>2</w:t>
      </w:r>
      <w:r>
        <w:rPr>
          <w:rFonts w:ascii="Times New Roman;Times;serif" w:hAnsi="Times New Roman;Times;serif"/>
          <w:sz w:val="20"/>
        </w:rPr>
        <w:t xml:space="preserve"> in the CCZ (the “Marawa Contract Area”). The exploration contract between Marawa and the ISA was signed on January 19, 2015. To date, limited offshore marine resource definition activities in the Marawa Contract Area have occurred.  We expect to collaborate with Marawa to assess the viability of any potential project in the Marawa Contract Area, although the timing of such assessment is uncertain. Marawa has delayed certain of its efforts in the Marawa Contract Area while it determines how it will move forward with additional assessment work.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Trends, Opportunities and Uncertainties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currently a pre-revenue company and we do not anticipate earning revenues until such time as NORI receives an exploitation contract from the ISA and we are able to successfully collect and process polymetallic nodules into saleable products on a commercial scale. We believe that our performance and future success pose risks and challenges, including those related to: finalization of ISA regulations to allow for commercial exploitation, approval of an application for the ISA exploitation contract, development of environmental regulations associated with our business and development of our technologies to collect and process polymetallic nodules. These risks, as well as other risks, are discussed in the section entitled “</w:t>
      </w:r>
      <w:r>
        <w:rPr>
          <w:rFonts w:ascii="Times New Roman;Times;serif" w:hAnsi="Times New Roman;Times;serif"/>
          <w:i/>
          <w:sz w:val="20"/>
        </w:rPr>
        <w:t>Risk Factors</w:t>
      </w:r>
      <w:r>
        <w:rPr>
          <w:rFonts w:ascii="Times New Roman;Times;serif" w:hAnsi="Times New Roman;Times;serif"/>
          <w:sz w:val="20"/>
        </w:rPr>
        <w:t>” in Item 1A of Part I of the 2022 Annual Report on Form 10-K, as updated and supplemented under the caption “Risk Factors” in Item 1A of Part II of our Quarterly Report on Form 10-Q for the quarter ended June 30, 2023 as filed with the SEC on August 14, 2023 and this Quarterly Report on Form 10-Q, as further updated and/or supplemented in subsequent filings with the SEC.</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Impact of Global Inflation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2022, the global inflation rate rose sharply and higher inflation has continued in 2023. Marine fuel prices and vessel day rates were higher year-over-year and have increased our exploration expenses beyond what we had originally expected. Additionally, we are experiencing higher offshore labor costs through our contractors.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pre-revenue company, persistent inflation may affect our ultimate cash requirements prior to our ability to begin commercial production.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Impact of Climate Change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committed to adopting the Task Force on Climate-Related Financial Disclosures recommendations. In our inaugural Impact Report published in May 2022, we provided climate-related disclosure and shared how we believe our mission is aligned with supporting the global energy transition and contributing to a circular metals economy.  We recognize that climate change may have a meaningful impact on our financial performance over time, and we have begun the process of consolidating key risks and corresponding action plans to mitigate the negative impact of climate change on our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climate related transition risks and opportunities are likely to be driven by changes in regulation, public policy, and technology, as disclosed in our 2022 Annual Report on Form 10-K.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currently conduct our business through one operating segment. As a pre-revenue company with no commercial operations, our activities to date have been limited. Our historical results are reported under U.S. Generally Accepted Accounting Principles (“U.S. GAAP”) and in U.S. dollars. All share and per share amounts have been adjusted to reflect the impact of the Business Combination.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Components of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an exploration-stage company with no revenue to date and a net loss of approximately $12.5 million and $26.6 million for the three and nine months ended September 30, 2023, respectively, compared to a net loss of $27.9 million and $61.4 million in the same periods of 2022, respectively. We have an accumulated deficit of approximately $501.7 million from inception through September 30, 2023.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date, we have not generated any revenue. We expect to generate revenue once NORI receives an exploitation contract from the ISA, anticipated within one year from our expected submission to the ISA, following the July 2024 meeting of the ISA.  The application for an exploitation contract will include a plan of work for exploitation for NORI Area D, with first revenue anticipated once we are able to successfully collect and process polymetallic nodules into saleable products on a commercial scale. Any revenue from initial production is difficult to predict.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Exploration and Evaluation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expense all costs relating to exploration and development of mineral claims. Such exploration and development costs include, but are not limited to, ISA contract management, geological, geochemical and geophysical studies, environmental baseline studies, process development and payments to Allseas for vessel use, engineering and management services, as well as payments related to the Pilot Mining Test System (“PMTS”) in 2022. Our exploration expenses are impacted by the amount of exploration work conducted during each period. The acquisition cost of ISA polymetallic nodule exploration contracts will be charged to operations as amortization expense on a unit-of-production method based on proven and probable reserves should commercial production commence in the future.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(“G&amp;A”) expenses consist primarily of compensation for employees, consultants and directors, including wages and salaries, share-based compensation, consulting fees, investor relations expenses, expenses related to advertising and marketing functions, insurance costs, office and sundry expenses, professional fees (including legal, audit and tax fees), travel expenses and transfer and filing fees.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Share-based compensation costs from the issuance of stock options and restricted share units (“RSUs”) is measured at the grant date based on the fair value of the award and is recognized over the related service period. Share-based compensation costs are charged to exploration expenses and general and administrative expenses depending on the function fulfilled by the holder of the award. In instances where an award is issued for financing related services, the costs are included within equity as part of the financing costs. We recognize forfeiture of any awards as they occur.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Income/Expense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Interest income consists primarily of interest income earned on our cash and cash equivalents.  The Credit Facility with Allseas remains undrawn as at September 30, 2023.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Foreign Exchange Loss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foreign exchange income or loss for the periods reported primarily relates to our cash held in Canadian dollars and to the settlement of costs incurred in foreign currencies, depending on either the strengthening or weakening of the U.S. dollar.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 in Fair Value of Warrants Liability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change in fair value of warrants liability primarily consists of the change in the fair value of the 9,500,000 warrants issued to Sustainable Opportunities Holdings LLC concurrently with SOAC’s initial public offering (the “Private Warrants”). For accounting purposes, the Company was considered to have issued the Private Warrants as part of the Business Combination, and we are required to re-measure the fair value of our Private Warrants at the end of each reporting period.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following is a discussion of our results of operations for the three and nine months ended September 30, 2023 and 2022. Our accounting policies are described in Note 3 “Significant Accounting Policies” in our financial statements filed as part of the 2022 Annual Report on Form 10-K.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the Three and Nine Months Ended September 30, 2023 and 2022</w:t>
      </w:r>
    </w:p>
    <w:tbl>
      <w:tblPr>
        <w:tblW w:w="10205" w:type="dxa"/>
        <w:jc w:val="left"/>
        <w:tblInd w:w="0" w:type="dxa"/>
        <w:tblLayout w:type="fixed"/>
        <w:tblCellMar>
          <w:top w:w="0" w:type="dxa"/>
          <w:left w:w="0" w:type="dxa"/>
          <w:bottom w:w="0" w:type="dxa"/>
          <w:right w:w="0" w:type="dxa"/>
        </w:tblCellMar>
      </w:tblPr>
      <w:tblGrid>
        <w:gridCol w:w="2576"/>
        <w:gridCol w:w="326"/>
        <w:gridCol w:w="211"/>
        <w:gridCol w:w="676"/>
        <w:gridCol w:w="326"/>
        <w:gridCol w:w="211"/>
        <w:gridCol w:w="676"/>
        <w:gridCol w:w="326"/>
        <w:gridCol w:w="871"/>
        <w:gridCol w:w="331"/>
        <w:gridCol w:w="211"/>
        <w:gridCol w:w="767"/>
        <w:gridCol w:w="326"/>
        <w:gridCol w:w="211"/>
        <w:gridCol w:w="676"/>
        <w:gridCol w:w="326"/>
        <w:gridCol w:w="871"/>
        <w:gridCol w:w="287"/>
      </w:tblGrid>
      <w:tr>
        <w:trPr/>
        <w:tc>
          <w:tcPr>
            <w:tcW w:w="2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635760" cy="175260"/>
                      <wp:effectExtent l="0" t="0" r="0" b="0"/>
                      <wp:wrapNone/>
                      <wp:docPr id="214" name="Frame214"/>
                      <a:graphic xmlns:a="http://schemas.openxmlformats.org/drawingml/2006/main">
                        <a:graphicData uri="http://schemas.microsoft.com/office/word/2010/wordprocessingShape">
                          <wps:wsp>
                            <wps:cNvSpPr txBox="1"/>
                            <wps:spPr>
                              <a:xfrm>
                                <a:off x="0" y="0"/>
                                <a:ext cx="1635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5" name="Frame2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33985" cy="175260"/>
                      <wp:effectExtent l="0" t="0" r="0" b="0"/>
                      <wp:wrapNone/>
                      <wp:docPr id="216" name="Frame2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429260" cy="175260"/>
                      <wp:effectExtent l="0" t="0" r="0" b="0"/>
                      <wp:wrapNone/>
                      <wp:docPr id="217" name="Frame21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218" name="Frame2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33985" cy="175260"/>
                      <wp:effectExtent l="0" t="0" r="0" b="0"/>
                      <wp:wrapNone/>
                      <wp:docPr id="219" name="Frame2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429260" cy="175260"/>
                      <wp:effectExtent l="0" t="0" r="0" b="0"/>
                      <wp:wrapNone/>
                      <wp:docPr id="220" name="Frame22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21" name="Frame2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553085" cy="175260"/>
                      <wp:effectExtent l="0" t="0" r="0" b="0"/>
                      <wp:wrapNone/>
                      <wp:docPr id="222" name="Frame222"/>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0185" cy="175260"/>
                      <wp:effectExtent l="0" t="0" r="0" b="0"/>
                      <wp:wrapNone/>
                      <wp:docPr id="223" name="Frame223"/>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33985" cy="175260"/>
                      <wp:effectExtent l="0" t="0" r="0" b="0"/>
                      <wp:wrapNone/>
                      <wp:docPr id="224" name="Frame2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487045" cy="175260"/>
                      <wp:effectExtent l="0" t="0" r="0" b="0"/>
                      <wp:wrapNone/>
                      <wp:docPr id="225" name="Frame225"/>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226"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33985" cy="175260"/>
                      <wp:effectExtent l="0" t="0" r="0" b="0"/>
                      <wp:wrapNone/>
                      <wp:docPr id="227" name="Frame2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29260" cy="175260"/>
                      <wp:effectExtent l="0" t="0" r="0" b="0"/>
                      <wp:wrapNone/>
                      <wp:docPr id="228" name="Frame22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9" name="Frame2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553085" cy="175260"/>
                      <wp:effectExtent l="0" t="0" r="0" b="0"/>
                      <wp:wrapNone/>
                      <wp:docPr id="230" name="Frame230"/>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82245" cy="175260"/>
                      <wp:effectExtent l="0" t="0" r="0" b="0"/>
                      <wp:wrapNone/>
                      <wp:docPr id="231" name="Frame231"/>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3297"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31" w:type="dxa"/>
            <w:tcBorders/>
            <w:vAlign w:val="center"/>
          </w:tcPr>
          <w:p>
            <w:pPr>
              <w:pStyle w:val="TableContents"/>
              <w:bidi w:val="0"/>
              <w:spacing w:before="0" w:after="0"/>
              <w:ind w:left="0" w:right="0" w:hanging="0"/>
              <w:jc w:val="left"/>
              <w:rPr/>
            </w:pPr>
            <w:r>
              <w:rPr/>
              <w:t>​</w:t>
            </w:r>
          </w:p>
        </w:tc>
        <w:tc>
          <w:tcPr>
            <w:tcW w:w="3388"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w:t>
            </w:r>
          </w:p>
        </w:tc>
        <w:tc>
          <w:tcPr>
            <w:tcW w:w="287" w:type="dxa"/>
            <w:tcBorders/>
            <w:vAlign w:val="center"/>
          </w:tcPr>
          <w:p>
            <w:pPr>
              <w:pStyle w:val="TableContents"/>
              <w:bidi w:val="0"/>
              <w:spacing w:before="0" w:after="0"/>
              <w:ind w:left="0" w:right="0" w:hanging="0"/>
              <w:jc w:val="center"/>
              <w:rPr/>
            </w:pPr>
            <w:r>
              <w:rPr/>
              <w:t>​</w:t>
            </w:r>
          </w:p>
        </w:tc>
      </w:tr>
      <w:tr>
        <w:trPr/>
        <w:tc>
          <w:tcPr>
            <w:tcW w:w="25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 amounts in thousands, except as noted)</w:t>
            </w:r>
          </w:p>
        </w:tc>
        <w:tc>
          <w:tcPr>
            <w:tcW w:w="326" w:type="dxa"/>
            <w:tcBorders/>
            <w:vAlign w:val="center"/>
          </w:tcPr>
          <w:p>
            <w:pPr>
              <w:pStyle w:val="TableContents"/>
              <w:bidi w:val="0"/>
              <w:spacing w:before="0" w:after="0"/>
              <w:ind w:left="0" w:right="0" w:hanging="0"/>
              <w:jc w:val="center"/>
              <w:rPr/>
            </w:pPr>
            <w:r>
              <w:rPr/>
              <w:t>​</w:t>
            </w:r>
          </w:p>
        </w:tc>
        <w:tc>
          <w:tcPr>
            <w:tcW w:w="329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31" w:type="dxa"/>
            <w:tcBorders/>
            <w:vAlign w:val="center"/>
          </w:tcPr>
          <w:p>
            <w:pPr>
              <w:pStyle w:val="TableContents"/>
              <w:bidi w:val="0"/>
              <w:spacing w:before="0" w:after="0"/>
              <w:ind w:left="0" w:right="0" w:hanging="0"/>
              <w:jc w:val="left"/>
              <w:rPr/>
            </w:pPr>
            <w:r>
              <w:rPr/>
              <w:t>​</w:t>
            </w:r>
          </w:p>
        </w:tc>
        <w:tc>
          <w:tcPr>
            <w:tcW w:w="3388"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287" w:type="dxa"/>
            <w:tcBorders/>
            <w:vAlign w:val="center"/>
          </w:tcPr>
          <w:p>
            <w:pPr>
              <w:pStyle w:val="TableContents"/>
              <w:bidi w:val="0"/>
              <w:spacing w:before="0" w:after="0"/>
              <w:ind w:left="0" w:right="0" w:hanging="0"/>
              <w:jc w:val="center"/>
              <w:rPr/>
            </w:pPr>
            <w:r>
              <w:rPr/>
              <w:t>​</w:t>
            </w:r>
          </w:p>
        </w:tc>
      </w:tr>
      <w:tr>
        <w:trPr/>
        <w:tc>
          <w:tcPr>
            <w:tcW w:w="25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Change</w:t>
            </w:r>
          </w:p>
        </w:tc>
        <w:tc>
          <w:tcPr>
            <w:tcW w:w="331" w:type="dxa"/>
            <w:tcBorders/>
            <w:vAlign w:val="center"/>
          </w:tcPr>
          <w:p>
            <w:pPr>
              <w:pStyle w:val="TableContents"/>
              <w:bidi w:val="0"/>
              <w:spacing w:before="0" w:after="0"/>
              <w:ind w:left="0" w:right="0" w:hanging="0"/>
              <w:jc w:val="left"/>
              <w:rPr/>
            </w:pPr>
            <w:r>
              <w:rPr/>
              <w:t>    </w:t>
            </w:r>
          </w:p>
        </w:tc>
        <w:tc>
          <w:tcPr>
            <w:tcW w:w="978"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 Change</w:t>
            </w:r>
          </w:p>
        </w:tc>
        <w:tc>
          <w:tcPr>
            <w:tcW w:w="287" w:type="dxa"/>
            <w:tcBorders/>
            <w:vAlign w:val="center"/>
          </w:tcPr>
          <w:p>
            <w:pPr>
              <w:pStyle w:val="TableContents"/>
              <w:bidi w:val="0"/>
              <w:spacing w:before="0" w:after="0"/>
              <w:ind w:left="0" w:right="0" w:hanging="0"/>
              <w:jc w:val="center"/>
              <w:rPr/>
            </w:pPr>
            <w:r>
              <w:rPr/>
              <w:t>​</w:t>
            </w:r>
          </w:p>
        </w:tc>
      </w:tr>
      <w:tr>
        <w:trPr/>
        <w:tc>
          <w:tcPr>
            <w:tcW w:w="2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Exploration and evaluation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7,905</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22,663</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23,172</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40,340</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4,613</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5,944</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211"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15,958</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22,502</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28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Equity-accounted investment loss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31"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287" w:type="dxa"/>
            <w:tcBorders/>
            <w:shd w:fill="CCEEFF" w:val="clear"/>
            <w:vAlign w:val="center"/>
          </w:tcPr>
          <w:p>
            <w:pPr>
              <w:pStyle w:val="TableContents"/>
              <w:bidi w:val="0"/>
              <w:spacing w:before="0" w:after="0"/>
              <w:ind w:left="0" w:right="0" w:hanging="0"/>
              <w:jc w:val="left"/>
              <w:rPr/>
            </w:pPr>
            <w:r>
              <w:rPr/>
              <w:t>​</w:t>
            </w:r>
          </w:p>
        </w:tc>
      </w:tr>
      <w:tr>
        <w:trPr/>
        <w:tc>
          <w:tcPr>
            <w:tcW w:w="2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asset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3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(13,750)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287" w:type="dxa"/>
            <w:tcBorders/>
            <w:vAlign w:val="center"/>
          </w:tcPr>
          <w:p>
            <w:pPr>
              <w:pStyle w:val="TableContents"/>
              <w:bidi w:val="0"/>
              <w:spacing w:before="0" w:after="0"/>
              <w:ind w:left="0" w:right="0" w:hanging="0"/>
              <w:jc w:val="left"/>
              <w:rPr/>
            </w:pPr>
            <w:r>
              <w:rPr/>
              <w:t>​</w:t>
            </w:r>
          </w:p>
        </w:tc>
      </w:tr>
      <w:tr>
        <w:trPr/>
        <w:tc>
          <w:tcPr>
            <w:tcW w:w="2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warrants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1,214</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(892)</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loss (gain)</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211"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c>
          <w:tcPr>
            <w:tcW w:w="28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2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Fees and interest on credit facility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3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287" w:type="dxa"/>
            <w:tcBorders/>
            <w:vAlign w:val="center"/>
          </w:tcPr>
          <w:p>
            <w:pPr>
              <w:pStyle w:val="TableContents"/>
              <w:bidi w:val="0"/>
              <w:spacing w:before="0" w:after="0"/>
              <w:ind w:left="0" w:right="0" w:hanging="0"/>
              <w:jc w:val="left"/>
              <w:rPr/>
            </w:pPr>
            <w:r>
              <w:rPr/>
              <w:t>​</w:t>
            </w:r>
          </w:p>
        </w:tc>
      </w:tr>
      <w:tr>
        <w:trPr/>
        <w:tc>
          <w:tcPr>
            <w:tcW w:w="2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for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27,894</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61,395</w:t>
            </w:r>
          </w:p>
        </w:tc>
        <w:tc>
          <w:tcPr>
            <w:tcW w:w="326" w:type="dxa"/>
            <w:tcBorders/>
            <w:shd w:fill="CCEEFF" w:val="clear"/>
            <w:vAlign w:val="center"/>
          </w:tcPr>
          <w:p>
            <w:pPr>
              <w:pStyle w:val="TableContents"/>
              <w:bidi w:val="0"/>
              <w:spacing w:before="0" w:after="0"/>
              <w:ind w:left="0" w:right="0" w:hanging="0"/>
              <w:jc w:val="left"/>
              <w:rPr/>
            </w:pPr>
            <w:r>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bookmarkStart w:id="1226" w:name="_Hlk111371873"/>
      <w:bookmarkEnd w:id="1226"/>
      <w:r>
        <w:rPr>
          <w:rFonts w:ascii="Times New Roman;Times;serif" w:hAnsi="Times New Roman;Times;serif"/>
          <w:b/>
          <w:i/>
          <w:sz w:val="20"/>
        </w:rPr>
        <w:t>Three Months ended September 30, 2023 compared to Three Months ended September 30, 2022</w:t>
      </w:r>
    </w:p>
    <w:p>
      <w:pPr>
        <w:pStyle w:val="TextBody"/>
        <w:bidi w:val="0"/>
        <w:spacing w:before="0" w:after="24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reported a net loss of approximately $12.5 million in the third quarter of 2023, compared to a net loss of $27.9 million in the same period of 2022. The following explains the major reasons for the net loss reported in the third quarters of both 2023 and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Exploration and Evaluation Expenses</w:t>
      </w:r>
    </w:p>
    <w:p>
      <w:pPr>
        <w:pStyle w:val="TextBody"/>
        <w:bidi w:val="0"/>
        <w:spacing w:before="0" w:after="24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Exploration and evaluation expenses for the three months ended September 30, 2023 were $7.9 million, compared to $22.7 million for the same period in 2022. The decrease of $14.8 million was primarily due to a reduction in environmental studies of $14.4 million and a reduction of $3.7 million on the PMTS, as the collector test was completed in November 2022, partially offset by increased spending in 2023 on prefeasibility studies, as well as mining, technological and process development activities, due to engineering work which commenced in the fourth quarter of 2022, and increased spending on sponsorship programs.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G&amp;A expenses for the three months ended September 30, 2023 were $4.6 million, compared to $5.9 million for the same period in 2022. The decrease of $1.3 million in G&amp;A expenses was mainly the result of lower share-based compensation in the 2023 period as the cost of the LTIP options with specific market capitalization vesting conditions was fully amortized in 2022 in addition to the decrease in the amortization cost of STIP sign-up options granted in 2021 and a decrease in insurance costs.  These decreases were partially offset by an increase in external consulting costs on corporate activities and other expenses.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 in Fair Value of Warrants Liability</w:t>
      </w:r>
    </w:p>
    <w:p>
      <w:pPr>
        <w:pStyle w:val="TextBody"/>
        <w:bidi w:val="0"/>
        <w:spacing w:before="0" w:after="24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fair value of our Private Warrants liability during the third quarter of 2023 resulted in a credit of $0.1 million, reflecting a decrease in the price of our Public Warrants and common shares in the third quarter of 2023. This compares to a credit of $0.4 million in the comparative quarter of 2022, reflecting a decrease in the price of our Public Warrants and common shares in this period.  The warrants liability was initially recorded as part of the Business Combination.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Nine Months ended September 30, 2023 compared to Nine Months ended September 30, 2022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reported a net loss of $26.6 million in the first nine months of 2023, compared to a net loss of $61.4 million in the same period of 2022.  The following explains the major reasons for the reduction in the net loss in the nine months of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Exploration and Evaluation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Exploration and evaluation expenses for the first nine months ended September 30, 2023 were $23.2 million, compared to $40.3 million for the same period in 2022. The decrease of $17.1 million was primarily due to a reduction in environmental studies of $15.1 million and a reduction of $6.5 million on the PMTS, as the collector test was completed in November 2022, and lower share-based compensation of $3.6 million in the first nine months of 2023, as the cost of the LTIP options with specific market capitalization vesting conditions was fully amortized in 2022 in addition to the decrease in the amortization cost of STIP sign-up options granted in 2021.  These cost reductions were partially offset by increased spending in 2023 on mining, technological and process development activities of $5.0 million and on prefeasibility studies of $1.1 million, due to engineering work which commenced in the fourth quarter of 2022, and higher spending on sponsorship programs.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G&amp;A expenses for the first nine months ended September 30, 2023 were $15.9 million, compared to $22.5 million for the same period in 2022. The decrease of $6.6 million in G&amp;A expenses in the first nine months of 2023 was mainly the result of lower share-based compensation in the 2023 period as the cost of the LTIP options with specific market capitalization vesting conditions was fully amortized in 2022 in addition to the decrease in the amortization cost of STIP sign-up options granted in 2021 and a decrease in insurance costs during the first nine months of 2023.  This decrease was partially offset by higher spending on legal costs, external consulting on corporate activities and other expenses.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Gain on Disposition of Asset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first nine months of 2023, we reported a gain of $13.75 million on NORI’s contribution in February 2023 of a 2% gross overriding royalty on the NORI project area to Low Carbon Royalties, reflecting the excess of the consideration received from Low Carbon Royalties of $14 million and NORI’s exploration contract carrying value.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 in Fair Value of Warrants Liability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change in fair value of our Private Warrants liability during the first nine months of 2023 resulted in a charge of $1.2 million, reflecting an increase of 57% in the price of our Public Warrants partially offset by a decrease in the price of our common shares in the first nine months of 2023. This compares to a credit of $0.9 million in the first nine months of 2022, reflecting a decrease in both our Public Warrants and common shares in this period.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Prior to closing of the Business Combination, our primary sources of capital have been private placements of DeepGreen common shares and DeepGreen preferred shares and the issuance of convertible debentures completed in February 2021, which were automatically converted into DeepGreen common shares immediately prior to the completion of the Business Combination, which were converted into common shares as part of the Business Combination. In addition, on September 9, 2021, we completed the Business Combination with SOAC, and as a result we received gross cash proceeds of approximately $137.6 million (approximately $104.5 million net of transaction fees). On August 12, 2022, we completed a private placement raising gross cash proceeds of $30.4 million (approximately $30 million net of transaction fees). On August 14, 2023, we announced that we entered into the Purchase Agreement in connection with a Registered Direct Offering.  To date, we have received gross proceeds of $15.9 million (approximately $14.5 million net of transaction fees) in the Registered Direct Offering and expect to receive an additional $9 million of gross proceeds from an investor affiliated with us in two installments, $2.5 million on or before November 30, 2023 and $6.5 million on or before January 31, 2024. As of September 30, 2023, we had cash on hand of $22.5 million.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received lower than expected cash proceeds upon closing of the Business Combination resulting from higher-than-expected redemptions of SOAC’s Class A ordinary shares and the default by certain private placement investors in their funding obligations in connection with the closing of the Business Combination. As a result, we revised our work plan to focus on activities necessary to submit an application to the ISA for an exploitation contract, which will include a plan of work for exploitation, for the NORI Area D following the July 2024 meeting of the ISA and stopped and/or deferred work and expenses associated with other activities.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light of the significant deficit in expected funding following the closing of the Business Combination in September 2021, we adopted what we call a “capital-light” strategy whereby we removed any allocation of funds to capital expenditures that were not deemed necessary to support the submission of an application for an exploitation contract for the NORI Area D, and by negotiating the settlement of program expenditures with our equity whenever possible.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yet to generate any revenue from our business operations. We are an exploration-stage company and the recovery of our investment in mineral exploration contracts and attainment of profitable operations is dependent upon many factors including, among other things, the development of a commercial production system for collecting polymetallic nodules from the seafloor as well as the development of our processing technology for the metallurgical treatment of such nodules, the establishment of mineable reserves, the demonstration of commercial and technical feasibility of seafloor polymetallic nodule collection and processing systems, metal prices, and securing ISA provisional approvals and/or exploitation contracts. While we have obtained financing in the past, there is no assurance that such financing will continue to be available on favorable terms, in sufficient amounts, or at all.</w:t>
      </w:r>
    </w:p>
    <w:p>
      <w:pPr>
        <w:pStyle w:val="TextBody"/>
        <w:bidi w:val="0"/>
        <w:spacing w:before="0" w:after="240"/>
        <w:ind w:left="0" w:right="0" w:firstLine="360"/>
        <w:jc w:val="both"/>
        <w:rPr>
          <w:rFonts w:ascii="Times New Roman;Times;serif" w:hAnsi="Times New Roman;Times;serif"/>
          <w:sz w:val="20"/>
        </w:rPr>
      </w:pPr>
      <w:bookmarkStart w:id="1227" w:name="_Hlk110416512"/>
      <w:bookmarkEnd w:id="1227"/>
      <w:r>
        <w:rPr>
          <w:rFonts w:ascii="Times New Roman;Times;serif" w:hAnsi="Times New Roman;Times;serif"/>
          <w:sz w:val="20"/>
        </w:rPr>
        <w:t>We expect to incur significant expenses and operating losses for the foreseeable future, particularly as we advance towards our application to the ISA for an exploitation contract and preparation for potential commercialization. Based on our cash balance, including the net proceeds from the Registered Direct Offering in August 2023, and availability of borrowing under our Credit Facility with an affiliate of Allseas, when compared with our forecasted cash expenditures, we believe we will have sufficient funds to meet our obligations that become due within the next twelve months. Our estimates used in reaching this conclusion are based on information available as at the date of filing this Quarterly Report on Form 10-Q. Accordingly, actual results could differ from these estimates and resulting variances may result in our need for additional funding in an amount greater or earlier than expected,  due to changes in business conditions or other developments, including, but not limited to, deferral of approvals, capital and operating cost escalation, currently unrecognized technical and development challenges, our ability to pay certain vendors or suppliers in our common shares or changes in external business environment.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we will, however, need and are seeking additional financing to fund our continued operations over time. These financings could include additional public or private equity, debt financings, equity-linked financings or other sources of financing, including through non-dilutive asset, royalty or project-based and/or asset-based financings. If these financing or other financing sources are not available, or if the terms of financing are less desirable than we expect, or if in insufficient amounts, we may be forced to delay our exploration and/or exploitation activities or further scale back our operations, which could have a material adverse impact on our business and financial prospects.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continue to expect that we will require approximately $35 to $45 million of cash in addition to $22.5 million cash on hand as of September 30, 2023 and the remaining committed funding from an affiliated investor of $9 million expected to be received as part of our recently announced Registered Direct Offering, assuming no exercise of the Class A warrants issued in the offering (but not including potential drawdown on the Credit Facility) to submit a high-quality application for an exploitation contract for NORI Area D following the July 2024 meeting of the ISA.  This estimate includes, among other things, the expected costs of: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environmental and social impact assessment (ESIA), including the post-collection test monitoring campaign described above;</w:t>
            </w:r>
          </w:p>
        </w:tc>
      </w:tr>
    </w:tbl>
    <w:tbl>
      <w:tblPr>
        <w:tblW w:w="2346" w:type="dxa"/>
        <w:jc w:val="left"/>
        <w:tblInd w:w="0" w:type="dxa"/>
        <w:tblLayout w:type="fixed"/>
        <w:tblCellMar>
          <w:top w:w="28" w:type="dxa"/>
          <w:left w:w="28" w:type="dxa"/>
          <w:bottom w:w="28" w:type="dxa"/>
          <w:right w:w="28" w:type="dxa"/>
        </w:tblCellMar>
      </w:tblPr>
      <w:tblGrid>
        <w:gridCol w:w="124"/>
        <w:gridCol w:w="256"/>
        <w:gridCol w:w="1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pre-feasibility studies;</w:t>
            </w:r>
          </w:p>
        </w:tc>
      </w:tr>
    </w:tbl>
    <w:tbl>
      <w:tblPr>
        <w:tblW w:w="3126" w:type="dxa"/>
        <w:jc w:val="left"/>
        <w:tblInd w:w="0" w:type="dxa"/>
        <w:tblLayout w:type="fixed"/>
        <w:tblCellMar>
          <w:top w:w="28" w:type="dxa"/>
          <w:left w:w="28" w:type="dxa"/>
          <w:bottom w:w="28" w:type="dxa"/>
          <w:right w:w="28" w:type="dxa"/>
        </w:tblCellMar>
      </w:tblPr>
      <w:tblGrid>
        <w:gridCol w:w="124"/>
        <w:gridCol w:w="256"/>
        <w:gridCol w:w="2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4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layup costs for the </w:t>
            </w:r>
            <w:r>
              <w:rPr>
                <w:rFonts w:ascii="Times New Roman;Times;serif" w:hAnsi="Times New Roman;Times;serif"/>
                <w:b w:val="false"/>
                <w:i/>
                <w:sz w:val="20"/>
              </w:rPr>
              <w:t>Hidden Gem</w:t>
            </w:r>
            <w:r>
              <w:rPr>
                <w:rFonts w:ascii="Times New Roman;Times;serif" w:hAnsi="Times New Roman;Times;serif"/>
                <w:b w:val="false"/>
                <w:i w:val="false"/>
                <w:caps w:val="false"/>
                <w:smallCaps w:val="false"/>
                <w:sz w:val="20"/>
              </w:rPr>
              <w:t>;</w:t>
            </w:r>
          </w:p>
        </w:tc>
      </w:tr>
    </w:tbl>
    <w:tbl>
      <w:tblPr>
        <w:tblW w:w="7716" w:type="dxa"/>
        <w:jc w:val="left"/>
        <w:tblInd w:w="0" w:type="dxa"/>
        <w:tblLayout w:type="fixed"/>
        <w:tblCellMar>
          <w:top w:w="28" w:type="dxa"/>
          <w:left w:w="28" w:type="dxa"/>
          <w:bottom w:w="28" w:type="dxa"/>
          <w:right w:w="28" w:type="dxa"/>
        </w:tblCellMar>
      </w:tblPr>
      <w:tblGrid>
        <w:gridCol w:w="124"/>
        <w:gridCol w:w="25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non-recurring engineering and project management on the Project Zero Offshore System;</w:t>
            </w:r>
          </w:p>
        </w:tc>
      </w:tr>
    </w:tbl>
    <w:tbl>
      <w:tblPr>
        <w:tblW w:w="2556" w:type="dxa"/>
        <w:jc w:val="left"/>
        <w:tblInd w:w="0" w:type="dxa"/>
        <w:tblLayout w:type="fixed"/>
        <w:tblCellMar>
          <w:top w:w="28" w:type="dxa"/>
          <w:left w:w="28" w:type="dxa"/>
          <w:bottom w:w="28" w:type="dxa"/>
          <w:right w:w="28" w:type="dxa"/>
        </w:tblCellMar>
      </w:tblPr>
      <w:tblGrid>
        <w:gridCol w:w="124"/>
        <w:gridCol w:w="256"/>
        <w:gridCol w:w="2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and legal, and</w:t>
            </w:r>
          </w:p>
        </w:tc>
      </w:tr>
    </w:tbl>
    <w:tbl>
      <w:tblPr>
        <w:tblW w:w="4056" w:type="dxa"/>
        <w:jc w:val="left"/>
        <w:tblInd w:w="0" w:type="dxa"/>
        <w:tblLayout w:type="fixed"/>
        <w:tblCellMar>
          <w:top w:w="28" w:type="dxa"/>
          <w:left w:w="28" w:type="dxa"/>
          <w:bottom w:w="28" w:type="dxa"/>
          <w:right w:w="28" w:type="dxa"/>
        </w:tblCellMar>
      </w:tblPr>
      <w:tblGrid>
        <w:gridCol w:w="124"/>
        <w:gridCol w:w="256"/>
        <w:gridCol w:w="3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payroll and other general corporate matters.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This estimate is exclusive of costs expected to be spent subsequent to the submission of the application for an exploitation contract, on more detailed feasibility estimates and to progress the Project Zero Offshore System development as described above. We expect to refine our expected cash needs to prepare for potential commercialization following the time we submit our application to the ISA for an exploitation contract and after we finalize our planned definitive agreement with Allseas discussed above.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September 16, 2022, we filed a registration statement on Form S-3 with the SEC, which the SEC declared effective on October 14, 2022, to sell up to $100 million of securities, before any fees or expenses of the offering, which includes the $30 million that may be sold under the At-the-Market Equity Distribution Agreement and the securities issuable in the recently announced Registered Direct Offering discussed below. Securities that may be sold include common shares, preferred shares, debt securities, warrants and units. Any such offering, if it does occur, may happen in one or more transactions. Specific terms of any securities to be sold will be described in supplemental filings with the SEC.</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December 22, 2022, we entered into an At-the-Market Equity Distribution Agreement with Stifel, Nicolaus &amp; Company, Incorporated and Wedbush Securities Inc., as sales agents, allowing us, from time to time, to issue and sell common shares with an aggregate offering price of up to $30 million.  The offer and sales of the shares are made under our effective “shelf” registration statement on Form S-3 filed with the SEC on September 16, 2022, which the SEC declared effective on October 14, 2022. As of the date of this Quarterly Report on Form 10-Q, no sales of common shares have been made under this offering.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22, 2023, we entered into the Credit Facility with Argentum Credit Virtuti GCV (the “Lender”), the parent of Allseas Investments S.A. and an affiliate of Allseas, which was amended on July 31, 2023 to extend the maturity date, pursuant to which, we may borrow from the Lender up to $25 million in the aggregate, from time to time, subject to certain conditions. All amounts drawn under the Credit Facility will bear interest at the 6-month Secured Overnight Funding Rate (“SOFR”), 180-day average plus 4.0% per annum payable in cash semi-annually (or plus 5% if paid-in-kind at maturity, our election) on the first business day of each of June and January. We will pay an underutilization fee equal to 4.0% per annum payable semi-annually for any amounts that remain undrawn under the Credit Facility. We have the right to pre-pay the entire amount outstanding under the Credit Facility at any time before the Credit Facility’s maturity of November 30, 2024. The Credit Facility also contains customary events of default.  As of the date of this Quarterly Report on Form 10-Q, no amounts have been drawn under this Credit Facility.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August 14, 2023, we entered into the Purchase Agreement for a Registered Direct Offering of common shares and Class A Warrants. The purchase price for each common share and Class A Warrant to purchase 0.5 common shares is $2.00.  The exercise price of the Class A Warrants is $3.00, subject to adjustment as provided in the warrant agreement. No investor elected to exercise its right to purchase additional common shares and accompanying Class A Warrants on or before September 15, 2023 under the terms of the Purchase Agreement. To date, we have received gross proceeds of $15.9 million (approximately $14.5 million net of transaction fees) in the Registered Direct Offering and expect to receive an additional $9 million of gross proceeds from an investor affiliated with us in two installments, $2.5 million on or before November 30, 2023 and $6.5 million on or before January 31, 2024.</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may receive up to approximately $281.8 million in aggregate gross proceeds from cash exercises of the Public Warrants and the Private Warrants, based on the per share exercise price of such warrants. However, the exercise price for the outstanding Public Warrants and Private Warrants is $11.50 per common share and there can be no assurance that such warrants will be in the money prior to their expiration, and as such, such warrants may expire worthless. Based on the current trading price of our common shares we do not expect to receive any proceeds from the exercise of the Public Warrants and Private Warrants unless there is a significant increase in the price of our common shares. In certain circumstances, the Public Warrants and Private Warrants may be exercised on a cashless basis and the proceeds from the exercise of such warrants will decrease. Furthermore, even if the warrants will be in the money, the holders of the warrants are not obligated to exercise their warrants, and we cannot predict whether holders of the warrants will choose to exercise all or any of their warrants. In addition, the exercise price for the outstanding Class A Warrants issued and issuable in the Registered Direct Offering is $3.00 per common share and there can be no assurance that such warrants will be in the money prior to their expiration, and as such, such warrants may expire worthless and we will not receive any proceeds from the excise thereof.</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July 26, 2023, the Allseas Warrant was exercised resulting in our issuance of 11.6 million common shares to Allseas in return for the payment of the exercise price of $115.8 thousand. The Allseas Warrant vested and became exercisable upon the successful completion of the PMTS in November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Flows Summary</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Comparison of the Three and Nine Months Ended September 30, 2023 and September 30, 2022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Presented below is a summary of our operating, investing and financing cash flows:</w:t>
      </w:r>
    </w:p>
    <w:tbl>
      <w:tblPr>
        <w:tblW w:w="9473" w:type="dxa"/>
        <w:jc w:val="left"/>
        <w:tblInd w:w="0" w:type="dxa"/>
        <w:tblLayout w:type="fixed"/>
        <w:tblCellMar>
          <w:top w:w="0" w:type="dxa"/>
          <w:left w:w="0" w:type="dxa"/>
          <w:bottom w:w="0" w:type="dxa"/>
          <w:right w:w="0" w:type="dxa"/>
        </w:tblCellMar>
      </w:tblPr>
      <w:tblGrid>
        <w:gridCol w:w="4201"/>
        <w:gridCol w:w="326"/>
        <w:gridCol w:w="211"/>
        <w:gridCol w:w="796"/>
        <w:gridCol w:w="326"/>
        <w:gridCol w:w="211"/>
        <w:gridCol w:w="691"/>
        <w:gridCol w:w="326"/>
        <w:gridCol w:w="211"/>
        <w:gridCol w:w="796"/>
        <w:gridCol w:w="326"/>
        <w:gridCol w:w="211"/>
        <w:gridCol w:w="841"/>
      </w:tblGrid>
      <w:tr>
        <w:trPr/>
        <w:tc>
          <w:tcPr>
            <w:tcW w:w="4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667635" cy="175260"/>
                      <wp:effectExtent l="0" t="0" r="0" b="0"/>
                      <wp:wrapNone/>
                      <wp:docPr id="232" name="Frame232"/>
                      <a:graphic xmlns:a="http://schemas.openxmlformats.org/drawingml/2006/main">
                        <a:graphicData uri="http://schemas.microsoft.com/office/word/2010/wordprocessingShape">
                          <wps:wsp>
                            <wps:cNvSpPr txBox="1"/>
                            <wps:spPr>
                              <a:xfrm>
                                <a:off x="0" y="0"/>
                                <a:ext cx="266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233"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3985" cy="175260"/>
                      <wp:effectExtent l="0" t="0" r="0" b="0"/>
                      <wp:wrapNone/>
                      <wp:docPr id="234" name="Frame2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505460" cy="175260"/>
                      <wp:effectExtent l="0" t="0" r="0" b="0"/>
                      <wp:wrapNone/>
                      <wp:docPr id="235" name="Frame23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6" name="Frame2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33985" cy="175260"/>
                      <wp:effectExtent l="0" t="0" r="0" b="0"/>
                      <wp:wrapNone/>
                      <wp:docPr id="237" name="Frame2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438785" cy="175260"/>
                      <wp:effectExtent l="0" t="0" r="0" b="0"/>
                      <wp:wrapNone/>
                      <wp:docPr id="238" name="Frame23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33985" cy="175260"/>
                      <wp:effectExtent l="0" t="0" r="0" b="0"/>
                      <wp:wrapNone/>
                      <wp:docPr id="240" name="Frame2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505460" cy="175260"/>
                      <wp:effectExtent l="0" t="0" r="0" b="0"/>
                      <wp:wrapNone/>
                      <wp:docPr id="241" name="Frame24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42" name="Frame2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33985" cy="175260"/>
                      <wp:effectExtent l="0" t="0" r="0" b="0"/>
                      <wp:wrapNone/>
                      <wp:docPr id="243" name="Frame2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534035" cy="175260"/>
                      <wp:effectExtent l="0" t="0" r="0" b="0"/>
                      <wp:wrapNone/>
                      <wp:docPr id="244" name="Frame24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0"/>
              <w:ind w:left="0" w:right="0" w:hanging="0"/>
              <w:jc w:val="center"/>
              <w:rPr/>
            </w:pPr>
            <w:r>
              <w:rPr/>
              <w:t> </w:t>
            </w:r>
          </w:p>
        </w:tc>
        <w:tc>
          <w:tcPr>
            <w:tcW w:w="23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 amounts in thousands)</w:t>
            </w:r>
          </w:p>
        </w:tc>
        <w:tc>
          <w:tcPr>
            <w:tcW w:w="326" w:type="dxa"/>
            <w:tcBorders/>
            <w:vAlign w:val="center"/>
          </w:tcPr>
          <w:p>
            <w:pPr>
              <w:pStyle w:val="TableContents"/>
              <w:bidi w:val="0"/>
              <w:spacing w:before="0" w:after="0"/>
              <w:ind w:left="0" w:right="0" w:hanging="0"/>
              <w:jc w:val="center"/>
              <w:rPr/>
            </w:pPr>
            <w:r>
              <w:rPr/>
              <w:t>    </w:t>
            </w:r>
          </w:p>
        </w:tc>
        <w:tc>
          <w:tcPr>
            <w:tcW w:w="22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26" w:type="dxa"/>
            <w:tcBorders/>
            <w:vAlign w:val="center"/>
          </w:tcPr>
          <w:p>
            <w:pPr>
              <w:pStyle w:val="TableContents"/>
              <w:bidi w:val="0"/>
              <w:spacing w:before="0" w:after="0"/>
              <w:ind w:left="0" w:right="0" w:hanging="0"/>
              <w:jc w:val="center"/>
              <w:rPr/>
            </w:pPr>
            <w:r>
              <w:rPr/>
              <w:t>    </w:t>
            </w:r>
          </w:p>
        </w:tc>
        <w:tc>
          <w:tcPr>
            <w:tcW w:w="23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2022</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(46,760)</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29,774</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in cash</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20,640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(24,318)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(17,945)</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Nine Months ended September 30, 2023 compared to Nine Months ended September 30, 2022</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flows used in Operating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nine months ended September 30, 2023, major operating activities over this period involved the continuation of environmental work following the NORI integrated collector test which was concluded in November 2022, as well as advanced work on engineering and pre-feasibility studies as we advance towards our application to the ISA for an exploitation contract and prepare for potential future commercial production.  Net cash used in operating activities in the first nine months of 2023, amounted to $44.4 million, and consisted mainly of $24.8 million on various environmental work, $1.6 million spent on engineering and pre-feasibility studies, $7.5 million on personnel costs, $3.7 million on legal costs, $2.6 million for sponsorship, training, and stakeholder engagement support, and additional payments of $3.8 million for various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nine months ended September 30, 2022, operating activities focused mainly on the preparation and execution of the NORI integrated collector test which was concluded in November 2022.  Net cash used in operating activities in the first nine months of 2022 amounted to $46.8 million, consisting mainly of $21.1 million on various environmental work, $10.3 million for work on the PMTS, $7.0 million on personnel costs, $5.1 million on legal costs and other corporate activities, and additional payments of $3.1 million for various expenses including costs for engineering, communications and stakeholder engagements.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flows provided by (used in) Investing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Net cash provided by investing activities for the nine months ended September 30, 2023 was $4.8 million, primarily reflecting the cash received of $5 million on closing of our investment in Low Carbon Royalties.  In the comparative first nine months of 2022, cash used in investing activities was $0.9 million for the purchase of equipment.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flows provided by Financing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Net cash provided by financing activities for the nine months ended September 30, 2023 was $15.2 million, compared to $29.8 million in the first nine months of 2022.   The 2023 results represent the net proceeds received from the Registered Direct Offering announced in August 2023, while the 2022 results represent the net proceeds from the PIPE financing announced in August 2022.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NORI Exploration Contract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part of the NORI Exploration Contract with the ISA, NORI submitted a periodic review report to the ISA in 2021, covering the 2017-2021 period.  The periodic review report, which included a proposed work plan and estimated budget for 2022 to 2026, has been reviewed by and agreed with the ISA, and we are implementing the five-year plan. NORI has estimated its work plan for 2023 to be approximately $25 million, which may be settled in cash or equity. The cost of the estimated work plan for 2024 onwards is contingent on the ISA’s approval of the NORI Area D exploitation application. Should the approval of NORI’s exploitation application for NORI Area D be delayed or rejected, NORI intends to revise its estimated future work plan in respect of its NORI Area. Work plans are reviewed annually by us, agreed with the ISA and may be subject to change depending on our progress to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TOML Exploration Contract</w:t>
      </w:r>
    </w:p>
    <w:p>
      <w:pPr>
        <w:pStyle w:val="TextBody"/>
        <w:bidi w:val="0"/>
        <w:spacing w:before="0" w:after="240"/>
        <w:ind w:left="0" w:right="0" w:firstLine="360"/>
        <w:jc w:val="both"/>
        <w:rPr>
          <w:rFonts w:ascii="Times New Roman;Times;serif" w:hAnsi="Times New Roman;Times;serif"/>
          <w:sz w:val="20"/>
        </w:rPr>
      </w:pPr>
      <w:bookmarkStart w:id="1228" w:name="_Hlk95569997"/>
      <w:bookmarkStart w:id="1229" w:name="_Hlk95571539"/>
      <w:bookmarkEnd w:id="1228"/>
      <w:bookmarkEnd w:id="1229"/>
      <w:r>
        <w:rPr>
          <w:rFonts w:ascii="Times New Roman;Times;serif" w:hAnsi="Times New Roman;Times;serif"/>
          <w:sz w:val="20"/>
        </w:rPr>
        <w:t>As part of the TOML Exploration Contract, TOML submitted a periodic review report to the ISA in 2021, covering the 2017-2021 period. The periodic review report included a summary of work completed over the five-year period and a program of activities and estimated budget for the next five-year period.  On December 23, 2022, the ISA accepted TOML’s proposed program of activities for the 2022-2026 five-year period, which included an estimated five-year expenditure of up to $44 million. The five-year estimated expenditure is indicative and subject to change, TOML will review the program regularly and TOML will inform the ISA of any changes through its annual reports.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Marawa Option Agreement and Services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part of DGE’s Marawa Option Agreement and Services Agreement with Marawa with respect to the Marawa Area, Marawa committed to spend a defined amount of funds on exploration activities on an annual basis. The commitment for fiscal 2023 and 2024 is Australian dollar (“AUD”) $3 million and AUD $2 million, respectively. Such commitment is negotiated with the ISA for a five-year plan and is subject to regular periodic reviews. To date, limited offshore marine resource definition activities in the Marawa Contract Area have occurred. We expect to collaborate with Marawa to assess the viability of any potential project in the Marawa Contract Area, although the timing of such assessment is unclear. Marawa has delayed certain activities in the Marawa Contract Area while it determines how it will move forward with additional assessment work.</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Regulatory Obligations Relating to Exploration Contracts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Each of TOML and NORI require sponsorship from their host sponsoring nations, Tonga and Nauru, respectively. Each company has been registered and incorporated within the applicable host nation’s jurisdiction. The ISA requires that a contractor must obtain and maintain sponsorship by a host nation that is a member of the ISA and such state must maintain effective supervision and regulatory control over such sponsored contractor. Each of TOML and NORI is subject to the registration and incorporation requirements of these nations. In the event the sponsorship is otherwise terminated, such subsidiary will be required to obtain new sponsorship from another state that is a member of the ISA. Failure to obtain such new sponsorship would have a material impact on the operations of such subsidiary and us.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Sponsorship Agreements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July 5, 2017, Nauru, the Nauru Seabed Minerals Authority and NORI entered into the NORI Sponsorship Agreement formalizing certain obligations of the parties in relation to NORI’s exploration and potential exploitation of the NORI Area. Upon reaching the minimum recovery level within the exploitation contract area, NORI will pay Nauru a seabed mineral recovery payment based on the polymetallic nodules recovered from the exploitation contract area. In addition, NORI will pay an administration fee each year to Nauru for such administration and sponsorship, which is subject to review and increase in the event NORI is granted an ISA exploitation contract.  </w:t>
      </w:r>
      <w:r>
        <w:rPr>
          <w:rFonts w:ascii="Times New Roman PS Std" w:hAnsi="Times New Roman PS Std"/>
          <w:sz w:val="20"/>
        </w:rPr>
        <w:t xml:space="preserve">NORI has begun discussions with the Government of Nauru to renegotiate the existing sponsorship agreement and has also committed to ensuring NORI pays corporate income tax within Nauru, assuming our future operations are ultimately profitable.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8, 2008, Tonga and TOML entered into the TOML Sponsorship Agreement formalizing certain obligations of the parties in relation to TOML’s exploration and potential exploitation of the TOML Area. On September 23, 2021, Tonga updated the TOML Sponsorship Agreement harmonizing the terms of its engagement with TOML with those held by NORI with Nauru.  </w:t>
      </w:r>
      <w:r>
        <w:rPr>
          <w:rFonts w:ascii="Times New Roman PS Std" w:hAnsi="Times New Roman PS Std"/>
          <w:sz w:val="20"/>
        </w:rPr>
        <w:t>TOML expects to renegotiate the existing sponsorship agreement with Tonga prior to entering into operations in the TOML Area and has committed to paying corporate income tax within Tonga assuming our future operations are ultimately profitable.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Allseas Agreements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29, 2019, we entered into a strategic alliance with Allseas to develop a system to collect, lift and transport nodules from the seafloor to shore and agreed to enter into a nodule collection and shipping agreement whereby Allseas would provide commercial services for the collection of the first 200 million metric tonnes of polymetallic nodules on a cost plus 50% profit basis. In furtherance of this agreement, on July 8, 2019, we entered into a Pilot Mining Test Agreement with Allseas (“PMTA”), which was amended on five occasions through February 2023, to develop and deploy a PMTS, successful completion of which is a prerequisite for our application for an exploitation contract with the ISA.  Under the PMTA, Allseas agreed to cover the development cost of the project in exchange for a payment from us upon successful completion of the pilot trial of the PMTS in NORI Area 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March 16, 2022, NORI and Allseas entered into a non-binding term sheet for the development and operation of a commercial nodule collection system. The pilot nodule collection system developed and tested by Allseas is expected to be upgraded to a commercial system with an expanded targeted production capacity of an estimated 3.0 million tonnes of wet nodules per year, to be delivered in stepped increments, with expected production readiness in the fourth quarter of 2025.  NORI and Allseas intend to equally finance all costs related to developing and getting the first commercial system into production.  Once in production, NORI is expected to pay Allseas a nodule collection and transshipment fee and, as Allseas scales up production to an estimated 3.0 million wet tonnes of nodules per year, it is expected that unit costs will be reduced. Following the successful completion of the NORI Area D pilot collection system trials in November 2022 and subsequent analysis of pilot data, the parties are reviewing Project Zero Offshore System production targets, system design and cost estimates and intend to enter into a binding Heads of Terms by the end of 2023. The parties expect to further detail their relationship in three separate definitive agreements for engineering, conversion/build and commercial operations phase, respectively. Subject to the necessary regulatory approvals, Allseas and NORI also intend to investigate acquiring a second production vessel similar to the </w:t>
      </w:r>
      <w:r>
        <w:rPr>
          <w:rFonts w:ascii="Times New Roman;Times;serif" w:hAnsi="Times New Roman;Times;serif"/>
          <w:i/>
          <w:sz w:val="20"/>
        </w:rPr>
        <w:t>Hidden Gem</w:t>
      </w:r>
      <w:r>
        <w:rPr>
          <w:rFonts w:ascii="Times New Roman;Times;serif" w:hAnsi="Times New Roman;Times;serif"/>
          <w:sz w:val="20"/>
        </w:rPr>
        <w:t>, another Samsung 10000, with the potential for an additional production rate of three million tonnes of wet nodules per year and lower associated per tonne production cost.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Through September 30, 2023, we have made the following payments to Allseas under the PMTA: (a) $10 million in cash in February 2020, (b) $10 million through the issuance of 3.2 million common shares valued at $3.11 per share in February 2020, (c) issued Allseas a warrant to purchase 11.6 million common shares at a nominal exercise price per share in March 2021, (d) $10 million in cash in October 2021, following the closing of the Business Combination and meeting certain progress targets on the PMTS and (e) on February 23, 2023 issued 10.85 million common shares to Allseas, as described below.  On August 9, 2023, 11,578,620 common shares were issued to Allseas upon the exercise of the warrant that was granted to Allseas in March 2021, and receipt of the exercise fee of $115.8 thousand. The warrant vested and became exercisable on successful completion of the PMTS in November 2022.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November 11, 2022, the board of directors approved the successful completion and testing of the PMTS in the NORI Area D and payment of the third milestone amounting to $10 million and additional costs owed to Allseas under the PMTA by issuing 10.85 million common shares to Allseas priced at $1.00 per share on February 23, 2023.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August 1, 2023, we entered into an Exclusive Vessel Use Agreement with Allseas pursuant to which Allseas will give us exclusive use of the vessel (“</w:t>
      </w:r>
      <w:r>
        <w:rPr>
          <w:rFonts w:ascii="Times New Roman;Times;serif" w:hAnsi="Times New Roman;Times;serif"/>
          <w:i/>
          <w:sz w:val="20"/>
        </w:rPr>
        <w:t>Hidden Gem”</w:t>
      </w:r>
      <w:r>
        <w:rPr>
          <w:rFonts w:ascii="Times New Roman;Times;serif" w:hAnsi="Times New Roman;Times;serif"/>
          <w:sz w:val="20"/>
        </w:rPr>
        <w:t>) in support of the development of the Project Zero Offshore System until the system is completed or December 31, 2026, whichever is earlier. In consideration of the exclusivity term, on August 14, 2023, we issued 4.15 million common shares to Allseas.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Offtake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May 25, 2012, DGE and Glencore International AG (“Glencore”) entered into a copper offtake agreement and a nickel offtake agreement. DGE has agreed to deliver to Glencore 50% of the annual quantity of copper and nickel produced by a DGE-owned facility from nodules derived from the NORI Area at London Metal Exchange referenced market pricing with allowances for product quality and delivery location. Either party may terminate the agreement upon a material breach or insolvency of the other party. Glencore may also terminate the agreement by giving twelve months’ notice.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Credit Facility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described above, on March 22, 2023 we entered into the Credit Facility with Argentum Credit Virtuti GCV, an affiliate of Allseas, under which we may borrow up to $25 million pursuant to the terms and conditions of the Credit Facility, which was amended on July 31, 2023 to extend the maturity date to November 30, 2024.</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not party to any off-balance sheet arrangements.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Critical Accounting Policies and Significant Judgments and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management’s discussion and analysis of our financial condition and results of operations is based on our condensed consolidated interim financial statements, which have been prepared in accordance with U.S. GAAP. The preparation of these condensed consolidated interim financial statements requires us to make estimates and assumptions that affect the reported amounts of assets and liabilities and the disclosure of contingent assets and liabilities at the date of these statements, as well as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Except as described in Note 5 to our condensed consolidated interim financial statements included in this Quarterly Report on Form 10-Q, there have been no material changes to our critical accounting policies and estimates as compared to the critical accounting policies and estimates disclosed in our 2022 Annual Report on Form 10-K.</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Emerging Growth Company Status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Section 102(b)(1) of the Jumpstart Our Business Startups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an “emerging growth company” as defined in Section 2(a) of the Securities Act and have elected to take advantage of the benefits of the extended transition period for new or revised financial accounting standards. Following the closing of the Business Combination, we expect to remain an emerging growth company at least through the end of the 2023 fiscal year and we expect to continue to take advantage of the benefits of the extended transition period at least through to the end of the 2023 fiscal year,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Cautionary Statements Regarding the NORI Initial Assessment and TOML Mineral Resource Statement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estimated the size and quality of our resource in the NORI and TOML Areas, as described below, in our SEC Regulation S-K (subpart 1300) compliant Technical Report Summary - Initial Assessment, of the NORI Property, Clarion-Clipperton Zone, Pacific Ocean dated March 17, 2021 (“NORI Initial Assessment”) and Technical Report Summary - TOML Mineral Resource, Clarion-Clipperton Zone, Pacific Ocean dated March 26, 2021 (“TOML Mineral Resource Statement”), respectively, prepared by AMC Consultants Ltd. (“AMC”). We plan to continue to estimate our resources in the NORI and TOML Areas and develop the project economics. The initial assessment included in the NORI Initial Assessment Report is a conceptual study of the potential viability of mineral resources in NORI Area D. This initial assessment indicates that development of the mineral resource in NORI Area D is potentially technically and economically viable; however, due to the preliminary nature of project planning and design, and the untested nature of the specific seafloor production systems at a commercial scale, economic viability has not yet been demonstrated.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NORI Initial Assessment and TOML Mineral Resource Statement do not include the conversion of mineral resources to mineral reserves.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used in this Quarterly Report on Form 10-Q or in the applicable report summary, the terms “mineral resource,” “measured mineral resource,” “indicated mineral resource” and “inferred mineral resource”, as applicable, are defined and used in accordance with the SEC Mining Rules.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You are specifically cautioned not to assume that any part or all of the mineral deposits in these categories will ever be converted into mineral reserves, as defined by the SEC. You are also cautioned that mineral resources do not have demonstrated economic value. Information concerning our mineral properties in the NORI and TOML Technical Report Summaries and in this Quarterly Report on Form 10-Q includes information that has been prepared in accordance with the requirements of the SEC Mining Rules forth in subpart 1300 of Regulation S-K. Under SEC standards, mineralization, such as mineral resources, may not be classified as a “reserve” unless the determination has been made that the mineralization would be economically and legally produced or extracted at the time of the reserve determination. Inferred mineral resources have a high degree of uncertainty as to their existence and to whether they can be 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is categorized as measured or indicated.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Likewise, you are cautioned not to assume that all or any part of measured or indicated mineral resources will ever be upgraded to mineral reserves.</w:t>
      </w:r>
    </w:p>
    <w:p>
      <w:pPr>
        <w:pStyle w:val="TextBody"/>
        <w:pBdr/>
        <w:bidi w:val="0"/>
        <w:spacing w:before="0" w:after="240"/>
        <w:ind w:left="0" w:right="0" w:hanging="720"/>
        <w:jc w:val="left"/>
        <w:rPr>
          <w:rFonts w:ascii="Times New Roman;Times;serif" w:hAnsi="Times New Roman;Times;serif"/>
          <w:b/>
          <w:sz w:val="20"/>
        </w:rPr>
      </w:pPr>
      <w:bookmarkStart w:id="1230" w:name="Item3QuantitativeandQualitativeDisclosur"/>
      <w:bookmarkStart w:id="1231" w:name="_3b27eebc_b202_407d_8e93_146470c71cc2"/>
      <w:bookmarkEnd w:id="1230"/>
      <w:bookmarkEnd w:id="1231"/>
      <w:r>
        <w:rPr>
          <w:rFonts w:ascii="Times New Roman;Times;serif" w:hAnsi="Times New Roman;Times;serif"/>
          <w:b/>
          <w:sz w:val="20"/>
        </w:rPr>
        <w:t>Item 3.    Quantitative and Qualitative Disclosures About Market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exposed to a variety of markets and other risks including the effects of change in interest rates, inflation and foreign currency translation and transaction risks as well as risks to the availability of funding sources, hazard events, specific asset risks, regulatory risks, public policy risks and technology risks. We also expect to be exposed to commodity risks if and when we commence commercial production.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Interest Rate Risk and Credit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Interest rate risk is the risk that the fair value of our future cash flows and our financial instruments will fluctuate because of changes in market interest rates.</w:t>
      </w:r>
    </w:p>
    <w:p>
      <w:pPr>
        <w:pStyle w:val="TextBody"/>
        <w:bidi w:val="0"/>
        <w:spacing w:before="0" w:after="240"/>
        <w:ind w:left="0" w:right="0" w:firstLine="360"/>
        <w:jc w:val="both"/>
        <w:rPr>
          <w:rFonts w:ascii="Times New Roman;Times;serif" w:hAnsi="Times New Roman;Times;serif"/>
          <w:sz w:val="20"/>
        </w:rPr>
      </w:pPr>
      <w:r>
        <w:rPr>
          <w:rFonts w:ascii="Times New Roman PS Std" w:hAnsi="Times New Roman PS Std"/>
          <w:sz w:val="20"/>
        </w:rPr>
        <w:t>Our current practice is to invest excess cash in investment-grade</w:t>
      </w:r>
      <w:r>
        <w:rPr>
          <w:rFonts w:ascii="Times New Roman;Times;serif" w:hAnsi="Times New Roman;Times;serif"/>
          <w:sz w:val="20"/>
        </w:rPr>
        <w:t> </w:t>
      </w:r>
      <w:r>
        <w:rPr>
          <w:rFonts w:ascii="Times New Roman PS Std" w:hAnsi="Times New Roman PS Std"/>
          <w:sz w:val="20"/>
        </w:rPr>
        <w:t>short-term</w:t>
      </w:r>
      <w:r>
        <w:rPr>
          <w:rFonts w:ascii="Times New Roman;Times;serif" w:hAnsi="Times New Roman;Times;serif"/>
          <w:sz w:val="20"/>
        </w:rPr>
        <w:t> </w:t>
      </w:r>
      <w:r>
        <w:rPr>
          <w:rFonts w:ascii="Times New Roman PS Std" w:hAnsi="Times New Roman PS Std"/>
          <w:sz w:val="20"/>
        </w:rPr>
        <w:t>deposit certificates issued by reputable Canadian financial institutions with which we keep our bank accounts and management believes the risk of loss to be remote. We periodically monitor the investments we make and are satisfied with the credit ratings of our banks. Due to the current high cash need of our operating plan, we have kept our funds readily available, placed in secure, highly liquid interest-bearing investments, as at September 30, 2023.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Credit risk is a risk of loss that may arise on outstanding financial instruments should a counter party default on its obligation. Our receivables consist primarily of general sales tax due from the Federal Government of Canada and as a result, the risk of default is considered to be low. Once we commence commercial production, we expect our credit risk to rise with our increased customer base.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Foreign Currency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Foreign currency risk is the risk that the fair value or future cash flows of an exposure will fluctuate because of changes in foreign exchange rates. Our exposure to the risk of changes in foreign exchange rates relates our transactions in foreign currencies, primarily in the Canadian dollar, the Australian dollar, the Euro and the Great British Pound. We primarily hold our cash in U.S. dollars and settle our foreign currency payables soon after the receipt of invoices thereby minimizing the foreign currency exposure.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Once we commence commercial production, we expect to be exposed to both currency transaction and translation risk. To date, we have not had material exposure to foreign currency fluctuations and have not hedged such exposure, although we may do so in the future.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Commodity Price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expect to engage in the collection, transport, processing and sale of products containing nickel, copper, manganese and cobalt from the polymetallic nodules collected from our contract areas of the CCZ. Accordingly, we expect the principal source of future revenue to be the sale of products containing nickel, copper, manganese and cobalt. A significant and sustained decrease in the price of these metals from current levels could have a material and negative impact on our business,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720"/>
        <w:jc w:val="left"/>
        <w:rPr>
          <w:rFonts w:ascii="Times New Roman;Times;serif" w:hAnsi="Times New Roman;Times;serif"/>
          <w:b/>
          <w:sz w:val="20"/>
        </w:rPr>
      </w:pPr>
      <w:bookmarkStart w:id="1232" w:name="Item4ControlsandProcedures_279483"/>
      <w:bookmarkStart w:id="1233" w:name="_d02c4ba3_4415_4cf8_b368_e98e650d9ed8"/>
      <w:bookmarkEnd w:id="1232"/>
      <w:bookmarkEnd w:id="1233"/>
      <w:r>
        <w:rPr>
          <w:rFonts w:ascii="Times New Roman;Times;serif" w:hAnsi="Times New Roman;Times;serif"/>
          <w:b/>
          <w:sz w:val="20"/>
        </w:rPr>
        <w:t>Item 4.    Controls and Procedures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supervision and with the participation of our management, including our principal executive officer and principal financial officer, we conducted an evaluation of the effectiveness of the design and operation of our disclosure controls and procedures, as defined in Rules 13a-15(e) and 15d-15(e) under the Exchange Act.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on the evaluation of our disclosure controls and procedures, our Chief Executive Officer and Chief Financial Officer concluded that our disclosure controls and procedures were effective as of September 30, 2023.</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that occurred during the three months ended September 30, 2023 that have materially affected, or are reasonably likely to materially affect, our internal control over financial reporting.</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Limitations on the Effectiveness of Disclosure Controls and Procedures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234" w:name="PARTIIOTHERINFORMATION_322011"/>
      <w:bookmarkStart w:id="1235" w:name="_a24f640c_8fb9_4fa5_8105_4903c24db4f4"/>
      <w:bookmarkEnd w:id="1234"/>
      <w:bookmarkEnd w:id="1235"/>
      <w:r>
        <w:rPr>
          <w:rFonts w:ascii="Times New Roman;Times;serif" w:hAnsi="Times New Roman;Times;serif"/>
          <w:b/>
          <w:sz w:val="20"/>
        </w:rPr>
        <w:t>PART II – OTHER INFORMATION</w:t>
      </w:r>
    </w:p>
    <w:p>
      <w:pPr>
        <w:pStyle w:val="TextBody"/>
        <w:pBdr/>
        <w:bidi w:val="0"/>
        <w:spacing w:before="0" w:after="240"/>
        <w:ind w:left="0" w:right="0" w:hanging="825"/>
        <w:jc w:val="left"/>
        <w:rPr>
          <w:rFonts w:ascii="Times New Roman;Times;serif" w:hAnsi="Times New Roman;Times;serif"/>
          <w:b/>
          <w:sz w:val="20"/>
        </w:rPr>
      </w:pPr>
      <w:bookmarkStart w:id="1236" w:name="ITEM1LEGALPROCEEDINGS_208283"/>
      <w:bookmarkEnd w:id="1236"/>
      <w:r>
        <w:rPr>
          <w:rFonts w:ascii="Times New Roman;Times;serif" w:hAnsi="Times New Roman;Times;serif"/>
          <w:b/>
          <w:sz w:val="20"/>
        </w:rPr>
        <w:t>ITEM 1.    LEGAL PROCEEDINGS.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Except as set forth below, we are not currently a party to any material legal proceedings.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September 20, 2021, we commenced litigation in the New York Supreme Court, New York County against two investors who failed to fund their investment commitments in connection with the closing of the Business Combination. These actions are captioned Sustainable Opportunities Acquisition Corp. n/k/a TMC the metals company Inc. v. Ethos Fund I, LP, Ethos GP, LLC, Ethos DeepGreen PIPE, LLC, and Ethos Manager, LLC, Index No. 655527/2021 (N.Y. Sup. Ct.) and Sustainable Opportunities Acquisition Corp. n/k/a TMC the metals company Inc. v. Ramas Capital Management, LLC, Ramas Energy Opportunities I, LP, Ramas Energy Opportunities I GP, LLC, and Ganesh Betanabhatla, Index No. 655528/2021 (N.Y. Sup. Ct.). The operative complaints allege that the investors breached the relevant subscription agreement and that the investors’ affiliates tortiously interfered with the subscription agreements by causing the investor not to fund its contractual obligations. We are seeking compensatory damages (plus interest), equitable relief, expenses, costs, and attorneys’ fees. On December 17, 2021, the defendants at Ethos moved to dismiss the complaint which was unsuccessful. The matter is proceeding into the discovery phase.  There can be no assurances, however, that we will be successful in our efforts against these investors.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October 28, 2021, a shareholder filed a putative class action against us, one of our executive and former director in federal district court for the Eastern District of New York, captioned Caper v. TMC The Metals Company Inc. F/K/A Sustainable Opportunities Acquisition Corp., Gerard Barron and Scott Leonard. The complaint alleges that all defendants violated Section 10(b) of the Exchange Act of 1934 and Rule 10b-5 promulgated thereunder, and Messrs. Barron and Leonard violated Section 20(a) of the Exchange Act, by making false and/or misleading statements and/or failing to disclose information about our operations and prospects during the period from March 4, 2021 and October 5, 2021. On November 15, 2021, a second complaint containing substantially the same allegations was filed, captioned Tran v. TMC the Metals Company, Inc. These cases have been consolidated. On March 6, 2022, a lead plaintiff was selected. An amended complaint was filed on May 12, 2022, reflecting substantially similar allegations, with the Plaintiff seeking to recover compensable damages caused by the alleged wrongdoings. We deny any allegations of wrongdoing and filed and served the plaintiff a motion to dismiss on July 12, 2022 and intend to defend against this lawsuit. On July 12, 2023, an oral hearing on the motion to dismiss was held. The parties are currently awaiting a ruling. There is no assurance, however, that we or the other defendants will be successful in our defense of this lawsuit or that insurance will be available or adequate to fund any settlement or judgment or the litigation costs of this action. If the motion to dismiss is unsuccessful, there is a possibility that we may incur a loss in this matter. Such losses or range of possible losses cannot be reliably estimated. A resolution of this lawsuit adverse to us or the other defendants, however, could have a material effect on our financial position and results of operations in the period in which the lawsuit is resolved.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February 2022, we received letters from the SEC notifying us of an investigation and requesting the voluntary production of documents and information regarding our 2020 acquisition of Tonga Offshore Mining Limited from Deep Sea Mining Finance Ltd. and our Business Combination with SOAC.  The Company is continuing to cooperate with the investigation and respond voluntarily to the SEC’s requests.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January 23, 2023, an investor in the 2021 private placement from the Business Combination filed a lawsuit against us in New York Supreme Court, New York County, captioned Atalaya Special Purpose Investment Fund II LP et al. v. Sustainable Opportunities Acquisition Corp. n/k/a TMC The Metals Company Inc., Index No. 650449/2023 (N.Y. Sup. Ct.).  We filed a motion to dismiss on March 31, 2023, after which the plaintiffs filed an amended complaint on June 5, 2023.  The amended complaint alleges that we breached the representations and warranties in the plaintiff’s private placement Subscription Agreement and breached the covenant of good faith and fair dealing.  The Plaintiffs are seeking to recover compensable damages caused by the alleged wrongdoings.  We deny any allegations of wrongdoing and filed a motion to dismiss the amended complaint on July 28, 2023.  An Oral Hearing on the Motion to Dismiss has been scheduled for December 7, 2023. There is no assurance, however, that we will be successful in our defense of this lawsuit or that insurance will be available or adequate to fund any settlement or judgment or the litigation costs of this action. If the motion to dismiss is unsuccessful, there is a possibility that we may incur a loss in this matter. Such losses or range of possible losses cannot be reliably estimated.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907"/>
        <w:jc w:val="left"/>
        <w:rPr>
          <w:rFonts w:ascii="Times New Roman;Times;serif" w:hAnsi="Times New Roman;Times;serif"/>
          <w:b/>
          <w:sz w:val="20"/>
        </w:rPr>
      </w:pPr>
      <w:bookmarkStart w:id="1237" w:name="ITEM1ARISKFACTORS_765069"/>
      <w:bookmarkStart w:id="1238" w:name="_dda3562c_ddc8_4d32_8837_c6f59c5f6cd9"/>
      <w:bookmarkEnd w:id="1237"/>
      <w:bookmarkEnd w:id="1238"/>
      <w:r>
        <w:rPr>
          <w:rFonts w:ascii="Times New Roman;Times;serif" w:hAnsi="Times New Roman;Times;serif"/>
          <w:b/>
          <w:sz w:val="20"/>
        </w:rPr>
        <w:t>ITEM 1A.  RISK FACTORS.</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You should carefully review and consider the information regarding certain factors that could materially affect our business, consolidated financial condition or results of operations set forth under Item 1A. Risk Factors in our 2022 Annual Report on Form 10-K filed on March 27, 2023 as updated and/or supplemented in subsequent filings made with the SEC. There have been no material changes from or additions to the risk factors disclosed in our 2022 Annual Report on Form 10-K filed on March 27, 2023, as updated and/or supplemented in subsequent filings made with the SEC other than the revised risk factors set forth below. We may disclose changes to risk factors or additional factors from time to time in our future filings with the SEC.</w:t>
      </w:r>
    </w:p>
    <w:p>
      <w:pPr>
        <w:pStyle w:val="TextBody"/>
        <w:bidi w:val="0"/>
        <w:spacing w:before="0" w:after="24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 xml:space="preserve">There can be no assurance that the Environmental Impact Assessment Post Collector Test will be successful. </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In October 2023 we entered into a Services Agreement with a third party to conduct an assessment of the benthic impact of the 2022 Collector Test at a period of approximately 12 months post the Collector Test activities (the “Post-Collector Environmental Assessment”). The information and data obtained from the Post-Collector Environmental Assessment will be used in our NORI Area D exploitation application.  There can be no assurances that the Post-Collector Environmental Assessment will be successful or that such information and data obtained will be adequate for the NORI Area D exploitation application. </w:t>
      </w:r>
    </w:p>
    <w:p>
      <w:pPr>
        <w:pStyle w:val="TextBody"/>
        <w:pBdr/>
        <w:bidi w:val="0"/>
        <w:spacing w:before="0" w:after="240"/>
        <w:ind w:left="0" w:right="0" w:hanging="855"/>
        <w:jc w:val="left"/>
        <w:rPr>
          <w:rFonts w:ascii="Times New Roman;Times;serif" w:hAnsi="Times New Roman;Times;serif"/>
          <w:b/>
          <w:sz w:val="20"/>
        </w:rPr>
      </w:pPr>
      <w:bookmarkStart w:id="1239" w:name="ITEM2UNREGISTEREDSALESOFEQUITYSECURITIES"/>
      <w:bookmarkStart w:id="1240" w:name="_619689b8_8d84_4eca_8734_ea0afbd470b1"/>
      <w:bookmarkEnd w:id="1239"/>
      <w:bookmarkEnd w:id="1240"/>
      <w:r>
        <w:rPr>
          <w:rFonts w:ascii="Times New Roman;Times;serif" w:hAnsi="Times New Roman;Times;serif"/>
          <w:b/>
          <w:sz w:val="20"/>
        </w:rPr>
        <w:t>ITEM 2.    Unregistered Sales of Equity Securities, Use of Proceeds, and Issuer Purchases of Equity Securities</w:t>
      </w:r>
    </w:p>
    <w:p>
      <w:pPr>
        <w:pStyle w:val="TextBody"/>
        <w:pBdr/>
        <w:bidi w:val="0"/>
        <w:spacing w:before="0" w:after="240"/>
        <w:ind w:left="0" w:right="0" w:hanging="855"/>
        <w:jc w:val="left"/>
        <w:rPr>
          <w:rFonts w:ascii="Times New Roman;Times;serif" w:hAnsi="Times New Roman;Times;serif"/>
          <w:b/>
          <w:i/>
          <w:sz w:val="20"/>
        </w:rPr>
      </w:pPr>
      <w:r>
        <w:rPr>
          <w:rFonts w:ascii="Times New Roman;Times;serif" w:hAnsi="Times New Roman;Times;serif"/>
          <w:b/>
          <w:i/>
          <w:sz w:val="20"/>
        </w:rPr>
        <w:t>Unregistered Sales of Equity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August 9, 2023, we issued 11,578,620 common shares to Allseas in connection with Allseas’ exercise of the Allseas Warrant for an aggregate cash exercise price of $115.8 thousand.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August 1, 2023, issued 4.15 million common shares to Allseas in connection with the signing of an Exclusive Vessel Use Agreement with Allseas, giving TMC exclusive use of the </w:t>
      </w:r>
      <w:r>
        <w:rPr>
          <w:rFonts w:ascii="Times New Roman;Times;serif" w:hAnsi="Times New Roman;Times;serif"/>
          <w:i/>
          <w:sz w:val="20"/>
        </w:rPr>
        <w:t>Hidden Gem</w:t>
      </w:r>
      <w:r>
        <w:rPr>
          <w:rFonts w:ascii="Times New Roman;Times;serif" w:hAnsi="Times New Roman;Times;serif"/>
          <w:sz w:val="20"/>
        </w:rPr>
        <w:t xml:space="preserve"> for a specified period of time.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These common shares were issued pursuant to and in accordance with the exemption from registration under Section 4(a)(2) of the Securities Act.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Issuer Purchases of Equity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did not repurchase any of our equity securities during the three and nine months ended September 30, 2023.</w:t>
      </w:r>
    </w:p>
    <w:p>
      <w:pPr>
        <w:pStyle w:val="TextBody"/>
        <w:pBdr/>
        <w:bidi w:val="0"/>
        <w:spacing w:before="0" w:after="240"/>
        <w:ind w:left="0" w:right="0" w:hanging="850"/>
        <w:jc w:val="left"/>
        <w:rPr>
          <w:rFonts w:ascii="Times New Roman;Times;serif" w:hAnsi="Times New Roman;Times;serif"/>
          <w:b/>
          <w:sz w:val="20"/>
        </w:rPr>
      </w:pPr>
      <w:bookmarkStart w:id="1241" w:name="ITEM3DEFAULTSUPONSENIORSECURITIES_440018"/>
      <w:bookmarkStart w:id="1242" w:name="_249858a5_aff8_4f59_9b51_d9878f91d3be"/>
      <w:bookmarkEnd w:id="1241"/>
      <w:bookmarkEnd w:id="1242"/>
      <w:r>
        <w:rPr>
          <w:rFonts w:ascii="Times New Roman;Times;serif" w:hAnsi="Times New Roman;Times;serif"/>
          <w:b/>
          <w:sz w:val="20"/>
        </w:rPr>
        <w:t>ITEM 3.    DEFAULTS UPON SENIOR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pBdr/>
        <w:bidi w:val="0"/>
        <w:spacing w:before="0" w:after="240"/>
        <w:ind w:left="0" w:right="0" w:hanging="855"/>
        <w:jc w:val="left"/>
        <w:rPr>
          <w:rFonts w:ascii="Times New Roman;Times;serif" w:hAnsi="Times New Roman;Times;serif"/>
          <w:b/>
          <w:sz w:val="20"/>
        </w:rPr>
      </w:pPr>
      <w:bookmarkStart w:id="1243" w:name="ITEM4MINESAFETYDISCLOSURES_620629"/>
      <w:bookmarkStart w:id="1244" w:name="_e0c8b5f3_4d79_45d2_8f65_e7faae384c2e"/>
      <w:bookmarkEnd w:id="1243"/>
      <w:bookmarkEnd w:id="1244"/>
      <w:r>
        <w:rPr>
          <w:rFonts w:ascii="Times New Roman;Times;serif" w:hAnsi="Times New Roman;Times;serif"/>
          <w:b/>
          <w:sz w:val="20"/>
        </w:rPr>
        <w:t>ITEM 4.    MINE SAFETY DISCLOSURES.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pBdr/>
        <w:bidi w:val="0"/>
        <w:spacing w:before="0" w:after="240"/>
        <w:ind w:left="0" w:right="0" w:hanging="850"/>
        <w:jc w:val="left"/>
        <w:rPr>
          <w:rFonts w:ascii="Times New Roman;Times;serif" w:hAnsi="Times New Roman;Times;serif"/>
          <w:b/>
          <w:sz w:val="20"/>
        </w:rPr>
      </w:pPr>
      <w:bookmarkStart w:id="1245" w:name="ITEM5OTHERINFORMATION_798310"/>
      <w:bookmarkStart w:id="1246" w:name="_8e5c8341_0fab_4b0b_8a2f_957dafb76466"/>
      <w:bookmarkEnd w:id="1245"/>
      <w:bookmarkEnd w:id="1246"/>
      <w:r>
        <w:rPr>
          <w:rFonts w:ascii="Times New Roman;Times;serif" w:hAnsi="Times New Roman;Times;serif"/>
          <w:b/>
          <w:sz w:val="20"/>
        </w:rPr>
        <w:t>ITEM 5.    OTHER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850"/>
        <w:jc w:val="left"/>
        <w:rPr>
          <w:rFonts w:ascii="Times New Roman;Times;serif" w:hAnsi="Times New Roman;Times;serif"/>
          <w:b/>
          <w:sz w:val="20"/>
        </w:rPr>
      </w:pPr>
      <w:bookmarkStart w:id="1247" w:name="ITEM6EXHIBITS_305687"/>
      <w:bookmarkStart w:id="1248" w:name="_f6a538a4_6b52_4151_95ce_59e4362ca2e5"/>
      <w:bookmarkEnd w:id="1247"/>
      <w:bookmarkEnd w:id="1248"/>
      <w:r>
        <w:rPr>
          <w:rFonts w:ascii="Times New Roman;Times;serif" w:hAnsi="Times New Roman;Times;serif"/>
          <w:b/>
          <w:sz w:val="20"/>
        </w:rPr>
        <w:t>ITEM 6.    EXHIBITS.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exhibits are filed as part of, or incorporated by reference into, this Quarterly Report on Form 10-Q.</w:t>
      </w:r>
    </w:p>
    <w:tbl>
      <w:tblPr>
        <w:tblW w:w="10205" w:type="dxa"/>
        <w:jc w:val="left"/>
        <w:tblInd w:w="0" w:type="dxa"/>
        <w:tblLayout w:type="fixed"/>
        <w:tblCellMar>
          <w:top w:w="0" w:type="dxa"/>
          <w:left w:w="0" w:type="dxa"/>
          <w:bottom w:w="0" w:type="dxa"/>
          <w:right w:w="0" w:type="dxa"/>
        </w:tblCellMar>
      </w:tblPr>
      <w:tblGrid>
        <w:gridCol w:w="742"/>
        <w:gridCol w:w="326"/>
        <w:gridCol w:w="4200"/>
        <w:gridCol w:w="326"/>
        <w:gridCol w:w="870"/>
        <w:gridCol w:w="326"/>
        <w:gridCol w:w="1138"/>
        <w:gridCol w:w="326"/>
        <w:gridCol w:w="645"/>
        <w:gridCol w:w="326"/>
        <w:gridCol w:w="980"/>
      </w:tblGrid>
      <w:tr>
        <w:trPr/>
        <w:tc>
          <w:tcPr>
            <w:tcW w:w="7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471170" cy="29210"/>
                      <wp:effectExtent l="0" t="0" r="0" b="0"/>
                      <wp:wrapNone/>
                      <wp:docPr id="245" name="Frame245"/>
                      <a:graphic xmlns:a="http://schemas.openxmlformats.org/drawingml/2006/main">
                        <a:graphicData uri="http://schemas.microsoft.com/office/word/2010/wordprocessingShape">
                          <wps:wsp>
                            <wps:cNvSpPr txBox="1"/>
                            <wps:spPr>
                              <a:xfrm>
                                <a:off x="0" y="0"/>
                                <a:ext cx="4711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29210"/>
                      <wp:effectExtent l="0" t="0" r="0" b="0"/>
                      <wp:wrapNone/>
                      <wp:docPr id="246" name="Frame246"/>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667000" cy="29210"/>
                      <wp:effectExtent l="0" t="0" r="0" b="0"/>
                      <wp:wrapNone/>
                      <wp:docPr id="247" name="Frame247"/>
                      <a:graphic xmlns:a="http://schemas.openxmlformats.org/drawingml/2006/main">
                        <a:graphicData uri="http://schemas.microsoft.com/office/word/2010/wordprocessingShape">
                          <wps:wsp>
                            <wps:cNvSpPr txBox="1"/>
                            <wps:spPr>
                              <a:xfrm>
                                <a:off x="0" y="0"/>
                                <a:ext cx="26670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7010" cy="29210"/>
                      <wp:effectExtent l="0" t="0" r="0" b="0"/>
                      <wp:wrapNone/>
                      <wp:docPr id="248" name="Frame248"/>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552450" cy="29210"/>
                      <wp:effectExtent l="0" t="0" r="0" b="0"/>
                      <wp:wrapNone/>
                      <wp:docPr id="249" name="Frame249"/>
                      <a:graphic xmlns:a="http://schemas.openxmlformats.org/drawingml/2006/main">
                        <a:graphicData uri="http://schemas.microsoft.com/office/word/2010/wordprocessingShape">
                          <wps:wsp>
                            <wps:cNvSpPr txBox="1"/>
                            <wps:spPr>
                              <a:xfrm>
                                <a:off x="0" y="0"/>
                                <a:ext cx="5524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29210"/>
                      <wp:effectExtent l="0" t="0" r="0" b="0"/>
                      <wp:wrapNone/>
                      <wp:docPr id="250" name="Frame250"/>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1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722630" cy="29210"/>
                      <wp:effectExtent l="0" t="0" r="0" b="0"/>
                      <wp:wrapNone/>
                      <wp:docPr id="251" name="Frame251"/>
                      <a:graphic xmlns:a="http://schemas.openxmlformats.org/drawingml/2006/main">
                        <a:graphicData uri="http://schemas.microsoft.com/office/word/2010/wordprocessingShape">
                          <wps:wsp>
                            <wps:cNvSpPr txBox="1"/>
                            <wps:spPr>
                              <a:xfrm>
                                <a:off x="0" y="0"/>
                                <a:ext cx="7226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29210"/>
                      <wp:effectExtent l="0" t="0" r="0" b="0"/>
                      <wp:wrapNone/>
                      <wp:docPr id="252" name="Frame252"/>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409575" cy="29210"/>
                      <wp:effectExtent l="0" t="0" r="0" b="0"/>
                      <wp:wrapNone/>
                      <wp:docPr id="253" name="Frame253"/>
                      <a:graphic xmlns:a="http://schemas.openxmlformats.org/drawingml/2006/main">
                        <a:graphicData uri="http://schemas.microsoft.com/office/word/2010/wordprocessingShape">
                          <wps:wsp>
                            <wps:cNvSpPr txBox="1"/>
                            <wps:spPr>
                              <a:xfrm>
                                <a:off x="0" y="0"/>
                                <a:ext cx="4095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07010" cy="29210"/>
                      <wp:effectExtent l="0" t="0" r="0" b="0"/>
                      <wp:wrapNone/>
                      <wp:docPr id="254" name="Frame254"/>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22300" cy="29210"/>
                      <wp:effectExtent l="0" t="0" r="0" b="0"/>
                      <wp:wrapNone/>
                      <wp:docPr id="255" name="Frame255"/>
                      <a:graphic xmlns:a="http://schemas.openxmlformats.org/drawingml/2006/main">
                        <a:graphicData uri="http://schemas.microsoft.com/office/word/2010/wordprocessingShape">
                          <wps:wsp>
                            <wps:cNvSpPr txBox="1"/>
                            <wps:spPr>
                              <a:xfrm>
                                <a:off x="0" y="0"/>
                                <a:ext cx="6223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4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w:t>
              <w:br/>
              <w:t>Number</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2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 Herewith</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3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Incorporated by</w:t>
              <w:br/>
              <w:t>Reference Herein</w:t>
              <w:br/>
              <w:t>from</w:t>
            </w:r>
            <w:r>
              <w:rPr>
                <w:rFonts w:ascii="Times New Roman;Times;serif" w:hAnsi="Times New Roman;Times;serif"/>
                <w:sz w:val="16"/>
              </w:rPr>
              <w:t xml:space="preserve"> </w:t>
              <w:br/>
            </w:r>
            <w:r>
              <w:rPr>
                <w:rFonts w:ascii="Times New Roman;Times;serif" w:hAnsi="Times New Roman;Times;serif"/>
                <w:b/>
                <w:sz w:val="16"/>
              </w:rPr>
              <w:t>Form or Schedule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SEC File/</w:t>
            </w:r>
            <w:r>
              <w:rPr>
                <w:rFonts w:ascii="Times New Roman;Times;serif" w:hAnsi="Times New Roman;Times;serif"/>
                <w:sz w:val="16"/>
              </w:rPr>
              <w:t xml:space="preserve"> </w:t>
            </w:r>
            <w:r>
              <w:rPr>
                <w:rFonts w:ascii="Times New Roman;Times;serif" w:hAnsi="Times New Roman;Times;serif"/>
                <w:b/>
                <w:sz w:val="16"/>
              </w:rPr>
              <w:t>Reg. Number</w:t>
            </w:r>
          </w:p>
        </w:tc>
      </w:tr>
      <w:tr>
        <w:trPr/>
        <w:tc>
          <w:tcPr>
            <w:tcW w:w="742"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26" w:type="dxa"/>
            <w:tcBorders/>
            <w:shd w:fill="CCEEFF" w:val="clear"/>
            <w:vAlign w:val="center"/>
          </w:tcPr>
          <w:p>
            <w:pPr>
              <w:pStyle w:val="TableContents"/>
              <w:bidi w:val="0"/>
              <w:spacing w:before="0" w:after="0"/>
              <w:ind w:left="0" w:right="0" w:hanging="0"/>
              <w:jc w:val="left"/>
              <w:rPr/>
            </w:pPr>
            <w:r>
              <w:rPr/>
              <w:t>​</w:t>
            </w:r>
          </w:p>
        </w:tc>
        <w:tc>
          <w:tcPr>
            <w:tcW w:w="4200"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Form of Class A Warrant to Purchase Common Stock</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870"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38"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4.1)</w:t>
            </w:r>
          </w:p>
        </w:tc>
        <w:tc>
          <w:tcPr>
            <w:tcW w:w="326" w:type="dxa"/>
            <w:tcBorders/>
            <w:shd w:fill="CCEEFF" w:val="clear"/>
            <w:vAlign w:val="center"/>
          </w:tcPr>
          <w:p>
            <w:pPr>
              <w:pStyle w:val="TableContents"/>
              <w:bidi w:val="0"/>
              <w:spacing w:before="0" w:after="0"/>
              <w:ind w:left="0" w:right="0" w:hanging="0"/>
              <w:jc w:val="left"/>
              <w:rPr/>
            </w:pPr>
            <w:r>
              <w:rPr/>
              <w:t>​</w:t>
            </w:r>
          </w:p>
        </w:tc>
        <w:tc>
          <w:tcPr>
            <w:tcW w:w="645"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08/14/2023</w:t>
            </w:r>
          </w:p>
        </w:tc>
        <w:tc>
          <w:tcPr>
            <w:tcW w:w="326" w:type="dxa"/>
            <w:tcBorders/>
            <w:shd w:fill="CCEEFF" w:val="clear"/>
            <w:vAlign w:val="center"/>
          </w:tcPr>
          <w:p>
            <w:pPr>
              <w:pStyle w:val="TableContents"/>
              <w:bidi w:val="0"/>
              <w:spacing w:before="0" w:after="0"/>
              <w:ind w:left="0" w:right="0" w:hanging="0"/>
              <w:jc w:val="left"/>
              <w:rPr/>
            </w:pPr>
            <w:r>
              <w:rPr/>
              <w:t>​</w:t>
            </w:r>
          </w:p>
        </w:tc>
        <w:tc>
          <w:tcPr>
            <w:tcW w:w="980"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001-39281</w:t>
            </w:r>
          </w:p>
        </w:tc>
      </w:tr>
      <w:tr>
        <w:trPr/>
        <w:tc>
          <w:tcPr>
            <w:tcW w:w="7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4200"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Exclusive Vessel Use Agreement, dated August 1, 2023, by and between TMC the metals company Inc. and Allseas Group S.A.</w:t>
              </w:r>
            </w:hyperlink>
          </w:p>
        </w:tc>
        <w:tc>
          <w:tcPr>
            <w:tcW w:w="326" w:type="dxa"/>
            <w:tcBorders/>
            <w:vAlign w:val="center"/>
          </w:tcPr>
          <w:p>
            <w:pPr>
              <w:pStyle w:val="TableContents"/>
              <w:bidi w:val="0"/>
              <w:spacing w:before="0" w:after="0"/>
              <w:ind w:left="0" w:right="0" w:hanging="0"/>
              <w:jc w:val="center"/>
              <w:rPr/>
            </w:pPr>
            <w:r>
              <w:rPr/>
              <w:t>​</w:t>
            </w:r>
          </w:p>
        </w:tc>
        <w:tc>
          <w:tcPr>
            <w:tcW w:w="87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3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br/>
              <w:t>(Exhibit 10.1)</w:t>
            </w:r>
          </w:p>
        </w:tc>
        <w:tc>
          <w:tcPr>
            <w:tcW w:w="326" w:type="dxa"/>
            <w:tcBorders/>
            <w:vAlign w:val="center"/>
          </w:tcPr>
          <w:p>
            <w:pPr>
              <w:pStyle w:val="TableContents"/>
              <w:bidi w:val="0"/>
              <w:spacing w:before="0" w:after="0"/>
              <w:ind w:left="0" w:right="0" w:hanging="0"/>
              <w:jc w:val="left"/>
              <w:rPr/>
            </w:pPr>
            <w:r>
              <w:rPr/>
              <w:t>​</w:t>
            </w:r>
          </w:p>
        </w:tc>
        <w:tc>
          <w:tcPr>
            <w:tcW w:w="6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08/01/2023</w:t>
            </w:r>
          </w:p>
        </w:tc>
        <w:tc>
          <w:tcPr>
            <w:tcW w:w="326" w:type="dxa"/>
            <w:tcBorders/>
            <w:vAlign w:val="center"/>
          </w:tcPr>
          <w:p>
            <w:pPr>
              <w:pStyle w:val="TableContents"/>
              <w:bidi w:val="0"/>
              <w:spacing w:before="0" w:after="0"/>
              <w:ind w:left="0" w:right="0" w:hanging="0"/>
              <w:jc w:val="left"/>
              <w:rPr/>
            </w:pPr>
            <w:r>
              <w:rPr/>
              <w:t>​</w:t>
            </w:r>
          </w:p>
        </w:tc>
        <w:tc>
          <w:tcPr>
            <w:tcW w:w="9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001-39281</w:t>
            </w:r>
          </w:p>
        </w:tc>
      </w:tr>
      <w:tr>
        <w:trPr/>
        <w:tc>
          <w:tcPr>
            <w:tcW w:w="7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326" w:type="dxa"/>
            <w:tcBorders/>
            <w:shd w:fill="CCEEFF" w:val="clear"/>
            <w:vAlign w:val="center"/>
          </w:tcPr>
          <w:p>
            <w:pPr>
              <w:pStyle w:val="TableContents"/>
              <w:bidi w:val="0"/>
              <w:spacing w:before="0" w:after="0"/>
              <w:ind w:left="0" w:right="0" w:hanging="0"/>
              <w:jc w:val="left"/>
              <w:rPr/>
            </w:pPr>
            <w:r>
              <w:rPr/>
              <w:t>​</w:t>
            </w:r>
          </w:p>
        </w:tc>
        <w:tc>
          <w:tcPr>
            <w:tcW w:w="4200" w:type="dxa"/>
            <w:tcBorders/>
            <w:shd w:fill="CCEEFF" w:val="clear"/>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Amendment to the Unsecured Credit Facility, dated July 31, 2023, by and between TMC the metals company Inc. and Argentum Credit Virtuti GCV</w:t>
              </w:r>
            </w:hyperlink>
          </w:p>
        </w:tc>
        <w:tc>
          <w:tcPr>
            <w:tcW w:w="326" w:type="dxa"/>
            <w:tcBorders/>
            <w:shd w:fill="CCEEFF" w:val="clear"/>
            <w:vAlign w:val="center"/>
          </w:tcPr>
          <w:p>
            <w:pPr>
              <w:pStyle w:val="TableContents"/>
              <w:bidi w:val="0"/>
              <w:spacing w:before="0" w:after="0"/>
              <w:ind w:left="0" w:right="0" w:hanging="0"/>
              <w:jc w:val="center"/>
              <w:rPr/>
            </w:pPr>
            <w:r>
              <w:rPr/>
              <w:t>​</w:t>
            </w:r>
          </w:p>
        </w:tc>
        <w:tc>
          <w:tcPr>
            <w:tcW w:w="870"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13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10.2)</w:t>
            </w:r>
          </w:p>
        </w:tc>
        <w:tc>
          <w:tcPr>
            <w:tcW w:w="326" w:type="dxa"/>
            <w:tcBorders/>
            <w:shd w:fill="CCEEFF" w:val="clear"/>
            <w:vAlign w:val="center"/>
          </w:tcPr>
          <w:p>
            <w:pPr>
              <w:pStyle w:val="TableContents"/>
              <w:bidi w:val="0"/>
              <w:spacing w:before="0" w:after="0"/>
              <w:ind w:left="0" w:right="0" w:hanging="0"/>
              <w:jc w:val="left"/>
              <w:rPr/>
            </w:pPr>
            <w:r>
              <w:rPr/>
              <w:t>​</w:t>
            </w:r>
          </w:p>
        </w:tc>
        <w:tc>
          <w:tcPr>
            <w:tcW w:w="6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08/01/2023</w:t>
            </w:r>
          </w:p>
        </w:tc>
        <w:tc>
          <w:tcPr>
            <w:tcW w:w="326" w:type="dxa"/>
            <w:tcBorders/>
            <w:shd w:fill="CCEEFF" w:val="clear"/>
            <w:vAlign w:val="center"/>
          </w:tcPr>
          <w:p>
            <w:pPr>
              <w:pStyle w:val="TableContents"/>
              <w:bidi w:val="0"/>
              <w:spacing w:before="0" w:after="0"/>
              <w:ind w:left="0" w:right="0" w:hanging="0"/>
              <w:jc w:val="left"/>
              <w:rPr/>
            </w:pPr>
            <w:r>
              <w:rPr/>
              <w:t>​</w:t>
            </w:r>
          </w:p>
        </w:tc>
        <w:tc>
          <w:tcPr>
            <w:tcW w:w="9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001-39281</w:t>
            </w:r>
          </w:p>
        </w:tc>
      </w:tr>
      <w:tr>
        <w:trPr/>
        <w:tc>
          <w:tcPr>
            <w:tcW w:w="7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326" w:type="dxa"/>
            <w:tcBorders/>
            <w:vAlign w:val="center"/>
          </w:tcPr>
          <w:p>
            <w:pPr>
              <w:pStyle w:val="TableContents"/>
              <w:bidi w:val="0"/>
              <w:spacing w:before="0" w:after="0"/>
              <w:ind w:left="0" w:right="0" w:hanging="0"/>
              <w:jc w:val="left"/>
              <w:rPr/>
            </w:pPr>
            <w:r>
              <w:rPr/>
              <w:t>​</w:t>
            </w:r>
          </w:p>
        </w:tc>
        <w:tc>
          <w:tcPr>
            <w:tcW w:w="4200"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Form of Securities Purchase Agreement, dated August 14, 2023</w:t>
              </w:r>
            </w:hyperlink>
          </w:p>
        </w:tc>
        <w:tc>
          <w:tcPr>
            <w:tcW w:w="326" w:type="dxa"/>
            <w:tcBorders/>
            <w:vAlign w:val="center"/>
          </w:tcPr>
          <w:p>
            <w:pPr>
              <w:pStyle w:val="TableContents"/>
              <w:bidi w:val="0"/>
              <w:spacing w:before="0" w:after="0"/>
              <w:ind w:left="0" w:right="0" w:hanging="0"/>
              <w:jc w:val="center"/>
              <w:rPr/>
            </w:pPr>
            <w:r>
              <w:rPr/>
              <w:t>​</w:t>
            </w:r>
          </w:p>
        </w:tc>
        <w:tc>
          <w:tcPr>
            <w:tcW w:w="87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3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8-K</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10.1)</w:t>
            </w:r>
          </w:p>
        </w:tc>
        <w:tc>
          <w:tcPr>
            <w:tcW w:w="326" w:type="dxa"/>
            <w:tcBorders/>
            <w:vAlign w:val="center"/>
          </w:tcPr>
          <w:p>
            <w:pPr>
              <w:pStyle w:val="TableContents"/>
              <w:bidi w:val="0"/>
              <w:spacing w:before="0" w:after="0"/>
              <w:ind w:left="0" w:right="0" w:hanging="0"/>
              <w:jc w:val="left"/>
              <w:rPr/>
            </w:pPr>
            <w:r>
              <w:rPr/>
              <w:t>​</w:t>
            </w:r>
          </w:p>
        </w:tc>
        <w:tc>
          <w:tcPr>
            <w:tcW w:w="6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08/14/2023</w:t>
            </w:r>
          </w:p>
        </w:tc>
        <w:tc>
          <w:tcPr>
            <w:tcW w:w="326" w:type="dxa"/>
            <w:tcBorders/>
            <w:vAlign w:val="center"/>
          </w:tcPr>
          <w:p>
            <w:pPr>
              <w:pStyle w:val="TableContents"/>
              <w:bidi w:val="0"/>
              <w:spacing w:before="0" w:after="0"/>
              <w:ind w:left="0" w:right="0" w:hanging="0"/>
              <w:jc w:val="left"/>
              <w:rPr/>
            </w:pPr>
            <w:r>
              <w:rPr/>
              <w:t>​</w:t>
            </w:r>
          </w:p>
        </w:tc>
        <w:tc>
          <w:tcPr>
            <w:tcW w:w="9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001-39281</w:t>
            </w:r>
          </w:p>
        </w:tc>
      </w:tr>
      <w:tr>
        <w:trPr/>
        <w:tc>
          <w:tcPr>
            <w:tcW w:w="742" w:type="dxa"/>
            <w:tcBorders/>
            <w:shd w:fill="CCEEFF" w:val="clear"/>
            <w:vAlign w:val="center"/>
          </w:tcPr>
          <w:p>
            <w:pPr>
              <w:pStyle w:val="TableContents"/>
              <w:bidi w:val="0"/>
              <w:spacing w:before="0" w:after="0"/>
              <w:ind w:left="0" w:right="0" w:hanging="0"/>
              <w:jc w:val="left"/>
              <w:rPr/>
            </w:pPr>
            <w:hyperlink w:anchor="tmc-20230930xex31d1.htm">
              <w:r>
                <w:rPr>
                  <w:rStyle w:val="InternetLink"/>
                  <w:rFonts w:ascii="Times New Roman;Times;serif" w:hAnsi="Times New Roman;Times;serif"/>
                  <w:b w:val="false"/>
                  <w:i w:val="false"/>
                  <w:caps w:val="false"/>
                  <w:smallCaps w:val="false"/>
                  <w:sz w:val="20"/>
                </w:rPr>
                <w:t>31.1</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4200" w:type="dxa"/>
            <w:tcBorders/>
            <w:shd w:fill="CCEEFF" w:val="clear"/>
            <w:vAlign w:val="center"/>
          </w:tcPr>
          <w:p>
            <w:pPr>
              <w:pStyle w:val="TableContents"/>
              <w:bidi w:val="0"/>
              <w:spacing w:before="0" w:after="0"/>
              <w:ind w:left="0" w:right="0" w:hanging="0"/>
              <w:jc w:val="left"/>
              <w:rPr/>
            </w:pPr>
            <w:hyperlink w:anchor="tmc-20230930xex31d1.htm">
              <w:r>
                <w:rPr>
                  <w:rStyle w:val="InternetLink"/>
                  <w:rFonts w:ascii="Times New Roman;Times;serif" w:hAnsi="Times New Roman;Times;serif"/>
                  <w:b w:val="false"/>
                  <w:i w:val="false"/>
                  <w:caps w:val="false"/>
                  <w:smallCaps w:val="false"/>
                  <w:sz w:val="20"/>
                </w:rPr>
                <w:t>Certification of the Principal Executive Officer pursuant to Section 302 of the Sarbanes-Oxley Act of 2002</w:t>
              </w:r>
            </w:hyperlink>
          </w:p>
        </w:tc>
        <w:tc>
          <w:tcPr>
            <w:tcW w:w="326" w:type="dxa"/>
            <w:tcBorders/>
            <w:shd w:fill="CCEEFF" w:val="clear"/>
            <w:vAlign w:val="center"/>
          </w:tcPr>
          <w:p>
            <w:pPr>
              <w:pStyle w:val="TableContents"/>
              <w:bidi w:val="0"/>
              <w:spacing w:before="0" w:after="0"/>
              <w:ind w:left="0" w:right="0" w:hanging="0"/>
              <w:jc w:val="center"/>
              <w:rPr/>
            </w:pPr>
            <w:r>
              <w:rPr/>
              <w:t>​</w:t>
            </w:r>
          </w:p>
        </w:tc>
        <w:tc>
          <w:tcPr>
            <w:tcW w:w="87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26" w:type="dxa"/>
            <w:tcBorders/>
            <w:shd w:fill="CCEEFF" w:val="clear"/>
            <w:vAlign w:val="center"/>
          </w:tcPr>
          <w:p>
            <w:pPr>
              <w:pStyle w:val="TableContents"/>
              <w:bidi w:val="0"/>
              <w:spacing w:before="0" w:after="0"/>
              <w:ind w:left="0" w:right="0" w:hanging="0"/>
              <w:jc w:val="center"/>
              <w:rPr/>
            </w:pPr>
            <w:r>
              <w:rPr/>
              <w:t>​</w:t>
            </w:r>
          </w:p>
        </w:tc>
        <w:tc>
          <w:tcPr>
            <w:tcW w:w="1138"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0" w:type="dxa"/>
            <w:tcBorders/>
            <w:shd w:fill="CCEEFF" w:val="clear"/>
            <w:vAlign w:val="center"/>
          </w:tcPr>
          <w:p>
            <w:pPr>
              <w:pStyle w:val="TableContents"/>
              <w:bidi w:val="0"/>
              <w:spacing w:before="0" w:after="0"/>
              <w:ind w:left="0" w:right="0" w:hanging="0"/>
              <w:jc w:val="left"/>
              <w:rPr/>
            </w:pPr>
            <w:r>
              <w:rPr/>
              <w:t>​</w:t>
            </w:r>
          </w:p>
        </w:tc>
      </w:tr>
      <w:tr>
        <w:trPr/>
        <w:tc>
          <w:tcPr>
            <w:tcW w:w="742" w:type="dxa"/>
            <w:tcBorders/>
            <w:vAlign w:val="center"/>
          </w:tcPr>
          <w:p>
            <w:pPr>
              <w:pStyle w:val="TableContents"/>
              <w:bidi w:val="0"/>
              <w:spacing w:before="0" w:after="0"/>
              <w:ind w:left="0" w:right="0" w:hanging="0"/>
              <w:jc w:val="left"/>
              <w:rPr/>
            </w:pPr>
            <w:hyperlink w:anchor="tmc-20230930xex31d2.htm">
              <w:r>
                <w:rPr>
                  <w:rStyle w:val="InternetLink"/>
                  <w:rFonts w:ascii="Times New Roman;Times;serif" w:hAnsi="Times New Roman;Times;serif"/>
                  <w:b w:val="false"/>
                  <w:i w:val="false"/>
                  <w:caps w:val="false"/>
                  <w:smallCaps w:val="false"/>
                  <w:sz w:val="20"/>
                </w:rPr>
                <w:t>31.2</w:t>
              </w:r>
            </w:hyperlink>
          </w:p>
        </w:tc>
        <w:tc>
          <w:tcPr>
            <w:tcW w:w="326" w:type="dxa"/>
            <w:tcBorders/>
            <w:vAlign w:val="center"/>
          </w:tcPr>
          <w:p>
            <w:pPr>
              <w:pStyle w:val="TableContents"/>
              <w:bidi w:val="0"/>
              <w:spacing w:before="0" w:after="0"/>
              <w:ind w:left="0" w:right="0" w:hanging="0"/>
              <w:jc w:val="left"/>
              <w:rPr/>
            </w:pPr>
            <w:r>
              <w:rPr/>
              <w:t>​</w:t>
            </w:r>
          </w:p>
        </w:tc>
        <w:tc>
          <w:tcPr>
            <w:tcW w:w="4200" w:type="dxa"/>
            <w:tcBorders/>
            <w:vAlign w:val="center"/>
          </w:tcPr>
          <w:p>
            <w:pPr>
              <w:pStyle w:val="TableContents"/>
              <w:bidi w:val="0"/>
              <w:spacing w:before="0" w:after="0"/>
              <w:ind w:left="0" w:right="0" w:hanging="0"/>
              <w:jc w:val="left"/>
              <w:rPr/>
            </w:pPr>
            <w:hyperlink w:anchor="tmc-20230930xex31d2.htm">
              <w:r>
                <w:rPr>
                  <w:rStyle w:val="InternetLink"/>
                  <w:rFonts w:ascii="Times New Roman;Times;serif" w:hAnsi="Times New Roman;Times;serif"/>
                  <w:b w:val="false"/>
                  <w:i w:val="false"/>
                  <w:caps w:val="false"/>
                  <w:smallCaps w:val="false"/>
                  <w:sz w:val="20"/>
                </w:rPr>
                <w:t>Certification of the Principal Financial Officer pursuant to Section 302 of the Sarbanes-Oxley Act of 2002</w:t>
              </w:r>
            </w:hyperlink>
          </w:p>
        </w:tc>
        <w:tc>
          <w:tcPr>
            <w:tcW w:w="326" w:type="dxa"/>
            <w:tcBorders/>
            <w:vAlign w:val="center"/>
          </w:tcPr>
          <w:p>
            <w:pPr>
              <w:pStyle w:val="TableContents"/>
              <w:bidi w:val="0"/>
              <w:spacing w:before="0" w:after="0"/>
              <w:ind w:left="0" w:right="0" w:hanging="0"/>
              <w:jc w:val="center"/>
              <w:rPr/>
            </w:pPr>
            <w:r>
              <w:rPr/>
              <w:t>​</w:t>
            </w:r>
          </w:p>
        </w:tc>
        <w:tc>
          <w:tcPr>
            <w:tcW w:w="8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26" w:type="dxa"/>
            <w:tcBorders/>
            <w:vAlign w:val="center"/>
          </w:tcPr>
          <w:p>
            <w:pPr>
              <w:pStyle w:val="TableContents"/>
              <w:bidi w:val="0"/>
              <w:spacing w:before="0" w:after="0"/>
              <w:ind w:left="0" w:right="0" w:hanging="0"/>
              <w:jc w:val="center"/>
              <w:rPr/>
            </w:pPr>
            <w:r>
              <w:rPr/>
              <w:t>​</w:t>
            </w:r>
          </w:p>
        </w:tc>
        <w:tc>
          <w:tcPr>
            <w:tcW w:w="113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80" w:type="dxa"/>
            <w:tcBorders/>
            <w:vAlign w:val="center"/>
          </w:tcPr>
          <w:p>
            <w:pPr>
              <w:pStyle w:val="TableContents"/>
              <w:bidi w:val="0"/>
              <w:spacing w:before="0" w:after="0"/>
              <w:ind w:left="0" w:right="0" w:hanging="0"/>
              <w:jc w:val="left"/>
              <w:rPr/>
            </w:pPr>
            <w:r>
              <w:rPr/>
              <w:t>​</w:t>
            </w:r>
          </w:p>
        </w:tc>
      </w:tr>
      <w:tr>
        <w:trPr/>
        <w:tc>
          <w:tcPr>
            <w:tcW w:w="742" w:type="dxa"/>
            <w:tcBorders/>
            <w:shd w:fill="CCEEFF" w:val="clear"/>
            <w:vAlign w:val="center"/>
          </w:tcPr>
          <w:p>
            <w:pPr>
              <w:pStyle w:val="TableContents"/>
              <w:bidi w:val="0"/>
              <w:spacing w:before="0" w:after="0"/>
              <w:ind w:left="0" w:right="0" w:hanging="0"/>
              <w:jc w:val="left"/>
              <w:rPr/>
            </w:pPr>
            <w:hyperlink w:anchor="tmc-20230930xex32.htm">
              <w:r>
                <w:rPr>
                  <w:rStyle w:val="InternetLink"/>
                  <w:rFonts w:ascii="Times New Roman;Times;serif" w:hAnsi="Times New Roman;Times;serif"/>
                  <w:b w:val="false"/>
                  <w:i w:val="false"/>
                  <w:caps w:val="false"/>
                  <w:smallCaps w:val="false"/>
                  <w:sz w:val="20"/>
                </w:rPr>
                <w:t>32*</w:t>
              </w:r>
            </w:hyperlink>
          </w:p>
        </w:tc>
        <w:tc>
          <w:tcPr>
            <w:tcW w:w="326" w:type="dxa"/>
            <w:tcBorders/>
            <w:shd w:fill="CCEEFF" w:val="clear"/>
            <w:vAlign w:val="center"/>
          </w:tcPr>
          <w:p>
            <w:pPr>
              <w:pStyle w:val="TableContents"/>
              <w:bidi w:val="0"/>
              <w:spacing w:before="0" w:after="0"/>
              <w:ind w:left="0" w:right="0" w:hanging="0"/>
              <w:jc w:val="left"/>
              <w:rPr/>
            </w:pPr>
            <w:r>
              <w:rPr/>
              <w:t>​</w:t>
            </w:r>
          </w:p>
        </w:tc>
        <w:tc>
          <w:tcPr>
            <w:tcW w:w="4200" w:type="dxa"/>
            <w:tcBorders/>
            <w:shd w:fill="CCEEFF" w:val="clear"/>
            <w:vAlign w:val="center"/>
          </w:tcPr>
          <w:p>
            <w:pPr>
              <w:pStyle w:val="TableContents"/>
              <w:bidi w:val="0"/>
              <w:spacing w:before="0" w:after="0"/>
              <w:ind w:left="0" w:right="0" w:hanging="0"/>
              <w:jc w:val="left"/>
              <w:rPr/>
            </w:pPr>
            <w:hyperlink w:anchor="tmc-20230930xex32.htm">
              <w:r>
                <w:rPr>
                  <w:rStyle w:val="InternetLink"/>
                  <w:rFonts w:ascii="Times New Roman;Times;serif" w:hAnsi="Times New Roman;Times;serif"/>
                  <w:b w:val="false"/>
                  <w:i w:val="false"/>
                  <w:caps w:val="false"/>
                  <w:smallCaps w:val="false"/>
                  <w:sz w:val="20"/>
                </w:rPr>
                <w:t>Certifications of the Chief Executive Officer and Chief Financial Officer pursuant to Section 906 of the Sarbanes-Oxley Act of 2002</w:t>
              </w:r>
            </w:hyperlink>
          </w:p>
        </w:tc>
        <w:tc>
          <w:tcPr>
            <w:tcW w:w="326" w:type="dxa"/>
            <w:tcBorders/>
            <w:shd w:fill="CCEEFF" w:val="clear"/>
            <w:vAlign w:val="center"/>
          </w:tcPr>
          <w:p>
            <w:pPr>
              <w:pStyle w:val="TableContents"/>
              <w:bidi w:val="0"/>
              <w:spacing w:before="0" w:after="0"/>
              <w:ind w:left="0" w:right="0" w:hanging="0"/>
              <w:jc w:val="center"/>
              <w:rPr/>
            </w:pPr>
            <w:r>
              <w:rPr/>
              <w:t>​</w:t>
            </w:r>
          </w:p>
        </w:tc>
        <w:tc>
          <w:tcPr>
            <w:tcW w:w="87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26" w:type="dxa"/>
            <w:tcBorders/>
            <w:shd w:fill="CCEEFF" w:val="clear"/>
            <w:vAlign w:val="center"/>
          </w:tcPr>
          <w:p>
            <w:pPr>
              <w:pStyle w:val="TableContents"/>
              <w:bidi w:val="0"/>
              <w:spacing w:before="0" w:after="0"/>
              <w:ind w:left="0" w:right="0" w:hanging="0"/>
              <w:jc w:val="center"/>
              <w:rPr/>
            </w:pPr>
            <w:r>
              <w:rPr/>
              <w:t>​</w:t>
            </w:r>
          </w:p>
        </w:tc>
        <w:tc>
          <w:tcPr>
            <w:tcW w:w="1138"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0" w:type="dxa"/>
            <w:tcBorders/>
            <w:shd w:fill="CCEEFF" w:val="clear"/>
            <w:vAlign w:val="center"/>
          </w:tcPr>
          <w:p>
            <w:pPr>
              <w:pStyle w:val="TableContents"/>
              <w:bidi w:val="0"/>
              <w:spacing w:before="0" w:after="0"/>
              <w:ind w:left="0" w:right="0" w:hanging="0"/>
              <w:jc w:val="left"/>
              <w:rPr/>
            </w:pPr>
            <w:r>
              <w:rPr/>
              <w:t>​</w:t>
            </w:r>
          </w:p>
        </w:tc>
      </w:tr>
      <w:tr>
        <w:trPr/>
        <w:tc>
          <w:tcPr>
            <w:tcW w:w="7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bidi w:val="0"/>
              <w:spacing w:before="0" w:after="0"/>
              <w:ind w:left="0" w:right="0" w:hanging="0"/>
              <w:jc w:val="left"/>
              <w:rPr/>
            </w:pPr>
            <w:r>
              <w:rPr/>
              <w:t>​</w:t>
            </w:r>
          </w:p>
        </w:tc>
        <w:tc>
          <w:tcPr>
            <w:tcW w:w="42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(the instance document does not appear in the Interactive Data File because its XBRL tags are embedded within the Inline XBRL document)</w:t>
            </w:r>
          </w:p>
        </w:tc>
        <w:tc>
          <w:tcPr>
            <w:tcW w:w="326" w:type="dxa"/>
            <w:tcBorders/>
            <w:vAlign w:val="center"/>
          </w:tcPr>
          <w:p>
            <w:pPr>
              <w:pStyle w:val="TableContents"/>
              <w:bidi w:val="0"/>
              <w:spacing w:before="0" w:after="0"/>
              <w:ind w:left="0" w:right="0" w:hanging="0"/>
              <w:jc w:val="center"/>
              <w:rPr/>
            </w:pPr>
            <w:r>
              <w:rPr/>
              <w:t>​</w:t>
            </w:r>
          </w:p>
        </w:tc>
        <w:tc>
          <w:tcPr>
            <w:tcW w:w="8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26" w:type="dxa"/>
            <w:tcBorders/>
            <w:vAlign w:val="center"/>
          </w:tcPr>
          <w:p>
            <w:pPr>
              <w:pStyle w:val="TableContents"/>
              <w:bidi w:val="0"/>
              <w:spacing w:before="0" w:after="0"/>
              <w:ind w:left="0" w:right="0" w:hanging="0"/>
              <w:jc w:val="center"/>
              <w:rPr/>
            </w:pPr>
            <w:r>
              <w:rPr/>
              <w:t>​</w:t>
            </w:r>
          </w:p>
        </w:tc>
        <w:tc>
          <w:tcPr>
            <w:tcW w:w="113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80" w:type="dxa"/>
            <w:tcBorders/>
            <w:vAlign w:val="center"/>
          </w:tcPr>
          <w:p>
            <w:pPr>
              <w:pStyle w:val="TableContents"/>
              <w:bidi w:val="0"/>
              <w:spacing w:before="0" w:after="0"/>
              <w:ind w:left="0" w:right="0" w:hanging="0"/>
              <w:jc w:val="left"/>
              <w:rPr/>
            </w:pPr>
            <w:r>
              <w:rPr/>
              <w:t>​</w:t>
            </w:r>
          </w:p>
        </w:tc>
      </w:tr>
      <w:tr>
        <w:trPr/>
        <w:tc>
          <w:tcPr>
            <w:tcW w:w="74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26" w:type="dxa"/>
            <w:tcBorders/>
            <w:shd w:fill="CCEEFF" w:val="clear"/>
            <w:vAlign w:val="center"/>
          </w:tcPr>
          <w:p>
            <w:pPr>
              <w:pStyle w:val="TableContents"/>
              <w:bidi w:val="0"/>
              <w:spacing w:before="0" w:after="0"/>
              <w:ind w:left="0" w:right="0" w:hanging="0"/>
              <w:jc w:val="left"/>
              <w:rPr/>
            </w:pPr>
            <w:r>
              <w:rPr/>
              <w:t>​</w:t>
            </w:r>
          </w:p>
        </w:tc>
        <w:tc>
          <w:tcPr>
            <w:tcW w:w="42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326" w:type="dxa"/>
            <w:tcBorders/>
            <w:shd w:fill="CCEEFF" w:val="clear"/>
            <w:vAlign w:val="center"/>
          </w:tcPr>
          <w:p>
            <w:pPr>
              <w:pStyle w:val="TableContents"/>
              <w:bidi w:val="0"/>
              <w:spacing w:before="0" w:after="0"/>
              <w:ind w:left="0" w:right="0" w:hanging="0"/>
              <w:jc w:val="center"/>
              <w:rPr/>
            </w:pPr>
            <w:r>
              <w:rPr/>
              <w:t>​</w:t>
            </w:r>
          </w:p>
        </w:tc>
        <w:tc>
          <w:tcPr>
            <w:tcW w:w="87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26" w:type="dxa"/>
            <w:tcBorders/>
            <w:shd w:fill="CCEEFF" w:val="clear"/>
            <w:vAlign w:val="center"/>
          </w:tcPr>
          <w:p>
            <w:pPr>
              <w:pStyle w:val="TableContents"/>
              <w:bidi w:val="0"/>
              <w:spacing w:before="0" w:after="0"/>
              <w:ind w:left="0" w:right="0" w:hanging="0"/>
              <w:jc w:val="center"/>
              <w:rPr/>
            </w:pPr>
            <w:r>
              <w:rPr/>
              <w:t>​</w:t>
            </w:r>
          </w:p>
        </w:tc>
        <w:tc>
          <w:tcPr>
            <w:tcW w:w="1138"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0" w:type="dxa"/>
            <w:tcBorders/>
            <w:shd w:fill="CCEEFF" w:val="clear"/>
            <w:vAlign w:val="center"/>
          </w:tcPr>
          <w:p>
            <w:pPr>
              <w:pStyle w:val="TableContents"/>
              <w:bidi w:val="0"/>
              <w:spacing w:before="0" w:after="0"/>
              <w:ind w:left="0" w:right="0" w:hanging="0"/>
              <w:jc w:val="left"/>
              <w:rPr/>
            </w:pPr>
            <w:r>
              <w:rPr/>
              <w:t>​</w:t>
            </w:r>
          </w:p>
        </w:tc>
      </w:tr>
      <w:tr>
        <w:trPr/>
        <w:tc>
          <w:tcPr>
            <w:tcW w:w="7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bidi w:val="0"/>
              <w:spacing w:before="0" w:after="0"/>
              <w:ind w:left="0" w:right="0" w:hanging="0"/>
              <w:jc w:val="left"/>
              <w:rPr/>
            </w:pPr>
            <w:r>
              <w:rPr/>
              <w:t>​</w:t>
            </w:r>
          </w:p>
        </w:tc>
        <w:tc>
          <w:tcPr>
            <w:tcW w:w="42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326" w:type="dxa"/>
            <w:tcBorders/>
            <w:vAlign w:val="center"/>
          </w:tcPr>
          <w:p>
            <w:pPr>
              <w:pStyle w:val="TableContents"/>
              <w:bidi w:val="0"/>
              <w:spacing w:before="0" w:after="0"/>
              <w:ind w:left="0" w:right="0" w:hanging="0"/>
              <w:jc w:val="center"/>
              <w:rPr/>
            </w:pPr>
            <w:r>
              <w:rPr/>
              <w:t>​</w:t>
            </w:r>
          </w:p>
        </w:tc>
        <w:tc>
          <w:tcPr>
            <w:tcW w:w="8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26" w:type="dxa"/>
            <w:tcBorders/>
            <w:vAlign w:val="center"/>
          </w:tcPr>
          <w:p>
            <w:pPr>
              <w:pStyle w:val="TableContents"/>
              <w:bidi w:val="0"/>
              <w:spacing w:before="0" w:after="0"/>
              <w:ind w:left="0" w:right="0" w:hanging="0"/>
              <w:jc w:val="center"/>
              <w:rPr/>
            </w:pPr>
            <w:r>
              <w:rPr/>
              <w:t>​</w:t>
            </w:r>
          </w:p>
        </w:tc>
        <w:tc>
          <w:tcPr>
            <w:tcW w:w="113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80" w:type="dxa"/>
            <w:tcBorders/>
            <w:vAlign w:val="center"/>
          </w:tcPr>
          <w:p>
            <w:pPr>
              <w:pStyle w:val="TableContents"/>
              <w:bidi w:val="0"/>
              <w:spacing w:before="0" w:after="0"/>
              <w:ind w:left="0" w:right="0" w:hanging="0"/>
              <w:jc w:val="left"/>
              <w:rPr/>
            </w:pPr>
            <w:r>
              <w:rPr/>
              <w:t>​</w:t>
            </w:r>
          </w:p>
        </w:tc>
      </w:tr>
      <w:tr>
        <w:trPr/>
        <w:tc>
          <w:tcPr>
            <w:tcW w:w="74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26" w:type="dxa"/>
            <w:tcBorders/>
            <w:shd w:fill="CCEEFF" w:val="clear"/>
            <w:vAlign w:val="center"/>
          </w:tcPr>
          <w:p>
            <w:pPr>
              <w:pStyle w:val="TableContents"/>
              <w:bidi w:val="0"/>
              <w:spacing w:before="0" w:after="0"/>
              <w:ind w:left="0" w:right="0" w:hanging="0"/>
              <w:jc w:val="left"/>
              <w:rPr/>
            </w:pPr>
            <w:r>
              <w:rPr/>
              <w:t>​</w:t>
            </w:r>
          </w:p>
        </w:tc>
        <w:tc>
          <w:tcPr>
            <w:tcW w:w="42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326" w:type="dxa"/>
            <w:tcBorders/>
            <w:shd w:fill="CCEEFF" w:val="clear"/>
            <w:vAlign w:val="center"/>
          </w:tcPr>
          <w:p>
            <w:pPr>
              <w:pStyle w:val="TableContents"/>
              <w:bidi w:val="0"/>
              <w:spacing w:before="0" w:after="0"/>
              <w:ind w:left="0" w:right="0" w:hanging="0"/>
              <w:jc w:val="center"/>
              <w:rPr/>
            </w:pPr>
            <w:r>
              <w:rPr/>
              <w:t>​</w:t>
            </w:r>
          </w:p>
        </w:tc>
        <w:tc>
          <w:tcPr>
            <w:tcW w:w="87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26" w:type="dxa"/>
            <w:tcBorders/>
            <w:shd w:fill="CCEEFF" w:val="clear"/>
            <w:vAlign w:val="center"/>
          </w:tcPr>
          <w:p>
            <w:pPr>
              <w:pStyle w:val="TableContents"/>
              <w:bidi w:val="0"/>
              <w:spacing w:before="0" w:after="0"/>
              <w:ind w:left="0" w:right="0" w:hanging="0"/>
              <w:jc w:val="center"/>
              <w:rPr/>
            </w:pPr>
            <w:r>
              <w:rPr/>
              <w:t>​</w:t>
            </w:r>
          </w:p>
        </w:tc>
        <w:tc>
          <w:tcPr>
            <w:tcW w:w="1138"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4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80" w:type="dxa"/>
            <w:tcBorders/>
            <w:shd w:fill="CCEEFF" w:val="clear"/>
            <w:vAlign w:val="center"/>
          </w:tcPr>
          <w:p>
            <w:pPr>
              <w:pStyle w:val="TableContents"/>
              <w:bidi w:val="0"/>
              <w:spacing w:before="0" w:after="0"/>
              <w:ind w:left="0" w:right="0" w:hanging="0"/>
              <w:jc w:val="left"/>
              <w:rPr/>
            </w:pPr>
            <w:r>
              <w:rPr/>
              <w:t>​</w:t>
            </w:r>
          </w:p>
        </w:tc>
      </w:tr>
      <w:tr>
        <w:trPr/>
        <w:tc>
          <w:tcPr>
            <w:tcW w:w="74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before="0" w:after="0"/>
              <w:ind w:left="0" w:right="0" w:hanging="0"/>
              <w:jc w:val="left"/>
              <w:rPr/>
            </w:pPr>
            <w:r>
              <w:rPr/>
              <w:t>​</w:t>
            </w:r>
          </w:p>
        </w:tc>
        <w:tc>
          <w:tcPr>
            <w:tcW w:w="42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326" w:type="dxa"/>
            <w:tcBorders/>
            <w:vAlign w:val="center"/>
          </w:tcPr>
          <w:p>
            <w:pPr>
              <w:pStyle w:val="TableContents"/>
              <w:bidi w:val="0"/>
              <w:spacing w:before="0" w:after="0"/>
              <w:ind w:left="0" w:right="0" w:hanging="0"/>
              <w:jc w:val="center"/>
              <w:rPr/>
            </w:pPr>
            <w:r>
              <w:rPr/>
              <w:t>​</w:t>
            </w:r>
          </w:p>
        </w:tc>
        <w:tc>
          <w:tcPr>
            <w:tcW w:w="8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26" w:type="dxa"/>
            <w:tcBorders/>
            <w:vAlign w:val="center"/>
          </w:tcPr>
          <w:p>
            <w:pPr>
              <w:pStyle w:val="TableContents"/>
              <w:bidi w:val="0"/>
              <w:spacing w:before="0" w:after="0"/>
              <w:ind w:left="0" w:right="0" w:hanging="0"/>
              <w:jc w:val="center"/>
              <w:rPr/>
            </w:pPr>
            <w:r>
              <w:rPr/>
              <w:t>​</w:t>
            </w:r>
          </w:p>
        </w:tc>
        <w:tc>
          <w:tcPr>
            <w:tcW w:w="113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4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80"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The certifications attached as Exhibit 32 that accompany this Quarterly Report on Form 10-Q are not deemed filed with the Securities and Exchange Commission and are not to be incorporated by reference into any filing of TMC the metals company Inc. under the Securities Act of 1933, as amended, or the Securities Exchange Act of 1934, as amended (whether made before or after the date of such Form 10-Q), irrespective of any general incorporation language contained in such filing.</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249" w:name="iSkippedRange_90101"/>
      <w:bookmarkStart w:id="1250" w:name="_1a891700_9f35_4636_9834_4ad1b5e47781"/>
      <w:bookmarkEnd w:id="1249"/>
      <w:bookmarkEnd w:id="1250"/>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653" w:type="dxa"/>
        <w:jc w:val="left"/>
        <w:tblInd w:w="0" w:type="dxa"/>
        <w:tblLayout w:type="fixed"/>
        <w:tblCellMar>
          <w:top w:w="0" w:type="dxa"/>
          <w:left w:w="0" w:type="dxa"/>
          <w:bottom w:w="0" w:type="dxa"/>
          <w:right w:w="0" w:type="dxa"/>
        </w:tblCellMar>
      </w:tblPr>
      <w:tblGrid>
        <w:gridCol w:w="2101"/>
        <w:gridCol w:w="490"/>
        <w:gridCol w:w="2871"/>
        <w:gridCol w:w="191"/>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34135" cy="175260"/>
                      <wp:effectExtent l="0" t="0" r="0" b="0"/>
                      <wp:wrapNone/>
                      <wp:docPr id="256" name="Frame256"/>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311150" cy="175260"/>
                      <wp:effectExtent l="0" t="0" r="0" b="0"/>
                      <wp:wrapNone/>
                      <wp:docPr id="257" name="Frame257"/>
                      <a:graphic xmlns:a="http://schemas.openxmlformats.org/drawingml/2006/main">
                        <a:graphicData uri="http://schemas.microsoft.com/office/word/2010/wordprocessingShape">
                          <wps:wsp>
                            <wps:cNvSpPr txBox="1"/>
                            <wps:spPr>
                              <a:xfrm>
                                <a:off x="0" y="0"/>
                                <a:ext cx="311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823085" cy="29210"/>
                      <wp:effectExtent l="0" t="0" r="0" b="0"/>
                      <wp:wrapNone/>
                      <wp:docPr id="258" name="Frame258"/>
                      <a:graphic xmlns:a="http://schemas.openxmlformats.org/drawingml/2006/main">
                        <a:graphicData uri="http://schemas.microsoft.com/office/word/2010/wordprocessingShape">
                          <wps:wsp>
                            <wps:cNvSpPr txBox="1"/>
                            <wps:spPr>
                              <a:xfrm>
                                <a:off x="0" y="0"/>
                                <a:ext cx="1823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21285" cy="29210"/>
                      <wp:effectExtent l="0" t="0" r="0" b="0"/>
                      <wp:wrapNone/>
                      <wp:docPr id="259" name="Frame259"/>
                      <a:graphic xmlns:a="http://schemas.openxmlformats.org/drawingml/2006/main">
                        <a:graphicData uri="http://schemas.microsoft.com/office/word/2010/wordprocessingShape">
                          <wps:wsp>
                            <wps:cNvSpPr txBox="1"/>
                            <wps:spPr>
                              <a:xfrm>
                                <a:off x="0" y="0"/>
                                <a:ext cx="121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left"/>
              <w:rPr/>
            </w:pPr>
            <w:r>
              <w:rPr/>
              <w:t>​</w:t>
            </w:r>
          </w:p>
        </w:tc>
        <w:tc>
          <w:tcPr>
            <w:tcW w:w="3361"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TMC THE METALS COMPANY INC.</w:t>
            </w:r>
          </w:p>
        </w:tc>
        <w:tc>
          <w:tcPr>
            <w:tcW w:w="191" w:type="dxa"/>
            <w:tcBorders/>
            <w:vAlign w:val="center"/>
          </w:tcPr>
          <w:p>
            <w:pPr>
              <w:pStyle w:val="TableContents"/>
              <w:bidi w:val="0"/>
              <w:spacing w:before="0" w:after="0"/>
              <w:ind w:left="0" w:right="0" w:hanging="0"/>
              <w:jc w:val="left"/>
              <w:rPr/>
            </w:pPr>
            <w:r>
              <w:rPr/>
              <w:t> </w:t>
            </w:r>
          </w:p>
        </w:tc>
      </w:tr>
      <w:tr>
        <w:trPr/>
        <w:tc>
          <w:tcPr>
            <w:tcW w:w="2101"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287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9, 2023</w:t>
            </w:r>
          </w:p>
        </w:tc>
        <w:tc>
          <w:tcPr>
            <w:tcW w:w="4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8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Gerard Barron</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28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Gerard Barron</w:t>
            </w:r>
          </w:p>
        </w:tc>
        <w:tc>
          <w:tcPr>
            <w:tcW w:w="19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2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9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287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9, 2023</w:t>
            </w:r>
          </w:p>
        </w:tc>
        <w:tc>
          <w:tcPr>
            <w:tcW w:w="4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28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Shesky</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28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Craig Shesky </w:t>
            </w:r>
          </w:p>
        </w:tc>
        <w:tc>
          <w:tcPr>
            <w:tcW w:w="19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w:t>
            </w:r>
          </w:p>
        </w:tc>
        <w:tc>
          <w:tcPr>
            <w:tcW w:w="490" w:type="dxa"/>
            <w:tcBorders/>
            <w:vAlign w:val="center"/>
          </w:tcPr>
          <w:p>
            <w:pPr>
              <w:pStyle w:val="TableContents"/>
              <w:bidi w:val="0"/>
              <w:spacing w:before="0" w:after="0"/>
              <w:ind w:left="0" w:right="0" w:hanging="0"/>
              <w:jc w:val="left"/>
              <w:rPr/>
            </w:pPr>
            <w:r>
              <w:rPr/>
              <w:t>​</w:t>
            </w:r>
          </w:p>
        </w:tc>
        <w:tc>
          <w:tcPr>
            <w:tcW w:w="2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240"/>
        <w:ind w:left="0" w:right="0" w:hanging="0"/>
        <w:jc w:val="right"/>
        <w:rPr>
          <w:rFonts w:ascii="Times New Roman;Times;serif" w:hAnsi="Times New Roman;Times;serif"/>
          <w:b/>
          <w:sz w:val="20"/>
        </w:rPr>
      </w:pPr>
      <w:bookmarkStart w:id="1251" w:name="tmc-20230930xex31d1.htm"/>
      <w:bookmarkStart w:id="1252" w:name="kstmc20230930xex31d1"/>
      <w:bookmarkEnd w:id="1251"/>
      <w:bookmarkEnd w:id="1252"/>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CERTIFICATIONS UNDER SECTION 302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Gerard Barron, certify that: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1.   I have reviewed this quarterly report on Form 10-Q of TMC the metals company Inc;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9, 2023</w:t>
      </w:r>
    </w:p>
    <w:p>
      <w:pPr>
        <w:pStyle w:val="TextBody"/>
        <w:bidi w:val="0"/>
        <w:spacing w:before="0" w:after="0"/>
        <w:ind w:left="0" w:right="0" w:hanging="0"/>
        <w:jc w:val="left"/>
        <w:rPr/>
      </w:pPr>
      <w:r>
        <w:rPr/>
        <w:t>​</w:t>
      </w:r>
    </w:p>
    <w:tbl>
      <w:tblPr>
        <w:tblW w:w="4595" w:type="dxa"/>
        <w:jc w:val="center"/>
        <w:tblInd w:w="0" w:type="dxa"/>
        <w:tblLayout w:type="fixed"/>
        <w:tblCellMar>
          <w:top w:w="0" w:type="dxa"/>
          <w:left w:w="0" w:type="dxa"/>
          <w:bottom w:w="28" w:type="dxa"/>
          <w:right w:w="0" w:type="dxa"/>
        </w:tblCellMar>
      </w:tblPr>
      <w:tblGrid>
        <w:gridCol w:w="4441"/>
        <w:gridCol w:w="154"/>
      </w:tblGrid>
      <w:tr>
        <w:trPr/>
        <w:tc>
          <w:tcPr>
            <w:tcW w:w="444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Gerard Barron</w:t>
            </w:r>
          </w:p>
        </w:tc>
        <w:tc>
          <w:tcPr>
            <w:tcW w:w="154"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444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Gerard Barron</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444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Executive Officer </w:t>
            </w:r>
            <w:r>
              <w:rPr>
                <w:rFonts w:ascii="Times New Roman;Times;serif" w:hAnsi="Times New Roman;Times;serif"/>
                <w:i/>
                <w:sz w:val="20"/>
              </w:rPr>
              <w:t>(Principal Executive Officer)</w:t>
            </w:r>
          </w:p>
        </w:tc>
        <w:tc>
          <w:tcPr>
            <w:tcW w:w="154"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253" w:name="tmc-20230930xex31d2.htm"/>
      <w:bookmarkStart w:id="1254" w:name="kstmc20230930xex31d2"/>
      <w:bookmarkEnd w:id="1253"/>
      <w:bookmarkEnd w:id="1254"/>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CERTIFICATIONS UNDER SECTION 302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Craig Shesky, certify that: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1.   I have reviewed this quarterly report on Form 10-Q of TMC the metals company Inc.;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9, 2023</w:t>
      </w:r>
    </w:p>
    <w:p>
      <w:pPr>
        <w:pStyle w:val="TextBody"/>
        <w:bidi w:val="0"/>
        <w:spacing w:before="0" w:after="0"/>
        <w:ind w:left="0" w:right="0" w:hanging="0"/>
        <w:jc w:val="left"/>
        <w:rPr/>
      </w:pPr>
      <w:r>
        <w:rPr/>
        <w:t>​</w:t>
      </w:r>
    </w:p>
    <w:tbl>
      <w:tblPr>
        <w:tblW w:w="4550" w:type="dxa"/>
        <w:jc w:val="center"/>
        <w:tblInd w:w="0" w:type="dxa"/>
        <w:tblLayout w:type="fixed"/>
        <w:tblCellMar>
          <w:top w:w="0" w:type="dxa"/>
          <w:left w:w="0" w:type="dxa"/>
          <w:bottom w:w="28" w:type="dxa"/>
          <w:right w:w="0" w:type="dxa"/>
        </w:tblCellMar>
      </w:tblPr>
      <w:tblGrid>
        <w:gridCol w:w="4396"/>
        <w:gridCol w:w="154"/>
      </w:tblGrid>
      <w:tr>
        <w:trPr/>
        <w:tc>
          <w:tcPr>
            <w:tcW w:w="439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Shesky</w:t>
            </w:r>
          </w:p>
        </w:tc>
        <w:tc>
          <w:tcPr>
            <w:tcW w:w="154"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439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Craig Shesky</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439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Financial Officer </w:t>
            </w:r>
            <w:r>
              <w:rPr>
                <w:rFonts w:ascii="Times New Roman;Times;serif" w:hAnsi="Times New Roman;Times;serif"/>
                <w:i/>
                <w:sz w:val="20"/>
              </w:rPr>
              <w:t>(Principal Financial Officer)</w:t>
            </w:r>
          </w:p>
        </w:tc>
        <w:tc>
          <w:tcPr>
            <w:tcW w:w="154"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255" w:name="tmc-20230930xex32.htm"/>
      <w:bookmarkStart w:id="1256" w:name="kstmc20230930xex32"/>
      <w:bookmarkEnd w:id="1255"/>
      <w:bookmarkEnd w:id="1256"/>
      <w:r>
        <w:rPr>
          <w:rFonts w:ascii="Times New Roman;Times;serif" w:hAnsi="Times New Roman;Times;serif"/>
          <w:b/>
          <w:sz w:val="20"/>
        </w:rPr>
        <w:t>Exhibit 32</w:t>
      </w:r>
      <w:r>
        <w:br w:type="page"/>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CERTIFICATIONS UNDER SECTION 906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section 906 of the Sarbanes-Oxley Act of 2002 (subsections (a) and (b) of section 1350, chapter 63 of title 18, United States Code), each of the undersigned officers of TMC the metals company Inc., a British Columbia, Canada corporation (the “Company”), does hereby certify, to such officer’s knowledge, that: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Quarterly Report for the quarter ended September 30, 2023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pStyle w:val="TextBody"/>
        <w:bidi w:val="0"/>
        <w:spacing w:before="0" w:after="0"/>
        <w:ind w:left="0" w:right="0" w:hanging="0"/>
        <w:jc w:val="left"/>
        <w:rPr/>
      </w:pPr>
      <w:r>
        <w:rPr/>
        <w:t>​</w:t>
      </w:r>
    </w:p>
    <w:tbl>
      <w:tblPr>
        <w:tblW w:w="4727" w:type="dxa"/>
        <w:jc w:val="center"/>
        <w:tblInd w:w="0" w:type="dxa"/>
        <w:tblLayout w:type="fixed"/>
        <w:tblCellMar>
          <w:top w:w="0" w:type="dxa"/>
          <w:left w:w="0" w:type="dxa"/>
          <w:bottom w:w="0" w:type="dxa"/>
          <w:right w:w="0" w:type="dxa"/>
        </w:tblCellMar>
      </w:tblPr>
      <w:tblGrid>
        <w:gridCol w:w="2206"/>
        <w:gridCol w:w="2521"/>
      </w:tblGrid>
      <w:tr>
        <w:trPr/>
        <w:tc>
          <w:tcPr>
            <w:tcW w:w="220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November 9, 2023</w:t>
            </w:r>
          </w:p>
        </w:tc>
        <w:tc>
          <w:tcPr>
            <w:tcW w:w="25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Gerard Barron</w:t>
            </w:r>
          </w:p>
        </w:tc>
      </w:tr>
      <w:tr>
        <w:trPr/>
        <w:tc>
          <w:tcPr>
            <w:tcW w:w="2206" w:type="dxa"/>
            <w:tcBorders/>
            <w:vAlign w:val="center"/>
          </w:tcPr>
          <w:p>
            <w:pPr>
              <w:pStyle w:val="TableContents"/>
              <w:bidi w:val="0"/>
              <w:spacing w:before="0" w:after="0"/>
              <w:ind w:left="0" w:right="0" w:hanging="0"/>
              <w:jc w:val="left"/>
              <w:rPr/>
            </w:pPr>
            <w:r>
              <w:rPr/>
              <w:t> </w:t>
            </w:r>
          </w:p>
        </w:tc>
        <w:tc>
          <w:tcPr>
            <w:tcW w:w="25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Gerard Barron</w:t>
            </w:r>
          </w:p>
        </w:tc>
      </w:tr>
      <w:tr>
        <w:trPr/>
        <w:tc>
          <w:tcPr>
            <w:tcW w:w="2206" w:type="dxa"/>
            <w:tcBorders/>
            <w:vAlign w:val="center"/>
          </w:tcPr>
          <w:p>
            <w:pPr>
              <w:pStyle w:val="TableContents"/>
              <w:bidi w:val="0"/>
              <w:spacing w:before="0" w:after="0"/>
              <w:ind w:left="0" w:right="0" w:hanging="0"/>
              <w:jc w:val="left"/>
              <w:rPr/>
            </w:pPr>
            <w:r>
              <w:rPr/>
              <w:t> </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2206" w:type="dxa"/>
            <w:tcBorders/>
            <w:vAlign w:val="center"/>
          </w:tcPr>
          <w:p>
            <w:pPr>
              <w:pStyle w:val="TableContents"/>
              <w:bidi w:val="0"/>
              <w:spacing w:before="0" w:after="0"/>
              <w:ind w:left="0" w:right="0" w:hanging="0"/>
              <w:jc w:val="left"/>
              <w:rPr/>
            </w:pPr>
            <w:r>
              <w:rPr/>
              <w:t> </w:t>
            </w:r>
          </w:p>
        </w:tc>
        <w:tc>
          <w:tcPr>
            <w:tcW w:w="25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r>
        <w:trPr/>
        <w:tc>
          <w:tcPr>
            <w:tcW w:w="2206" w:type="dxa"/>
            <w:tcBorders/>
            <w:vAlign w:val="center"/>
          </w:tcPr>
          <w:p>
            <w:pPr>
              <w:pStyle w:val="TableContents"/>
              <w:bidi w:val="0"/>
              <w:spacing w:before="0" w:after="0"/>
              <w:ind w:left="0" w:right="0" w:hanging="0"/>
              <w:jc w:val="left"/>
              <w:rPr/>
            </w:pPr>
            <w:r>
              <w:rPr/>
              <w:t> </w:t>
            </w:r>
          </w:p>
        </w:tc>
        <w:tc>
          <w:tcPr>
            <w:tcW w:w="2521" w:type="dxa"/>
            <w:tcBorders/>
            <w:vAlign w:val="center"/>
          </w:tcPr>
          <w:p>
            <w:pPr>
              <w:pStyle w:val="TableContents"/>
              <w:bidi w:val="0"/>
              <w:spacing w:before="0" w:after="0"/>
              <w:ind w:left="0" w:right="0" w:hanging="0"/>
              <w:jc w:val="left"/>
              <w:rPr/>
            </w:pPr>
            <w:r>
              <w:rPr/>
              <w:t> </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November 9, 2023</w:t>
            </w:r>
          </w:p>
        </w:tc>
        <w:tc>
          <w:tcPr>
            <w:tcW w:w="25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Shesky</w:t>
            </w:r>
          </w:p>
        </w:tc>
      </w:tr>
      <w:tr>
        <w:trPr/>
        <w:tc>
          <w:tcPr>
            <w:tcW w:w="2206" w:type="dxa"/>
            <w:tcBorders/>
            <w:vAlign w:val="center"/>
          </w:tcPr>
          <w:p>
            <w:pPr>
              <w:pStyle w:val="TableContents"/>
              <w:bidi w:val="0"/>
              <w:spacing w:before="0" w:after="0"/>
              <w:ind w:left="0" w:right="0" w:hanging="0"/>
              <w:jc w:val="left"/>
              <w:rPr/>
            </w:pPr>
            <w:r>
              <w:rPr/>
              <w:t> </w:t>
            </w:r>
          </w:p>
        </w:tc>
        <w:tc>
          <w:tcPr>
            <w:tcW w:w="25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Craig Shesky</w:t>
            </w:r>
          </w:p>
        </w:tc>
      </w:tr>
      <w:tr>
        <w:trPr/>
        <w:tc>
          <w:tcPr>
            <w:tcW w:w="2206" w:type="dxa"/>
            <w:tcBorders/>
            <w:vAlign w:val="center"/>
          </w:tcPr>
          <w:p>
            <w:pPr>
              <w:pStyle w:val="TableContents"/>
              <w:bidi w:val="0"/>
              <w:spacing w:before="0" w:after="0"/>
              <w:ind w:left="0" w:right="0" w:hanging="0"/>
              <w:jc w:val="left"/>
              <w:rPr/>
            </w:pPr>
            <w:r>
              <w:rPr/>
              <w:t> </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206" w:type="dxa"/>
            <w:tcBorders/>
            <w:vAlign w:val="center"/>
          </w:tcPr>
          <w:p>
            <w:pPr>
              <w:pStyle w:val="TableContents"/>
              <w:bidi w:val="0"/>
              <w:spacing w:before="0" w:after="0"/>
              <w:ind w:left="0" w:right="0" w:hanging="0"/>
              <w:jc w:val="left"/>
              <w:rPr/>
            </w:pPr>
            <w:r>
              <w:rPr/>
              <w:t> </w:t>
            </w:r>
          </w:p>
        </w:tc>
        <w:tc>
          <w:tcPr>
            <w:tcW w:w="25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PS Std">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8562/000110465923091027/tm2323509d2_ex4-1.htm" TargetMode="External"/><Relationship Id="rId3" Type="http://schemas.openxmlformats.org/officeDocument/2006/relationships/hyperlink" Target="https://www.sec.gov/Archives/edgar/data/1798562/000110465923086437/tm2322494d1_ex10-1.htm" TargetMode="External"/><Relationship Id="rId4" Type="http://schemas.openxmlformats.org/officeDocument/2006/relationships/hyperlink" Target="https://www.sec.gov/Archives/edgar/data/1798562/000110465923086437/tm2322494d1_ex10-2.htm" TargetMode="External"/><Relationship Id="rId5" Type="http://schemas.openxmlformats.org/officeDocument/2006/relationships/hyperlink" Target="https://www.sec.gov/Archives/edgar/data/1798562/000110465923091027/tm2323509d2_ex10-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24741</Words>
  <Characters>134361</Characters>
  <CharactersWithSpaces>160444</CharactersWithSpaces>
  <Paragraphs>4516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