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30, 2023</w:t>
      </w:r>
    </w:p>
    <w:p>
      <w:pPr>
        <w:spacing w:after="0" w:line="34"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42545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TMC the metals company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British Columbia, Canada</w:t>
            </w:r>
          </w:p>
        </w:tc>
        <w:tc>
          <w:tcPr>
            <w:tcW w:w="3720" w:type="dxa"/>
            <w:vAlign w:val="bottom"/>
            <w:tcBorders>
              <w:top w:val="single" w:sz="8" w:color="auto"/>
            </w:tcBorders>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184"/>
        </w:trPr>
        <w:tc>
          <w:tcPr>
            <w:tcW w:w="37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(Primary Standard Industrial</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10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Number)</w:t>
            </w:r>
          </w:p>
        </w:tc>
      </w:tr>
    </w:tbl>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595 Howe Street, 10th Floor</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Vancouver, British Columbia</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V6C 2T5</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Telephone: (574) 252-9333</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spacing w:after="0" w:line="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122 East 42nd Street, 18th Floor</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New York, NY 10168</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Telephone: (800) 221-0102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Copies to:</w:t>
      </w:r>
    </w:p>
    <w:p>
      <w:pPr>
        <w:spacing w:after="0" w:line="22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Michael L. Fantozzi, Esq.</w:t>
      </w:r>
    </w:p>
    <w:p>
      <w:pPr>
        <w:spacing w:after="0" w:line="3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Daniel T. Kajunski, Esq.</w:t>
      </w:r>
    </w:p>
    <w:p>
      <w:pPr>
        <w:spacing w:after="0" w:line="1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Mintz, Levin, Cohn, Ferris,</w:t>
      </w:r>
    </w:p>
    <w:p>
      <w:pPr>
        <w:spacing w:after="0" w:line="1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Glovsky and Popeo, P.C.</w:t>
      </w:r>
    </w:p>
    <w:p>
      <w:pPr>
        <w:spacing w:after="0" w:line="1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One Financial Center</w:t>
      </w:r>
    </w:p>
    <w:p>
      <w:pPr>
        <w:spacing w:after="0" w:line="1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Boston, Massachusetts 02111</w:t>
      </w:r>
    </w:p>
    <w:p>
      <w:pPr>
        <w:spacing w:after="0" w:line="1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Telephone: (617) 542-6000</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p>
    <w:p>
      <w:pPr>
        <w:spacing w:after="0" w:line="18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62"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0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0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2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8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46"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38" w:orient="portrait"/>
          <w:cols w:equalWidth="0" w:num="1">
            <w:col w:w="11240"/>
          </w:cols>
          <w:pgMar w:left="320" w:top="433" w:right="339" w:bottom="0" w:gutter="0" w:footer="0" w:header="0"/>
        </w:sectPr>
      </w:pPr>
    </w:p>
    <w:bookmarkStart w:id="1" w:name="page2"/>
    <w:bookmarkEnd w:id="1"/>
    <w:p>
      <w:pPr>
        <w:spacing w:after="0" w:line="299" w:lineRule="auto"/>
        <w:rPr>
          <w:sz w:val="20"/>
          <w:szCs w:val="20"/>
          <w:color w:val="auto"/>
        </w:rPr>
      </w:pPr>
      <w:r>
        <w:rPr>
          <w:rFonts w:ascii="Times New Roman" w:cs="Times New Roman" w:eastAsia="Times New Roman" w:hAnsi="Times New Roman"/>
          <w:sz w:val="17"/>
          <w:szCs w:val="17"/>
          <w:b w:val="1"/>
          <w:bCs w:val="1"/>
          <w:color w:val="auto"/>
        </w:rPr>
        <w:t>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spacing w:after="0" w:line="278" w:lineRule="auto"/>
        <w:rPr>
          <w:sz w:val="20"/>
          <w:szCs w:val="20"/>
          <w:color w:val="auto"/>
        </w:rPr>
      </w:pPr>
      <w:r>
        <w:rPr>
          <w:rFonts w:ascii="Times New Roman" w:cs="Times New Roman" w:eastAsia="Times New Roman" w:hAnsi="Times New Roman"/>
          <w:sz w:val="17"/>
          <w:szCs w:val="17"/>
          <w:b w:val="1"/>
          <w:bCs w:val="1"/>
          <w:color w:val="D2232A"/>
        </w:rPr>
        <w:t>The information in this preliminary prospectus is not complete and may be changed. We may not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SUBJECT TO COMPLETION, DATED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154940</wp:posOffset>
            </wp:positionV>
            <wp:extent cx="2171065" cy="807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106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$100,000,000</w:t>
      </w:r>
    </w:p>
    <w:p>
      <w:pPr>
        <w:spacing w:after="0" w:line="2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may offer and sell securities from time to time in one or more offerings of up to $100,000,000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3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Common Shares are listed on the Nasdaq Global Select Market under the symbol “TMC”. On November 29, 2023, the last reported sale price of our Common Shares was $1.22 per share. We also have warrants to purchase Common Shares listed on the Nasdaq Global Select Market under the symbol “TMCWW”. On November 29, 2023, the last reported sale price of these public warrants to purchase Common Shares was $0.16.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“Risk Factors” on page 5 of this prospectus, included in any accompanying prospectus supplement and in the documents incorporated by reference in this prospectus for a discussion of the factors you should carefully consider before deciding to purchase these securities.</w:t>
      </w:r>
    </w:p>
    <w:p>
      <w:pPr>
        <w:spacing w:after="0" w:line="15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gridSpan w:val="6"/>
          </w:tcPr>
          <w:p>
            <w:pPr>
              <w:ind w:left="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560" w:type="dxa"/>
            <w:vAlign w:val="bottom"/>
            <w:gridSpan w:val="1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ABOUT THIS PROSPECTUS</w:t>
            </w:r>
          </w:p>
        </w:tc>
        <w:tc>
          <w:tcPr>
            <w:tcW w:w="1680" w:type="dxa"/>
            <w:vAlign w:val="bottom"/>
            <w:gridSpan w:val="3"/>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7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gridSpan w:val="6"/>
          </w:tcPr>
          <w:p>
            <w:pPr>
              <w:spacing w:after="0" w:line="171" w:lineRule="exact"/>
              <w:rPr>
                <w:sz w:val="20"/>
                <w:szCs w:val="20"/>
                <w:color w:val="auto"/>
              </w:rPr>
            </w:pPr>
            <w:r>
              <w:rPr>
                <w:rFonts w:ascii="Times New Roman" w:cs="Times New Roman" w:eastAsia="Times New Roman" w:hAnsi="Times New Roman"/>
                <w:sz w:val="17"/>
                <w:szCs w:val="17"/>
                <w:color w:val="0000EE"/>
              </w:rPr>
              <w:t>PROSPECTUS SUMMARY</w:t>
            </w:r>
          </w:p>
        </w:tc>
        <w:tc>
          <w:tcPr>
            <w:tcW w:w="7400" w:type="dxa"/>
            <w:vAlign w:val="bottom"/>
            <w:gridSpan w:val="12"/>
          </w:tcPr>
          <w:p>
            <w:pPr>
              <w:spacing w:after="0"/>
              <w:rPr>
                <w:sz w:val="14"/>
                <w:szCs w:val="14"/>
                <w:color w:val="auto"/>
              </w:rPr>
            </w:pP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RISK FACTORS</w:t>
            </w:r>
          </w:p>
        </w:tc>
        <w:tc>
          <w:tcPr>
            <w:tcW w:w="780" w:type="dxa"/>
            <w:vAlign w:val="bottom"/>
            <w:tcBorders>
              <w:right w:val="single" w:sz="8" w:color="CCEEFF"/>
            </w:tcBorders>
            <w:gridSpan w:val="3"/>
            <w:shd w:val="clear" w:color="auto" w:fill="CCEEFF"/>
          </w:tcPr>
          <w:p>
            <w:pPr>
              <w:spacing w:after="0"/>
              <w:rPr>
                <w:sz w:val="16"/>
                <w:szCs w:val="16"/>
                <w:color w:val="auto"/>
              </w:rPr>
            </w:pPr>
          </w:p>
        </w:tc>
        <w:tc>
          <w:tcPr>
            <w:tcW w:w="7560" w:type="dxa"/>
            <w:vAlign w:val="bottom"/>
            <w:tcBorders>
              <w:left w:val="single" w:sz="8" w:color="CCEEFF"/>
            </w:tcBorders>
            <w:gridSpan w:val="13"/>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5180" w:type="dxa"/>
            <w:vAlign w:val="bottom"/>
            <w:gridSpan w:val="15"/>
          </w:tcPr>
          <w:p>
            <w:pPr>
              <w:spacing w:after="0" w:line="171"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4380" w:type="dxa"/>
            <w:vAlign w:val="bottom"/>
            <w:gridSpan w:val="3"/>
          </w:tcPr>
          <w:p>
            <w:pPr>
              <w:spacing w:after="0"/>
              <w:rPr>
                <w:sz w:val="14"/>
                <w:szCs w:val="14"/>
                <w:color w:val="auto"/>
              </w:rPr>
            </w:pP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USE OF PROCEEDS</w:t>
            </w:r>
          </w:p>
        </w:tc>
        <w:tc>
          <w:tcPr>
            <w:tcW w:w="3640" w:type="dxa"/>
            <w:vAlign w:val="bottom"/>
            <w:gridSpan w:val="11"/>
            <w:shd w:val="clear" w:color="auto" w:fill="CCEEFF"/>
          </w:tcPr>
          <w:p>
            <w:pPr>
              <w:spacing w:after="0"/>
              <w:rPr>
                <w:sz w:val="16"/>
                <w:szCs w:val="16"/>
                <w:color w:val="auto"/>
              </w:rPr>
            </w:pPr>
          </w:p>
        </w:tc>
        <w:tc>
          <w:tcPr>
            <w:tcW w:w="4380" w:type="dxa"/>
            <w:vAlign w:val="bottom"/>
            <w:gridSpan w:val="3"/>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00" w:type="dxa"/>
            <w:vAlign w:val="bottom"/>
            <w:gridSpan w:val="5"/>
          </w:tcPr>
          <w:p>
            <w:pPr>
              <w:spacing w:after="0" w:line="171" w:lineRule="exact"/>
              <w:rPr>
                <w:sz w:val="20"/>
                <w:szCs w:val="20"/>
                <w:color w:val="auto"/>
              </w:rPr>
            </w:pPr>
            <w:r>
              <w:rPr>
                <w:rFonts w:ascii="Times New Roman" w:cs="Times New Roman" w:eastAsia="Times New Roman" w:hAnsi="Times New Roman"/>
                <w:sz w:val="17"/>
                <w:szCs w:val="17"/>
                <w:color w:val="0000EE"/>
              </w:rPr>
              <w:t>PLAN OF DISTRIBUTION</w:t>
            </w:r>
          </w:p>
        </w:tc>
        <w:tc>
          <w:tcPr>
            <w:tcW w:w="7560" w:type="dxa"/>
            <w:vAlign w:val="bottom"/>
            <w:gridSpan w:val="13"/>
          </w:tcPr>
          <w:p>
            <w:pPr>
              <w:spacing w:after="0"/>
              <w:rPr>
                <w:sz w:val="14"/>
                <w:szCs w:val="14"/>
                <w:color w:val="auto"/>
              </w:rPr>
            </w:pP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7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860" w:type="dxa"/>
            <w:vAlign w:val="bottom"/>
            <w:tcBorders>
              <w:bottom w:val="single" w:sz="8" w:color="0000EE"/>
            </w:tcBorders>
            <w:gridSpan w:val="1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COMMON SHARES AND SPECIAL SHARES</w:t>
            </w:r>
          </w:p>
        </w:tc>
        <w:tc>
          <w:tcPr>
            <w:tcW w:w="4700" w:type="dxa"/>
            <w:vAlign w:val="bottom"/>
            <w:tcBorders>
              <w:bottom w:val="single" w:sz="8" w:color="CCEEFF"/>
            </w:tcBorders>
            <w:gridSpan w:val="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60" w:type="dxa"/>
            <w:vAlign w:val="bottom"/>
            <w:tcBorders>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7"/>
                <w:szCs w:val="17"/>
                <w:color w:val="0000EE"/>
              </w:rPr>
              <w:t>DESCRIPTION OF PREFERRED SHARES</w:t>
            </w:r>
          </w:p>
        </w:tc>
        <w:tc>
          <w:tcPr>
            <w:tcW w:w="6400" w:type="dxa"/>
            <w:vAlign w:val="bottom"/>
            <w:gridSpan w:val="9"/>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1" w:lineRule="exact"/>
              <w:rPr>
                <w:sz w:val="20"/>
                <w:szCs w:val="20"/>
                <w:color w:val="auto"/>
              </w:rPr>
            </w:pPr>
            <w:r>
              <w:rPr>
                <w:rFonts w:ascii="Times New Roman" w:cs="Times New Roman" w:eastAsia="Times New Roman" w:hAnsi="Times New Roman"/>
                <w:sz w:val="17"/>
                <w:szCs w:val="17"/>
                <w:color w:val="0000EE"/>
                <w:w w:val="93"/>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40" w:type="dxa"/>
            <w:vAlign w:val="bottom"/>
            <w:tcBorders>
              <w:bottom w:val="single" w:sz="8" w:color="0000EE"/>
            </w:tcBorders>
            <w:gridSpan w:val="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620" w:type="dxa"/>
            <w:vAlign w:val="bottom"/>
            <w:tcBorders>
              <w:bottom w:val="single" w:sz="8" w:color="CCEEFF"/>
            </w:tcBorders>
            <w:gridSpan w:val="10"/>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20" w:type="dxa"/>
            <w:vAlign w:val="bottom"/>
            <w:tcBorders>
              <w:bottom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7"/>
                <w:szCs w:val="17"/>
                <w:color w:val="0000EE"/>
              </w:rPr>
              <w:t>DESCRIPTION OF WARRANTS</w:t>
            </w:r>
          </w:p>
        </w:tc>
        <w:tc>
          <w:tcPr>
            <w:tcW w:w="7140" w:type="dxa"/>
            <w:vAlign w:val="bottom"/>
            <w:gridSpan w:val="11"/>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1" w:lineRule="exact"/>
              <w:rPr>
                <w:sz w:val="20"/>
                <w:szCs w:val="20"/>
                <w:color w:val="auto"/>
              </w:rPr>
            </w:pPr>
            <w:r>
              <w:rPr>
                <w:rFonts w:ascii="Times New Roman" w:cs="Times New Roman" w:eastAsia="Times New Roman" w:hAnsi="Times New Roman"/>
                <w:sz w:val="17"/>
                <w:szCs w:val="17"/>
                <w:color w:val="0000EE"/>
                <w:w w:val="93"/>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6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UNITS</w:t>
            </w:r>
          </w:p>
        </w:tc>
        <w:tc>
          <w:tcPr>
            <w:tcW w:w="16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560" w:type="dxa"/>
            <w:vAlign w:val="bottom"/>
            <w:gridSpan w:val="18"/>
          </w:tcPr>
          <w:p>
            <w:pPr>
              <w:spacing w:after="0" w:line="171" w:lineRule="exact"/>
              <w:rPr>
                <w:sz w:val="20"/>
                <w:szCs w:val="20"/>
                <w:color w:val="auto"/>
              </w:rPr>
            </w:pPr>
            <w:r>
              <w:rPr>
                <w:rFonts w:ascii="Times New Roman" w:cs="Times New Roman" w:eastAsia="Times New Roman" w:hAnsi="Times New Roman"/>
                <w:sz w:val="17"/>
                <w:szCs w:val="17"/>
                <w:color w:val="0000EE"/>
              </w:rPr>
              <w:t>CERTAIN IMPORTANT PROVISIONS OF THE NOTICE OF ARTICLES AND ARTICLES AND THE BCBCA</w:t>
            </w: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20" w:type="dxa"/>
            <w:vAlign w:val="bottom"/>
            <w:tcBorders>
              <w:top w:val="single" w:sz="8" w:color="0000EE"/>
              <w:bottom w:val="single" w:sz="8" w:color="0000EE"/>
            </w:tcBorders>
            <w:gridSpan w:val="10"/>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OWNERSHIP AND EXCHANGE CONTROLS</w:t>
            </w:r>
          </w:p>
        </w:tc>
        <w:tc>
          <w:tcPr>
            <w:tcW w:w="462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0000EE"/>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9560" w:type="dxa"/>
            <w:vAlign w:val="bottom"/>
            <w:gridSpan w:val="18"/>
          </w:tcPr>
          <w:p>
            <w:pPr>
              <w:spacing w:after="0" w:line="171" w:lineRule="exact"/>
              <w:rPr>
                <w:sz w:val="20"/>
                <w:szCs w:val="20"/>
                <w:color w:val="auto"/>
              </w:rPr>
            </w:pPr>
            <w:r>
              <w:rPr>
                <w:rFonts w:ascii="Times New Roman" w:cs="Times New Roman" w:eastAsia="Times New Roman" w:hAnsi="Times New Roman"/>
                <w:sz w:val="17"/>
                <w:szCs w:val="17"/>
                <w:color w:val="0000EE"/>
              </w:rPr>
              <w:t>MATERIAL U.S. FEDERAL INCOME TAX CONSIDERATIONS</w:t>
            </w: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7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56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MATERIAL CANADIAN FEDERAL INCOME TAX CONSIDERATIONS</w:t>
            </w:r>
          </w:p>
        </w:tc>
        <w:tc>
          <w:tcPr>
            <w:tcW w:w="16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0000EE"/>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7"/>
                <w:szCs w:val="17"/>
                <w:color w:val="0000EE"/>
              </w:rPr>
              <w:t>LEGAL MATTERS</w:t>
            </w:r>
          </w:p>
        </w:tc>
        <w:tc>
          <w:tcPr>
            <w:tcW w:w="3920" w:type="dxa"/>
            <w:vAlign w:val="bottom"/>
            <w:tcBorders>
              <w:top w:val="single" w:sz="8" w:color="0000EE"/>
            </w:tcBorders>
            <w:gridSpan w:val="13"/>
          </w:tcPr>
          <w:p>
            <w:pPr>
              <w:spacing w:after="0"/>
              <w:rPr>
                <w:sz w:val="15"/>
                <w:szCs w:val="15"/>
                <w:color w:val="auto"/>
              </w:rPr>
            </w:pPr>
          </w:p>
        </w:tc>
        <w:tc>
          <w:tcPr>
            <w:tcW w:w="4220" w:type="dxa"/>
            <w:vAlign w:val="bottom"/>
            <w:tcBorders>
              <w:top w:val="single" w:sz="8" w:color="CCEEFF"/>
            </w:tcBorders>
            <w:gridSpan w:val="2"/>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1" w:lineRule="exact"/>
              <w:rPr>
                <w:sz w:val="20"/>
                <w:szCs w:val="20"/>
                <w:color w:val="auto"/>
              </w:rPr>
            </w:pPr>
            <w:r>
              <w:rPr>
                <w:rFonts w:ascii="Times New Roman" w:cs="Times New Roman" w:eastAsia="Times New Roman" w:hAnsi="Times New Roman"/>
                <w:sz w:val="17"/>
                <w:szCs w:val="17"/>
                <w:color w:val="0000EE"/>
                <w:w w:val="93"/>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60" w:type="dxa"/>
            <w:vAlign w:val="bottom"/>
            <w:tcBorders>
              <w:bottom w:val="single" w:sz="8" w:color="0000EE"/>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EXPERTS</w:t>
            </w:r>
          </w:p>
        </w:tc>
        <w:tc>
          <w:tcPr>
            <w:tcW w:w="8800" w:type="dxa"/>
            <w:vAlign w:val="bottom"/>
            <w:tcBorders>
              <w:bottom w:val="single" w:sz="8" w:color="CCEEFF"/>
            </w:tcBorders>
            <w:gridSpan w:val="17"/>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9560" w:type="dxa"/>
            <w:vAlign w:val="bottom"/>
            <w:gridSpan w:val="18"/>
          </w:tcPr>
          <w:p>
            <w:pPr>
              <w:spacing w:after="0" w:line="171"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6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7"/>
                <w:szCs w:val="17"/>
                <w:color w:val="0000EE"/>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7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56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INCORPORATION OF DOCUMENTS BY REFERENCE</w:t>
            </w:r>
          </w:p>
        </w:tc>
        <w:tc>
          <w:tcPr>
            <w:tcW w:w="16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7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context otherwise requires, “the Company,” “we,” “us,” “our” and similar terms refer to TMC the metals company Inc. and our subsidiaries.</w:t>
      </w:r>
    </w:p>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For investors outside the United States</w:t>
      </w:r>
      <w:r>
        <w:rPr>
          <w:rFonts w:ascii="Times New Roman" w:cs="Times New Roman" w:eastAsia="Times New Roman" w:hAnsi="Times New Roman"/>
          <w:sz w:val="17"/>
          <w:szCs w:val="17"/>
          <w:color w:val="auto"/>
        </w:rPr>
        <w:t>: We have not done anything that would permit these offerings or possession or distribution of this prospectus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568960</wp:posOffset>
            </wp:positionV>
            <wp:extent cx="7132320" cy="6417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17310"/>
                    </a:xfrm>
                    <a:prstGeom prst="rect">
                      <a:avLst/>
                    </a:prstGeom>
                    <a:noFill/>
                  </pic:spPr>
                </pic:pic>
              </a:graphicData>
            </a:graphic>
          </wp:anchor>
        </w:drawing>
        <w:t>PROSPECTUS SUMMARY</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TMC the metals company Inc.</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a deep-sea minerals exploration company focused on the collection, processing and refining of polymetallic nodules found on the seafloor in international waters of the Clarion Clipperton Zone, or the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clean energy transmission and other applications, and (iii) manganese silicate for manganese alloy production required for steel production. Our mission is to build a carefully managed, shared stock of metal, which we refer to as a metals commons, that can be used, recovered and reused for generations to come. Significant quantities of newly mined metal are required because existing metal stocks are insufficient to meet rapidly rising demand.</w:t>
      </w: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1.28 million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7"/>
          <w:szCs w:val="17"/>
          <w:color w:val="auto"/>
        </w:rPr>
        <w:t>,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still in the exploration phase and have not yet obtained any exploitation contracts from the ISA to commence commercial scale polymetallic nodule collection in the CCZ nor do we have the applicable environmental and other permits required to build and/ or operate commercial-scale polymetallic nodule processing and refining plants on land.</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currently focused on preparing to submit our application to the ISA for our first exploitation contract for the NORI Area D contract area following the July 2024 meetings of the ISA’s twenty-ninth session. To reach our objectives and initiate commercial production, if our potential application is approved,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20320</wp:posOffset>
            </wp:positionV>
            <wp:extent cx="7136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020"/>
          </w:cols>
          <w:pgMar w:left="420" w:top="98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203835</wp:posOffset>
            </wp:positionH>
            <wp:positionV relativeFrom="page">
              <wp:posOffset>568960</wp:posOffset>
            </wp:positionV>
            <wp:extent cx="7132320" cy="665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58610"/>
                    </a:xfrm>
                    <a:prstGeom prst="rect">
                      <a:avLst/>
                    </a:prstGeom>
                    <a:noFill/>
                  </pic:spPr>
                </pic:pic>
              </a:graphicData>
            </a:graphic>
          </wp:anchor>
        </w:drawing>
        <w:t>Cautionary Statements Regarding the NORI Initial Assessment and TOML Mineral Resource Statement</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NORI Initial Assessment and TOML Mineral Resource Statement do not include the conversion of mineral resources to mineral reserves.</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Likewise, you are cautioned not to assume that all or any part of measured or indicated mineral resources will ever be upgraded to mineral reserves.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Information</w:t>
      </w:r>
    </w:p>
    <w:p>
      <w:pPr>
        <w:spacing w:after="0" w:line="2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For additional information related to our business and operations, please refer to the reports incorporated herein by reference, as described under the caption “Incorporation of Documents by Reference” on page 44 of this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Corporate Information</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In connection with the Business Combination, SOAC changed its name to “TMC the metals company Inc.” Our principal executive offices are located at 595 Howe Street, 10th Floor, Vancouver, British Columbia V6C 2T5, and our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Business Corporations Act (British Columbia). Our website address is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20320</wp:posOffset>
            </wp:positionV>
            <wp:extent cx="7136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020"/>
          </w:cols>
          <w:pgMar w:left="420" w:top="982" w:right="459" w:bottom="1440" w:gutter="0" w:footer="0" w:header="0"/>
        </w:sectPr>
      </w:pPr>
    </w:p>
    <w:bookmarkStart w:id="7" w:name="page8"/>
    <w:bookmarkEnd w:id="7"/>
    <w:p>
      <w:pPr>
        <w:jc w:val="both"/>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203835</wp:posOffset>
            </wp:positionH>
            <wp:positionV relativeFrom="page">
              <wp:posOffset>568960</wp:posOffset>
            </wp:positionV>
            <wp:extent cx="7132320" cy="3996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996690"/>
                    </a:xfrm>
                    <a:prstGeom prst="rect">
                      <a:avLst/>
                    </a:prstGeom>
                    <a:noFill/>
                  </pic:spPr>
                </pic:pic>
              </a:graphicData>
            </a:graphic>
          </wp:anchor>
        </w:drawing>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Offerings Under This Prospectus by Us</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64" w:lineRule="exact"/>
        <w:rPr>
          <w:sz w:val="20"/>
          <w:szCs w:val="20"/>
          <w:color w:val="auto"/>
        </w:rPr>
      </w:pPr>
    </w:p>
    <w:p>
      <w:pPr>
        <w:ind w:left="640" w:hanging="316"/>
        <w:spacing w:after="0"/>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those agents or underwriters;</w:t>
      </w:r>
    </w:p>
    <w:p>
      <w:pPr>
        <w:spacing w:after="0" w:line="223"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fees, discounts and commissions to be paid to them;</w:t>
      </w:r>
    </w:p>
    <w:p>
      <w:pPr>
        <w:spacing w:after="0" w:line="223"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regarding over-allotment and other options to purchase additional securities, if any; and</w:t>
      </w:r>
    </w:p>
    <w:p>
      <w:pPr>
        <w:spacing w:after="0" w:line="223"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proceeds to 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any securities by us unless it is accompanied by a prospectus supplement.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20320</wp:posOffset>
            </wp:positionV>
            <wp:extent cx="71361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020"/>
          </w:cols>
          <w:pgMar w:left="420" w:top="986"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79" w:lineRule="exact"/>
        <w:rPr>
          <w:sz w:val="20"/>
          <w:szCs w:val="20"/>
          <w:color w:val="auto"/>
        </w:rPr>
      </w:pPr>
    </w:p>
    <w:p>
      <w:pPr>
        <w:ind w:left="640" w:hanging="321"/>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the net proceeds from this offering;</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and technical feasibility of seafloor polymetallic nodule collection and processing;</w:t>
      </w:r>
    </w:p>
    <w:p>
      <w:pPr>
        <w:spacing w:after="0" w:line="223"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6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and demand for battery metals and battery cathode feedstocks, copper cathode and manganese ores;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prices of battery metals and battery cathode feedstocks, copper cathode and manganese ores;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content of the ISA’s final exploitation regulations that will create the legal and technical framework for exploitation of polymetallic nodules in the CCZ;</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timing and content of an application for an exploitation contract and/or plan of work for exploitation to the ISA for NORI Area D and the ISA’s review and approval thereof;</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timing of commercial production if the ISA approves an application for an exploitation contract or plan of work for exploitation;</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of mineral extraction from the deep seafloor and changes in mining laws and regulations;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operational, environmental, social and governance risks of developing and deploying equipment to collect and ship polymetallic nodules at sea, and to process such nodules on land;</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sources and timing of potential revenue as well as the timing and amount of estimated future production, costs of production, other expenses, capital expenditures and requirements for additional capital;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 w:name="page11"/>
    <w:bookmarkEnd w:id="10"/>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provided by operating activities;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activities of our partners under our key strategic relationships;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on hand to meet our working capital and capital expenditure requirements, the need for additional financing and our ability to continue as a going concern;</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 in the future, the nature of any such financing and our plans with respect thereto;</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litigation to which we are a party;</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and limitations on insurance coverage;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restatement of our financial statements;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geological, metallurgical and geotechnical studies and opinions;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 estimates;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status as an emerging growth company, non-reporting Canadian issuer and passive foreign investment company;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3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We may offer securities under this prospectus from time to time pursuant to underwritten public offerings, negotiated transactions, block trades or a combination of these methods or any of the following:</w:t>
      </w:r>
    </w:p>
    <w:p>
      <w:pPr>
        <w:spacing w:after="0" w:line="147" w:lineRule="exact"/>
        <w:rPr>
          <w:sz w:val="20"/>
          <w:szCs w:val="20"/>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 entered into after the effective date of the registration statement of which this prospectus is a part;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sell the securities (1) through underwriters or dealers, (2) through agents or (3) directly to one or more purchasers, or through a combination of such methods. We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68"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price or prices, which may be changed from time to time;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prices prevailing at the time of sale;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prices related to the prevailing market prices; or</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negotiated prices.</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7"/>
          <w:szCs w:val="17"/>
          <w:color w:val="auto"/>
        </w:rPr>
        <w:t>With respect to underwritten public offerings, negotiated transactions and block trades, we,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If so indicated in a prospectus supplement, if required, we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2" w:lineRule="exact"/>
        <w:rPr>
          <w:sz w:val="20"/>
          <w:szCs w:val="20"/>
          <w:color w:val="auto"/>
        </w:rPr>
      </w:pPr>
    </w:p>
    <w:p>
      <w:pPr>
        <w:ind w:left="640" w:hanging="321"/>
        <w:spacing w:after="0" w:line="296"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146"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underwriters, dealers and agents may engage in other transactions with us, or perform other services for us, in the ordinary course of their business.</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COMMON SHARES AND SPECIAL SHARES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Shares</w:t>
      </w:r>
    </w:p>
    <w:p>
      <w:pPr>
        <w:spacing w:after="0" w:line="2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of November 28, 2023, there were 306,366,984 Common Shares issued and outstanding. As of November 28, 2023, we had approximately 326 record holders of our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Corporations Act </w:t>
      </w:r>
      <w:r>
        <w:rPr>
          <w:rFonts w:ascii="Times New Roman" w:cs="Times New Roman" w:eastAsia="Times New Roman" w:hAnsi="Times New Roman"/>
          <w:sz w:val="17"/>
          <w:szCs w:val="17"/>
          <w:color w:val="auto"/>
        </w:rPr>
        <w:t>(British Columbia), or the BCBCA, and prior rights of the holders of preferred shares and any other class ranking senior to the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Agent and Registrar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for our Common Shares is Continental Stock Transfer &amp; Trust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Exchange Listing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Shares are listed for trading on the Nasdaq Global Select Market under the symbol “TMC”.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Shares</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of November 28, 2023,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7"/>
          <w:szCs w:val="17"/>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w:t>
      </w:r>
    </w:p>
    <w:p>
      <w:pPr>
        <w:spacing w:after="0" w:line="2" w:lineRule="exact"/>
        <w:rPr>
          <w:sz w:val="20"/>
          <w:szCs w:val="20"/>
          <w:color w:val="auto"/>
        </w:rPr>
      </w:pPr>
    </w:p>
    <w:p>
      <w:pPr>
        <w:jc w:val="both"/>
        <w:ind w:firstLine="5"/>
        <w:spacing w:after="0" w:line="259" w:lineRule="auto"/>
        <w:tabs>
          <w:tab w:leader="none" w:pos="26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8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Special Shares will automatically convert into Common Shares on a one (1) for one (1) basis (unless adjusted as described below) upon the occurrence of the following events:</w:t>
      </w:r>
    </w:p>
    <w:p>
      <w:pPr>
        <w:spacing w:after="0" w:line="147" w:lineRule="exact"/>
        <w:rPr>
          <w:sz w:val="20"/>
          <w:szCs w:val="20"/>
          <w:color w:val="auto"/>
        </w:rPr>
      </w:pPr>
    </w:p>
    <w:p>
      <w:pPr>
        <w:jc w:val="both"/>
        <w:ind w:left="640" w:hanging="321"/>
        <w:spacing w:after="0" w:line="268"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w:t>
      </w:r>
    </w:p>
    <w:p>
      <w:pPr>
        <w:ind w:left="640" w:hanging="6"/>
        <w:spacing w:after="0" w:line="274" w:lineRule="auto"/>
        <w:tabs>
          <w:tab w:leader="none" w:pos="90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$15.00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w:t>
      </w:r>
    </w:p>
    <w:p>
      <w:pPr>
        <w:ind w:left="640" w:hanging="6"/>
        <w:spacing w:after="0" w:line="274" w:lineRule="auto"/>
        <w:tabs>
          <w:tab w:leader="none" w:pos="90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$25.00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w:t>
      </w:r>
    </w:p>
    <w:p>
      <w:pPr>
        <w:ind w:left="640" w:hanging="6"/>
        <w:spacing w:after="0" w:line="274" w:lineRule="auto"/>
        <w:tabs>
          <w:tab w:leader="none" w:pos="90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$35.00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w:t>
      </w:r>
    </w:p>
    <w:p>
      <w:pPr>
        <w:ind w:left="640" w:hanging="6"/>
        <w:spacing w:after="0" w:line="274" w:lineRule="auto"/>
        <w:tabs>
          <w:tab w:leader="none" w:pos="90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$50.00 per Common Share;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w:t>
      </w:r>
    </w:p>
    <w:p>
      <w:pPr>
        <w:ind w:left="640" w:hanging="6"/>
        <w:spacing w:after="0" w:line="274" w:lineRule="auto"/>
        <w:tabs>
          <w:tab w:leader="none" w:pos="90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$75.00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w:t>
      </w:r>
    </w:p>
    <w:p>
      <w:pPr>
        <w:ind w:left="640" w:hanging="6"/>
        <w:spacing w:after="0" w:line="274" w:lineRule="auto"/>
        <w:tabs>
          <w:tab w:leader="none" w:pos="89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$100.00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w:t>
      </w:r>
    </w:p>
    <w:p>
      <w:pPr>
        <w:ind w:left="640" w:hanging="6"/>
        <w:spacing w:after="0" w:line="274" w:lineRule="auto"/>
        <w:tabs>
          <w:tab w:leader="none" w:pos="89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$150.00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w:t>
      </w:r>
    </w:p>
    <w:p>
      <w:pPr>
        <w:ind w:left="640" w:hanging="6"/>
        <w:spacing w:after="0" w:line="274" w:lineRule="auto"/>
        <w:tabs>
          <w:tab w:leader="none" w:pos="89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$200.00 per Common Share;</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w:t>
      </w:r>
    </w:p>
    <w:p>
      <w:pPr>
        <w:ind w:left="640" w:hanging="6"/>
        <w:spacing w:after="0" w:line="274" w:lineRule="auto"/>
        <w:tabs>
          <w:tab w:leader="none" w:pos="90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$50.00 per Common Share; and</w:t>
      </w:r>
    </w:p>
    <w:p>
      <w:pPr>
        <w:spacing w:after="0" w:line="164" w:lineRule="exact"/>
        <w:rPr>
          <w:rFonts w:ascii="Times New Roman" w:cs="Times New Roman" w:eastAsia="Times New Roman" w:hAnsi="Times New Roman"/>
          <w:sz w:val="17"/>
          <w:szCs w:val="17"/>
          <w:color w:val="auto"/>
        </w:rPr>
      </w:pPr>
    </w:p>
    <w:p>
      <w:pPr>
        <w:jc w:val="both"/>
        <w:ind w:left="640" w:hanging="321"/>
        <w:spacing w:after="0" w:line="268"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w:t>
      </w:r>
    </w:p>
    <w:p>
      <w:pPr>
        <w:ind w:left="640" w:hanging="6"/>
        <w:spacing w:after="0" w:line="274" w:lineRule="auto"/>
        <w:tabs>
          <w:tab w:leader="none" w:pos="90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any transaction resulting in a Change of Control with a valuation of the Common Shares that is greater than or equal to $12.00 per Common Share.</w:t>
      </w:r>
    </w:p>
    <w:p>
      <w:pPr>
        <w:spacing w:after="0" w:line="1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3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PREFERRED SHARES</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describe in each prospectus supplement the following terms relating to a series of debt securities:</w:t>
      </w:r>
    </w:p>
    <w:p>
      <w:pPr>
        <w:spacing w:after="0" w:line="224"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or designation;</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and any limit on the amount that may be issued;</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units based on or relating to currencies in which debt securities of such series are denominated and the currency or units in which principal or interest or both will or may be payable;</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issue the series of debt securities in global form, the terms of any global securities and who the depositary will be;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and the date or dates on which principal will be payable;</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debt securities will be secured or unsecured, and the terms of any secured debt;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subordination of any series of subordinated debt;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0" w:name="page21"/>
    <w:bookmarkEnd w:id="20"/>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payments will be payable;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interest and the maximum length of any such deferral period;</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after which, and the price at which, we may, at our option, redeem the series of debt securities pursuant to any optional redemption provisions;</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which, and the price at which we are obligated, pursuant to any mandatory sinking fund provisions or otherwise, to redeem, or at the holder’s option to purchase, the series of debt securities;</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indenture will restrict our ability to pay dividends, or will require us to maintain any asset ratios or reserves;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be restricted from incurring any additional indebtedness;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considerations applicable to a series of debt securities;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or Exchange Rights</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Merger or Sale; No Protection in Event of a Change of Control or Highly Leveraged Transaction</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3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Events of Default Under the Indenture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events of default under the indentures with respect to any series of debt securities that we may issue:</w:t>
      </w:r>
    </w:p>
    <w:p>
      <w:pPr>
        <w:spacing w:after="0" w:line="224" w:lineRule="exact"/>
        <w:rPr>
          <w:sz w:val="20"/>
          <w:szCs w:val="20"/>
          <w:color w:val="auto"/>
        </w:rPr>
      </w:pPr>
    </w:p>
    <w:p>
      <w:pPr>
        <w:ind w:left="5540" w:right="1360" w:hanging="5221"/>
        <w:spacing w:after="0" w:line="525" w:lineRule="auto"/>
        <w:tabs>
          <w:tab w:leader="none" w:pos="63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interest when due and our failure continues for 90 days and the time for payment has not been extended or deferred;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ind w:left="640" w:hanging="321"/>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the principal, or premium, if any, when due and the time for payment has not been extended or delayed;</w:t>
      </w:r>
    </w:p>
    <w:p>
      <w:pPr>
        <w:spacing w:after="0" w:line="223" w:lineRule="exact"/>
        <w:rPr>
          <w:rFonts w:ascii="Times New Roman" w:cs="Times New Roman" w:eastAsia="Times New Roman" w:hAnsi="Times New Roman"/>
          <w:sz w:val="17"/>
          <w:szCs w:val="17"/>
          <w:color w:val="auto"/>
        </w:rPr>
      </w:pPr>
    </w:p>
    <w:p>
      <w:pPr>
        <w:jc w:val="both"/>
        <w:ind w:left="640" w:hanging="321"/>
        <w:spacing w:after="0" w:line="270"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68"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specified events of bankruptcy, insolvency or reorganization occur as to us.</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70" w:lineRule="exact"/>
        <w:rPr>
          <w:sz w:val="20"/>
          <w:szCs w:val="20"/>
          <w:color w:val="auto"/>
        </w:rPr>
      </w:pPr>
    </w:p>
    <w:p>
      <w:pPr>
        <w:ind w:left="640" w:hanging="321"/>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direction so given by the holder is not in conflict with any law or the applicable indenture; and</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4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A holder of the debt securities of any series will only have the right to institute a proceeding under the indentures or to appoint a receiver or trustee, or to seek other remedies if:</w:t>
      </w:r>
    </w:p>
    <w:p>
      <w:pPr>
        <w:spacing w:after="0" w:line="147" w:lineRule="exact"/>
        <w:rPr>
          <w:sz w:val="20"/>
          <w:szCs w:val="20"/>
          <w:color w:val="auto"/>
        </w:rPr>
      </w:pPr>
    </w:p>
    <w:p>
      <w:pPr>
        <w:ind w:left="5540" w:right="1620" w:hanging="5221"/>
        <w:spacing w:after="0" w:line="525" w:lineRule="auto"/>
        <w:tabs>
          <w:tab w:leader="none" w:pos="63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previously has given written notice to the debenture trustee of a continuing event of default with respect to that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ind w:left="640" w:hanging="321"/>
        <w:spacing w:after="0" w:line="296"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6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These limitations do not apply to a suit instituted by a holder of debt securities if we default in the payment of the principal, premium, if any, or interest on, the debt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periodically file statements with the applicable debenture trustee regarding our compliance with specified covenants in the applicable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Indenture; Waiver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debenture trustee and we may change the applicable indenture without the consent of any holders with respect to specific matters, including:</w:t>
      </w:r>
    </w:p>
    <w:p>
      <w:pPr>
        <w:spacing w:after="0" w:line="224" w:lineRule="exact"/>
        <w:rPr>
          <w:sz w:val="20"/>
          <w:szCs w:val="20"/>
          <w:color w:val="auto"/>
        </w:rPr>
      </w:pPr>
    </w:p>
    <w:p>
      <w:pPr>
        <w:ind w:left="640" w:hanging="321"/>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fix any ambiguity, defect or inconsistency in the indenture;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change anything that does not materially adversely affect the interests of any holder of debt securities of any series issued pursuant to such indenture.</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68" w:lineRule="exact"/>
        <w:rPr>
          <w:sz w:val="20"/>
          <w:szCs w:val="20"/>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fixed maturity of the series of debt securities;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principal amount, reducing the rate of or extending the time of payment of interest, or any premium payable upon the redemption of any debt securities;</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principal amount of discount securities payable upon acceleration of maturity;</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principal of or premium or interest on any debt security payable in currency other than that stated in the debt security; or</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percentage of debt securities, the holders of which are required to consent to any amendment or waiver.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Discharge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indenture provides that we can elect to be discharged from our obligations with respect to one or more series of debt securities, except for obligations to:</w:t>
      </w:r>
    </w:p>
    <w:p>
      <w:pPr>
        <w:spacing w:after="0" w:line="224" w:lineRule="exact"/>
        <w:rPr>
          <w:sz w:val="20"/>
          <w:szCs w:val="20"/>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or exchange of debt securities of the series;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 stolen, lost or mutilated debt securities of the series;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paying agencies;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monies for payment in trust;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 and indemnify the trustee;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any successor trustee.</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 Exchange and Transfer</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elect to redeem the debt securities of any series, we will not be required to: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left="640" w:hanging="321"/>
        <w:spacing w:after="0" w:line="276"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6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securities so selected for redemption, in whole or in part, except the unredeemed portion of any debt securities we are redeeming in part.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Concerning the Debenture Trustee</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Payment and Paying Agents</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3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Governing Law</w:t>
      </w:r>
    </w:p>
    <w:p>
      <w:pPr>
        <w:spacing w:after="0" w:line="2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indentures and the debt securities will be governed by and construed in accordance with the laws of the State of New York, except to the extent that the Trust Indenture Act is applicable.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Subordination of Subordinated Debt Securities</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applicable prospectus supplement will contain, where applicable, the following terms of and other information relating to the warrants:</w:t>
      </w:r>
    </w:p>
    <w:p>
      <w:pPr>
        <w:spacing w:after="0" w:line="224"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and aggregate number of, and the price at which we will issue, the warrants;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units in which the offering price, if any, and the exercise price are payable;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amount and terms of the securities purchasable upon exercise of the warrants;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our common shares and the number of our common shares to be received upon exercise of the warrants;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our preferred shares, the number of preferred shares to be received upon exercise, and a description of that series of our preferred shares;</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exercise price for our debt securities, the amount of debt securities to be received upon exercise, and a description of that series of debt securities;</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listing, if any, of the warrants or any securities purchasable upon exercise of the warrants on any securities exchange;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from and after which the warrants and the common shares, preferred shares and/or debt securities will be separately transferable;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the warrants that may be exercised at any one time;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anti-dilution provisions of the warrants, if any;</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call provisions;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may be sold separately or with other securities as parts of units;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ind w:left="640" w:hanging="321"/>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governing law of the warrants; and</w:t>
      </w:r>
    </w:p>
    <w:p>
      <w:pPr>
        <w:spacing w:after="0" w:line="223" w:lineRule="exact"/>
        <w:rPr>
          <w:rFonts w:ascii="Times New Roman" w:cs="Times New Roman" w:eastAsia="Times New Roman" w:hAnsi="Times New Roman"/>
          <w:sz w:val="17"/>
          <w:szCs w:val="17"/>
          <w:color w:val="auto"/>
        </w:rPr>
      </w:pPr>
    </w:p>
    <w:p>
      <w:pPr>
        <w:ind w:right="1220" w:firstLine="319"/>
        <w:spacing w:after="0" w:line="512" w:lineRule="auto"/>
        <w:tabs>
          <w:tab w:leader="none" w:pos="62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and exercise of the warrants. The transfer agent and registrar for any warrants we offer will be set forth in the applicable prospectus supplement.</w:t>
      </w: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Warrants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Warrants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November 28, 2023,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Once the warrants become exercisable, we may call the warrants for redemption:</w:t>
      </w:r>
    </w:p>
    <w:p>
      <w:pPr>
        <w:spacing w:after="0" w:line="224" w:lineRule="exact"/>
        <w:rPr>
          <w:sz w:val="20"/>
          <w:szCs w:val="20"/>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223"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color w:val="auto"/>
        </w:rPr>
        <w:t>Redemption Procedures and Cashless Exercise</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Anti-dilution Adjustments</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w:t>
      </w:r>
    </w:p>
    <w:p>
      <w:pPr>
        <w:spacing w:after="0" w:line="5" w:lineRule="exact"/>
        <w:rPr>
          <w:sz w:val="20"/>
          <w:szCs w:val="20"/>
          <w:color w:val="auto"/>
        </w:rPr>
      </w:pPr>
    </w:p>
    <w:p>
      <w:pPr>
        <w:jc w:val="both"/>
        <w:ind w:firstLine="5"/>
        <w:spacing w:after="0" w:line="261" w:lineRule="auto"/>
        <w:tabs>
          <w:tab w:leader="none" w:pos="2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8" w:name="page29"/>
    <w:bookmarkEnd w:id="28"/>
    <w:p>
      <w:pPr>
        <w:jc w:val="both"/>
        <w:spacing w:after="0" w:line="276" w:lineRule="auto"/>
        <w:rPr>
          <w:sz w:val="20"/>
          <w:szCs w:val="20"/>
          <w:color w:val="auto"/>
        </w:rPr>
      </w:pPr>
      <w:r>
        <w:rPr>
          <w:rFonts w:ascii="Times New Roman" w:cs="Times New Roman" w:eastAsia="Times New Roman" w:hAnsi="Times New Roman"/>
          <w:sz w:val="17"/>
          <w:szCs w:val="17"/>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w:t>
      </w:r>
    </w:p>
    <w:p>
      <w:pPr>
        <w:spacing w:after="0" w:line="3" w:lineRule="exact"/>
        <w:rPr>
          <w:sz w:val="20"/>
          <w:szCs w:val="20"/>
          <w:color w:val="auto"/>
        </w:rPr>
      </w:pPr>
    </w:p>
    <w:p>
      <w:pPr>
        <w:jc w:val="both"/>
        <w:ind w:firstLine="5"/>
        <w:spacing w:after="0" w:line="263" w:lineRule="auto"/>
        <w:tabs>
          <w:tab w:leader="none" w:pos="34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warrant holders do not have the rights or privileges of holders of Common Shares and any voting rights until they exercise their warrants and receive Common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76" w:lineRule="auto"/>
        <w:rPr>
          <w:sz w:val="20"/>
          <w:szCs w:val="20"/>
          <w:color w:val="auto"/>
        </w:rPr>
      </w:pPr>
      <w:r>
        <w:rPr>
          <w:rFonts w:ascii="Times New Roman" w:cs="Times New Roman" w:eastAsia="Times New Roman" w:hAnsi="Times New Roman"/>
          <w:sz w:val="17"/>
          <w:szCs w:val="17"/>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Agent and Registrar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agent for our public warrants is Continental Stock Transfer &amp; Trust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Exchange Listing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public warrants are listed for trading on the Nasdaq Global Select Market under the symbol “TMCWW”.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 Warrants</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November 28, 2023,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Warrants</w:t>
      </w:r>
    </w:p>
    <w:p>
      <w:pPr>
        <w:spacing w:after="0" w:line="2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part of the August 14, 2023 registered direct offering of common shares and accompanying Class A warrants to purchase common shares at a purchase price of $2.00 per common share and accompanying half of a Class A warrant to purchase one common share, as of November 28, 2023, we have issued Class A warrants to purchase 3,980,770 common shares and expect to issue additional Class A warrants to purchase 2,250,000 common shares on or before January 31, 2024.</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Exercisability</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color w:val="auto"/>
        </w:rPr>
        <w:t>Exercise Limitation</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Price; Adjustment</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Transferability/Warrant Agent</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Market</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do not plan on making the Class A warrants eligible to trade on any national securities exchange or any other nationally recognized trading system or market.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Fundamental Transactions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Call Provision</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Price Adjustment for Certain Share Issuances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color w:val="auto"/>
        </w:rPr>
        <w:t>Rights as a Shareholder</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Governing Law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Class A warrants are governed by New York law.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units being offered, including:</w:t>
      </w:r>
    </w:p>
    <w:p>
      <w:pPr>
        <w:spacing w:after="0" w:line="224" w:lineRule="exact"/>
        <w:rPr>
          <w:sz w:val="20"/>
          <w:szCs w:val="20"/>
          <w:color w:val="auto"/>
        </w:rPr>
      </w:pPr>
    </w:p>
    <w:p>
      <w:pPr>
        <w:ind w:left="640" w:hanging="321"/>
        <w:spacing w:after="0" w:line="29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units and of the securities comprising the units, including whether and under what circumstances those securities may be held or transferred separately;</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of the governing unit agreement that differ from those described below;</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governing law of the unit agreement;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the issuance, payment, settlement, transfer or exchange of the units or of the securities comprising the units.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issue units in such amounts and in such numbers of distinct series as we determine.</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 Agent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name and address of the unit agent for any units we offer will be set forth in the applicable prospectus supplement.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Enforceability of Rights by Holders of Units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CERTAIN IMPORTANT PROVISIONS OF THE NOTICE OF ARTICLES AND ARTICLES AND THE BCBCA</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Stated Objects or Purposes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notice of articles and articles do not contain stated objects or purposes and do not place any limitations on the business that we may carry 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w:t>
      </w:r>
    </w:p>
    <w:p>
      <w:pPr>
        <w:spacing w:after="0" w:line="1" w:lineRule="exact"/>
        <w:rPr>
          <w:sz w:val="20"/>
          <w:szCs w:val="20"/>
          <w:color w:val="auto"/>
        </w:rPr>
      </w:pPr>
    </w:p>
    <w:p>
      <w:pPr>
        <w:jc w:val="both"/>
        <w:ind w:firstLine="5"/>
        <w:spacing w:after="0" w:line="260" w:lineRule="auto"/>
        <w:tabs>
          <w:tab w:leader="none" w:pos="2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3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Number of shares required to be owned by a director. Our Articles do not and the BCBCA does not provide that a director is required to hold any of Common Shares as a qualification for holding his or her office.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Meetings</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7"/>
          <w:szCs w:val="17"/>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Proposals and Advance Notice Procedures</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These provisions could have the effect of delaying until the next shareholder meeting the nomination of certain persons for director that are favored by the holders of a majority of our outstanding voting securities.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Forum Selection</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of Liability and Indemnification</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w:t>
      </w:r>
    </w:p>
    <w:p>
      <w:pPr>
        <w:spacing w:after="0" w:line="3" w:lineRule="exact"/>
        <w:rPr>
          <w:sz w:val="20"/>
          <w:szCs w:val="20"/>
          <w:color w:val="auto"/>
        </w:rPr>
      </w:pPr>
    </w:p>
    <w:p>
      <w:pPr>
        <w:jc w:val="both"/>
        <w:ind w:firstLine="5"/>
        <w:spacing w:after="0" w:line="260" w:lineRule="auto"/>
        <w:tabs>
          <w:tab w:leader="none" w:pos="21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OWNERSHIP AND EXCHANGE CONTROLS</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There is no limitation imposed by Canadian law or by the notice of articles and articles on the right of a non-resident to hold or vote Common Shares, other than discussed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 Act</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Canada Act</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spacing w:after="0" w:line="3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7" w:name="page38"/>
    <w:bookmarkEnd w:id="37"/>
    <w:p>
      <w:pPr>
        <w:spacing w:after="0" w:line="296" w:lineRule="auto"/>
        <w:rPr>
          <w:sz w:val="20"/>
          <w:szCs w:val="20"/>
          <w:color w:val="auto"/>
        </w:rPr>
      </w:pPr>
      <w:r>
        <w:rPr>
          <w:rFonts w:ascii="Times New Roman" w:cs="Times New Roman" w:eastAsia="Times New Roman" w:hAnsi="Times New Roman"/>
          <w:sz w:val="17"/>
          <w:szCs w:val="17"/>
          <w:color w:val="auto"/>
        </w:rPr>
        <w:t>Certain transactions relating to Common Shares will generally be exempt from the Investment Canada Act, subject to the federal government’s prerogative to conduct a national-security review, including:</w:t>
      </w:r>
    </w:p>
    <w:p>
      <w:pPr>
        <w:spacing w:after="0" w:line="147" w:lineRule="exact"/>
        <w:rPr>
          <w:sz w:val="20"/>
          <w:szCs w:val="20"/>
          <w:color w:val="auto"/>
        </w:rPr>
      </w:pPr>
    </w:p>
    <w:p>
      <w:pPr>
        <w:ind w:left="640" w:hanging="321"/>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Common Shares by a person in the ordinary course of that person’s business as a trader or dealer in securities;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in connection with the realization of security granted for a loan or other financial assistance and not for any purpose related to the provisions of the Investment Canada Act; and</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22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70" w:lineRule="exact"/>
        <w:rPr>
          <w:sz w:val="20"/>
          <w:szCs w:val="20"/>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mutual funds;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corporations;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elect mark-to-market treatment;</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trusts and estates;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(including private foundations);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subject to the alternative minimum tax provisions of the Code;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that have a functional currency other than the U.S. dollar;</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or former long-term residents of the United States;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subject to the U.S. “inversion” rules;</w:t>
      </w:r>
    </w:p>
    <w:p>
      <w:pPr>
        <w:spacing w:after="0" w:line="223" w:lineRule="exact"/>
        <w:rPr>
          <w:rFonts w:ascii="Times New Roman" w:cs="Times New Roman" w:eastAsia="Times New Roman" w:hAnsi="Times New Roman"/>
          <w:sz w:val="17"/>
          <w:szCs w:val="17"/>
          <w:color w:val="auto"/>
        </w:rPr>
      </w:pPr>
    </w:p>
    <w:p>
      <w:pPr>
        <w:ind w:left="640" w:hanging="321"/>
        <w:spacing w:after="0" w:line="268"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accrual method taxpayers that file applicable financial statements as described in Section 451(b) of the Code;</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passive foreign investment companies;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9" w:name="page40"/>
    <w:bookmarkEnd w:id="39"/>
    <w:p>
      <w:pPr>
        <w:ind w:left="640" w:hanging="321"/>
        <w:spacing w:after="0"/>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are not U.S. Holders, all of whom may be subject to tax rules that differ materially from those summarized below.</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discussion, a “U.S. Holder” is a beneficial owner of Common Shares or public warrants, as the case may be, that is:</w:t>
      </w:r>
    </w:p>
    <w:p>
      <w:pPr>
        <w:spacing w:after="0" w:line="224" w:lineRule="exact"/>
        <w:rPr>
          <w:sz w:val="20"/>
          <w:szCs w:val="20"/>
          <w:color w:val="auto"/>
        </w:rPr>
      </w:pPr>
    </w:p>
    <w:p>
      <w:pPr>
        <w:ind w:left="640" w:hanging="321"/>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U.S. citizen or resident of the United States;</w:t>
      </w:r>
    </w:p>
    <w:p>
      <w:pPr>
        <w:spacing w:after="0" w:line="22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spacing w:after="0" w:line="146"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includible in gross income for U.S. federal income tax purposes regardless of its source; or</w:t>
      </w:r>
    </w:p>
    <w:p>
      <w:pPr>
        <w:spacing w:after="0" w:line="223"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Consequences of Ownership and Disposition of Common Shares and Public Warrants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 and Other Distributions on Common Shares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Subject to the PFIC rules discussed below under the heading “-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7"/>
          <w:szCs w:val="17"/>
          <w:i w:val="1"/>
          <w:iCs w:val="1"/>
          <w:color w:val="auto"/>
        </w:rPr>
        <w:t>Tax Consequences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Ownership and Disposition of Common Shares and Public Warrants - Sale, Taxable Exchange or Other Taxable Disposition of Common Shares and Public Warrants.</w:t>
      </w:r>
      <w:r>
        <w:rPr>
          <w:rFonts w:ascii="Times New Roman" w:cs="Times New Roman" w:eastAsia="Times New Roman" w:hAnsi="Times New Roman"/>
          <w:sz w:val="17"/>
          <w:szCs w:val="17"/>
          <w:color w:val="auto"/>
        </w:rPr>
        <w:t>” The amount of any such distribution will include any amounts withheld by us (or another applicable withholding agent) in respect of Canadian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jc w:val="both"/>
        <w:spacing w:after="0" w:line="265" w:lineRule="auto"/>
        <w:rPr>
          <w:sz w:val="20"/>
          <w:szCs w:val="20"/>
          <w:color w:val="auto"/>
        </w:rPr>
      </w:pPr>
      <w:r>
        <w:rPr>
          <w:rFonts w:ascii="Times New Roman" w:cs="Times New Roman" w:eastAsia="Times New Roman" w:hAnsi="Times New Roman"/>
          <w:sz w:val="17"/>
          <w:szCs w:val="17"/>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Taxable Exchange or Other Taxable Disposition of Common Shares and Public Warrants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Subject to the PFIC rules discussed below under the heading “-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 w:cs="Times New Roman" w:eastAsia="Times New Roman" w:hAnsi="Times New Roman"/>
          <w:sz w:val="17"/>
          <w:szCs w:val="17"/>
          <w:i w:val="1"/>
          <w:iCs w:val="1"/>
          <w:color w:val="auto"/>
        </w:rPr>
        <w:t>- Tax Consequences of Ownership and Disposition of Common Shares and 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 - Exercise or Lapse of a Public Warrant</w:t>
      </w:r>
      <w:r>
        <w:rPr>
          <w:rFonts w:ascii="Times New Roman" w:cs="Times New Roman" w:eastAsia="Times New Roman" w:hAnsi="Times New Roman"/>
          <w:sz w:val="17"/>
          <w:szCs w:val="17"/>
          <w:color w:val="auto"/>
        </w:rPr>
        <w:t>”). Any such gain or loss generally will be capital gain or loss and will be long-term capital gain or loss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or Lapse of a Public Warrant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3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7"/>
          <w:szCs w:val="17"/>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 w:cs="Times New Roman" w:eastAsia="Times New Roman" w:hAnsi="Times New Roman"/>
          <w:sz w:val="17"/>
          <w:szCs w:val="17"/>
          <w:i w:val="1"/>
          <w:iCs w:val="1"/>
          <w:color w:val="auto"/>
        </w:rPr>
        <w:t>Tax Consequences of Ownership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Adjustment to Exercise Price</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w:t>
      </w:r>
      <w:r>
        <w:rPr>
          <w:rFonts w:ascii="Times New Roman" w:cs="Times New Roman" w:eastAsia="Times New Roman" w:hAnsi="Times New Roman"/>
          <w:sz w:val="17"/>
          <w:szCs w:val="17"/>
          <w:i w:val="1"/>
          <w:iCs w:val="1"/>
          <w:color w:val="auto"/>
        </w:rPr>
        <w:t>Tax Consequences of Ownership and Disposition of Common Shares and Public Warrants - Dividends and Other Distributions on Common Shares</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2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treatment of U.S. Holders of Common Shares and public warrants could be materially different from that described above if the Company is treated as a PFIC for U.S. federal income tax purposes.</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Under these rules:</w:t>
      </w:r>
    </w:p>
    <w:p>
      <w:pPr>
        <w:spacing w:after="0" w:line="224" w:lineRule="exact"/>
        <w:rPr>
          <w:sz w:val="20"/>
          <w:szCs w:val="20"/>
          <w:color w:val="auto"/>
        </w:rPr>
      </w:pPr>
    </w:p>
    <w:p>
      <w:pPr>
        <w:ind w:left="640" w:hanging="321"/>
        <w:spacing w:after="0"/>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Common Shares;</w:t>
      </w:r>
    </w:p>
    <w:p>
      <w:pPr>
        <w:spacing w:after="0" w:line="223"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63"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spacing w:after="0" w:line="146"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PFIC Elections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17"/>
          <w:szCs w:val="17"/>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PFIC Rules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jc w:val="both"/>
        <w:spacing w:after="0" w:line="276"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MATERIAL CANADIAN FEDERAL INCOME TAX CONSIDERATIONS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summary applies only to a Non-Resident Holder who, at all relevant times, for purposes of the Tax Act:</w:t>
      </w:r>
    </w:p>
    <w:p>
      <w:pPr>
        <w:spacing w:after="0" w:line="224" w:lineRule="exact"/>
        <w:rPr>
          <w:sz w:val="20"/>
          <w:szCs w:val="20"/>
          <w:color w:val="auto"/>
        </w:rPr>
      </w:pPr>
    </w:p>
    <w:p>
      <w:pPr>
        <w:ind w:left="640" w:hanging="321"/>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Common Shares and/or public warrants as capital property;</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and is not deemed to, use or hold Common Shares or public warrants in the course of carrying on a business in Canada; and</w:t>
      </w:r>
    </w:p>
    <w:p>
      <w:pPr>
        <w:spacing w:after="0" w:line="223"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deals at arm’s length and is not affiliated with us.</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Special rules, which are not discussed in this summary, may apply to a Non-Resident Holder that is an insurer that carries on an insurance business in Canada and elsewhere or an “authorized foreign bank” (as defined in the Tax Act).</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Cost Base of Common Shares</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of Public Warrants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Dividends on Common Shares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 of Common Shares and Public Warrants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64" w:lineRule="exact"/>
        <w:rPr>
          <w:sz w:val="20"/>
          <w:szCs w:val="20"/>
          <w:color w:val="auto"/>
        </w:rPr>
      </w:pPr>
    </w:p>
    <w:p>
      <w:pPr>
        <w:ind w:left="640" w:hanging="321"/>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Non-Resident Holder, (b) persons with whom the Non-Resident Holder does not deal at arm’s length (for the purposes of the Tax Act),</w:t>
      </w:r>
    </w:p>
    <w:p>
      <w:pPr>
        <w:spacing w:after="0" w:line="32" w:lineRule="exact"/>
        <w:rPr>
          <w:rFonts w:ascii="Times New Roman" w:cs="Times New Roman" w:eastAsia="Times New Roman" w:hAnsi="Times New Roman"/>
          <w:sz w:val="17"/>
          <w:szCs w:val="17"/>
          <w:color w:val="auto"/>
        </w:rPr>
      </w:pPr>
    </w:p>
    <w:p>
      <w:pPr>
        <w:jc w:val="both"/>
        <w:ind w:left="6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financial statements of TMC the metals company Inc. as of December 31, 2022 and 2021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We also maintain a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DOCUMENTS BY REFERENCE</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5" w:lineRule="exact"/>
        <w:rPr>
          <w:sz w:val="20"/>
          <w:szCs w:val="20"/>
          <w:color w:val="auto"/>
        </w:rPr>
      </w:pPr>
    </w:p>
    <w:p>
      <w:pPr>
        <w:ind w:left="640" w:hanging="321"/>
        <w:spacing w:after="0"/>
        <w:tabs>
          <w:tab w:leader="none" w:pos="640" w:val="left"/>
        </w:tabs>
        <w:numPr>
          <w:ilvl w:val="0"/>
          <w:numId w:val="36"/>
        </w:numPr>
        <w:rPr>
          <w:rFonts w:ascii="Times New Roman" w:cs="Times New Roman" w:eastAsia="Times New Roman" w:hAnsi="Times New Roman"/>
          <w:sz w:val="17"/>
          <w:szCs w:val="17"/>
          <w:u w:val="single" w:color="auto"/>
          <w:color w:val="0000EE"/>
        </w:rPr>
      </w:pPr>
      <w:hyperlink r:id="rId61">
        <w:r>
          <w:rPr>
            <w:rFonts w:ascii="Times New Roman" w:cs="Times New Roman" w:eastAsia="Times New Roman" w:hAnsi="Times New Roman"/>
            <w:sz w:val="17"/>
            <w:szCs w:val="17"/>
            <w:u w:val="single" w:color="auto"/>
            <w:color w:val="0000EE"/>
          </w:rPr>
          <w:t>our Annual Report on Form 10-K for the fiscal year ended December 31, 2022 that we filed with the SEC on March 27, 2023;</w:t>
        </w:r>
      </w:hyperlink>
    </w:p>
    <w:p>
      <w:pPr>
        <w:spacing w:after="0" w:line="223" w:lineRule="exact"/>
        <w:rPr>
          <w:rFonts w:ascii="Times New Roman" w:cs="Times New Roman" w:eastAsia="Times New Roman" w:hAnsi="Times New Roman"/>
          <w:sz w:val="17"/>
          <w:szCs w:val="17"/>
          <w:u w:val="single" w:color="auto"/>
          <w:color w:val="0000EE"/>
        </w:rPr>
      </w:pPr>
    </w:p>
    <w:p>
      <w:pPr>
        <w:ind w:left="640" w:hanging="321"/>
        <w:spacing w:after="0" w:line="296" w:lineRule="auto"/>
        <w:tabs>
          <w:tab w:leader="none" w:pos="640" w:val="left"/>
        </w:tabs>
        <w:numPr>
          <w:ilvl w:val="0"/>
          <w:numId w:val="36"/>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quarters ended March 31, 2023, June 30, 2023 and September 30, 2023 that we filed with the SEC on </w:t>
      </w:r>
      <w:hyperlink r:id="rId62">
        <w:r>
          <w:rPr>
            <w:rFonts w:ascii="Times New Roman" w:cs="Times New Roman" w:eastAsia="Times New Roman" w:hAnsi="Times New Roman"/>
            <w:sz w:val="17"/>
            <w:szCs w:val="17"/>
            <w:u w:val="single" w:color="auto"/>
            <w:color w:val="0000EE"/>
          </w:rPr>
          <w:t>May 11,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63">
        <w:r>
          <w:rPr>
            <w:rFonts w:ascii="Times New Roman" w:cs="Times New Roman" w:eastAsia="Times New Roman" w:hAnsi="Times New Roman"/>
            <w:sz w:val="17"/>
            <w:szCs w:val="17"/>
            <w:u w:val="single" w:color="auto"/>
            <w:color w:val="0000EE"/>
          </w:rPr>
          <w:t xml:space="preserve">August 14, 2023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64">
        <w:r>
          <w:rPr>
            <w:rFonts w:ascii="Times New Roman" w:cs="Times New Roman" w:eastAsia="Times New Roman" w:hAnsi="Times New Roman"/>
            <w:sz w:val="17"/>
            <w:szCs w:val="17"/>
            <w:u w:val="single" w:color="auto"/>
            <w:color w:val="0000EE"/>
          </w:rPr>
          <w:t>November 9, 2023</w:t>
        </w:r>
      </w:hyperlink>
      <w:r>
        <w:rPr>
          <w:rFonts w:ascii="Times New Roman" w:cs="Times New Roman" w:eastAsia="Times New Roman" w:hAnsi="Times New Roman"/>
          <w:sz w:val="17"/>
          <w:szCs w:val="17"/>
          <w:color w:val="000000"/>
        </w:rPr>
        <w:t>;</w:t>
      </w:r>
    </w:p>
    <w:p>
      <w:pPr>
        <w:spacing w:after="0" w:line="146" w:lineRule="exact"/>
        <w:rPr>
          <w:rFonts w:ascii="Times New Roman" w:cs="Times New Roman" w:eastAsia="Times New Roman" w:hAnsi="Times New Roman"/>
          <w:sz w:val="17"/>
          <w:szCs w:val="17"/>
          <w:color w:val="0000EE"/>
        </w:rPr>
      </w:pPr>
    </w:p>
    <w:p>
      <w:pPr>
        <w:jc w:val="both"/>
        <w:ind w:left="640" w:hanging="321"/>
        <w:spacing w:after="0" w:line="276" w:lineRule="auto"/>
        <w:tabs>
          <w:tab w:leader="none" w:pos="640" w:val="left"/>
        </w:tabs>
        <w:numPr>
          <w:ilvl w:val="0"/>
          <w:numId w:val="36"/>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and amendments thereto that we filed with the SEC on </w:t>
      </w:r>
      <w:hyperlink r:id="rId65">
        <w:r>
          <w:rPr>
            <w:rFonts w:ascii="Times New Roman" w:cs="Times New Roman" w:eastAsia="Times New Roman" w:hAnsi="Times New Roman"/>
            <w:sz w:val="17"/>
            <w:szCs w:val="17"/>
            <w:u w:val="single" w:color="auto"/>
            <w:color w:val="0000EE"/>
          </w:rPr>
          <w:t>February 16, 2023</w:t>
        </w:r>
      </w:hyperlink>
      <w:r>
        <w:rPr>
          <w:rFonts w:ascii="Times New Roman" w:cs="Times New Roman" w:eastAsia="Times New Roman" w:hAnsi="Times New Roman"/>
          <w:sz w:val="17"/>
          <w:szCs w:val="17"/>
          <w:color w:val="auto"/>
        </w:rPr>
        <w:t xml:space="preserve">, </w:t>
      </w:r>
      <w:hyperlink r:id="rId66">
        <w:r>
          <w:rPr>
            <w:rFonts w:ascii="Times New Roman" w:cs="Times New Roman" w:eastAsia="Times New Roman" w:hAnsi="Times New Roman"/>
            <w:sz w:val="17"/>
            <w:szCs w:val="17"/>
            <w:u w:val="single" w:color="auto"/>
            <w:color w:val="0000EE"/>
          </w:rPr>
          <w:t>February 17, 2023</w:t>
        </w:r>
      </w:hyperlink>
      <w:r>
        <w:rPr>
          <w:rFonts w:ascii="Times New Roman" w:cs="Times New Roman" w:eastAsia="Times New Roman" w:hAnsi="Times New Roman"/>
          <w:sz w:val="17"/>
          <w:szCs w:val="17"/>
          <w:color w:val="auto"/>
        </w:rPr>
        <w:t xml:space="preserve">, </w:t>
      </w:r>
      <w:hyperlink r:id="rId67">
        <w:r>
          <w:rPr>
            <w:rFonts w:ascii="Times New Roman" w:cs="Times New Roman" w:eastAsia="Times New Roman" w:hAnsi="Times New Roman"/>
            <w:sz w:val="17"/>
            <w:szCs w:val="17"/>
            <w:u w:val="single" w:color="auto"/>
            <w:color w:val="0000EE"/>
          </w:rPr>
          <w:t>February 22, 2023</w:t>
        </w:r>
      </w:hyperlink>
      <w:r>
        <w:rPr>
          <w:rFonts w:ascii="Times New Roman" w:cs="Times New Roman" w:eastAsia="Times New Roman" w:hAnsi="Times New Roman"/>
          <w:sz w:val="17"/>
          <w:szCs w:val="17"/>
          <w:color w:val="auto"/>
        </w:rPr>
        <w:t xml:space="preserve">, </w:t>
      </w:r>
      <w:hyperlink r:id="rId68">
        <w:r>
          <w:rPr>
            <w:rFonts w:ascii="Times New Roman" w:cs="Times New Roman" w:eastAsia="Times New Roman" w:hAnsi="Times New Roman"/>
            <w:sz w:val="17"/>
            <w:szCs w:val="17"/>
            <w:u w:val="single" w:color="auto"/>
            <w:color w:val="0000EE"/>
          </w:rPr>
          <w:t>April 20,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69">
        <w:r>
          <w:rPr>
            <w:rFonts w:ascii="Times New Roman" w:cs="Times New Roman" w:eastAsia="Times New Roman" w:hAnsi="Times New Roman"/>
            <w:sz w:val="17"/>
            <w:szCs w:val="17"/>
            <w:u w:val="single" w:color="auto"/>
            <w:color w:val="0000EE"/>
          </w:rPr>
          <w:t>May 30,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0">
        <w:r>
          <w:rPr>
            <w:rFonts w:ascii="Times New Roman" w:cs="Times New Roman" w:eastAsia="Times New Roman" w:hAnsi="Times New Roman"/>
            <w:sz w:val="17"/>
            <w:szCs w:val="17"/>
            <w:u w:val="single" w:color="auto"/>
            <w:color w:val="0000EE"/>
          </w:rPr>
          <w:t>June 8,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1">
        <w:r>
          <w:rPr>
            <w:rFonts w:ascii="Times New Roman" w:cs="Times New Roman" w:eastAsia="Times New Roman" w:hAnsi="Times New Roman"/>
            <w:sz w:val="17"/>
            <w:szCs w:val="17"/>
            <w:u w:val="single" w:color="auto"/>
            <w:color w:val="0000EE"/>
          </w:rPr>
          <w:t>June 30,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2">
        <w:r>
          <w:rPr>
            <w:rFonts w:ascii="Times New Roman" w:cs="Times New Roman" w:eastAsia="Times New Roman" w:hAnsi="Times New Roman"/>
            <w:sz w:val="17"/>
            <w:szCs w:val="17"/>
            <w:u w:val="single" w:color="auto"/>
            <w:color w:val="0000EE"/>
          </w:rPr>
          <w:t xml:space="preserve">August 1, 2023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73">
        <w:r>
          <w:rPr>
            <w:rFonts w:ascii="Times New Roman" w:cs="Times New Roman" w:eastAsia="Times New Roman" w:hAnsi="Times New Roman"/>
            <w:sz w:val="17"/>
            <w:szCs w:val="17"/>
            <w:u w:val="single" w:color="auto"/>
            <w:color w:val="0000EE"/>
          </w:rPr>
          <w:t xml:space="preserve">August 14, 2023 </w:t>
        </w:r>
      </w:hyperlink>
      <w:r>
        <w:rPr>
          <w:rFonts w:ascii="Times New Roman" w:cs="Times New Roman" w:eastAsia="Times New Roman" w:hAnsi="Times New Roman"/>
          <w:sz w:val="17"/>
          <w:szCs w:val="17"/>
          <w:color w:val="000000"/>
        </w:rPr>
        <w:t>(other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than any portion of such filings that are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furnished under applicable SEC rules rather than filed);</w:t>
      </w:r>
    </w:p>
    <w:p>
      <w:pPr>
        <w:spacing w:after="0" w:line="373"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8" w:name="page49"/>
    <w:bookmarkEnd w:id="48"/>
    <w:p>
      <w:pPr>
        <w:ind w:left="640" w:hanging="321"/>
        <w:spacing w:after="0" w:line="296" w:lineRule="auto"/>
        <w:tabs>
          <w:tab w:leader="none" w:pos="640" w:val="left"/>
        </w:tabs>
        <w:numPr>
          <w:ilvl w:val="0"/>
          <w:numId w:val="37"/>
        </w:numPr>
        <w:rPr>
          <w:rFonts w:ascii="Times New Roman" w:cs="Times New Roman" w:eastAsia="Times New Roman" w:hAnsi="Times New Roman"/>
          <w:sz w:val="17"/>
          <w:szCs w:val="17"/>
          <w:u w:val="single" w:color="auto"/>
          <w:color w:val="0000EE"/>
        </w:rPr>
      </w:pPr>
      <w:hyperlink r:id="rId75">
        <w:r>
          <w:rPr>
            <w:rFonts w:ascii="Times New Roman" w:cs="Times New Roman" w:eastAsia="Times New Roman" w:hAnsi="Times New Roman"/>
            <w:sz w:val="17"/>
            <w:szCs w:val="17"/>
            <w:u w:val="single" w:color="auto"/>
            <w:color w:val="0000EE"/>
          </w:rPr>
          <w:t>the description of our Common Shares contained in our Registration Statement on Form 8-A filed with the SEC on September 10, 2021, including any</w:t>
        </w:r>
      </w:hyperlink>
      <w:r>
        <w:rPr>
          <w:rFonts w:ascii="Times New Roman" w:cs="Times New Roman" w:eastAsia="Times New Roman" w:hAnsi="Times New Roman"/>
          <w:sz w:val="17"/>
          <w:szCs w:val="17"/>
          <w:u w:val="single" w:color="auto"/>
          <w:color w:val="0000EE"/>
        </w:rPr>
        <w:t xml:space="preserve"> </w:t>
      </w:r>
      <w:hyperlink r:id="rId75">
        <w:r>
          <w:rPr>
            <w:rFonts w:ascii="Times New Roman" w:cs="Times New Roman" w:eastAsia="Times New Roman" w:hAnsi="Times New Roman"/>
            <w:sz w:val="17"/>
            <w:szCs w:val="17"/>
            <w:u w:val="single" w:color="auto"/>
            <w:color w:val="0000EE"/>
          </w:rPr>
          <w:t>amendment or report filed for the purpose of updating such description; and</w:t>
        </w:r>
      </w:hyperlink>
    </w:p>
    <w:p>
      <w:pPr>
        <w:spacing w:after="0" w:line="146" w:lineRule="exact"/>
        <w:rPr>
          <w:rFonts w:ascii="Times New Roman" w:cs="Times New Roman" w:eastAsia="Times New Roman" w:hAnsi="Times New Roman"/>
          <w:sz w:val="17"/>
          <w:szCs w:val="17"/>
          <w:u w:val="single" w:color="auto"/>
          <w:color w:val="0000EE"/>
        </w:rPr>
      </w:pPr>
    </w:p>
    <w:p>
      <w:pPr>
        <w:jc w:val="both"/>
        <w:ind w:left="640" w:hanging="321"/>
        <w:spacing w:after="0" w:line="270"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The SEC file number for each of the documents listed above is 001-39281.</w:t>
      </w:r>
    </w:p>
    <w:p>
      <w:pPr>
        <w:spacing w:after="0" w:line="224" w:lineRule="exact"/>
        <w:rPr>
          <w:rFonts w:ascii="Times New Roman" w:cs="Times New Roman" w:eastAsia="Times New Roman" w:hAnsi="Times New Roman"/>
          <w:sz w:val="17"/>
          <w:szCs w:val="17"/>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68" w:lineRule="exact"/>
        <w:rPr>
          <w:rFonts w:ascii="Times New Roman" w:cs="Times New Roman" w:eastAsia="Times New Roman" w:hAnsi="Times New Roman"/>
          <w:sz w:val="17"/>
          <w:szCs w:val="17"/>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You may request, orally or in writing, a copy of any or all of the documents incorporated herein by reference. These documents will be provided to you at no cost, by contacting:</w:t>
      </w:r>
    </w:p>
    <w:p>
      <w:pPr>
        <w:spacing w:after="0" w:line="147"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32"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595 Howe Street, 10 Floor</w:t>
      </w:r>
    </w:p>
    <w:p>
      <w:pPr>
        <w:spacing w:after="0" w:line="14"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Vancouver, British Columbia</w:t>
      </w:r>
    </w:p>
    <w:p>
      <w:pPr>
        <w:spacing w:after="0" w:line="14"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V6C 2T5</w:t>
      </w:r>
    </w:p>
    <w:p>
      <w:pPr>
        <w:spacing w:after="0" w:line="1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(574) 252-9333</w:t>
      </w:r>
    </w:p>
    <w:p>
      <w:pPr>
        <w:spacing w:after="0" w:line="204" w:lineRule="exact"/>
        <w:rPr>
          <w:rFonts w:ascii="Times New Roman" w:cs="Times New Roman" w:eastAsia="Times New Roman" w:hAnsi="Times New Roman"/>
          <w:sz w:val="17"/>
          <w:szCs w:val="17"/>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 xml:space="preserve">You may also access these documents on our website,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The information contained on, or that can be accessed through, our website is not a part of this prospectus. We have included our website address in this prospectus solely as an inactive textual reference.</w:t>
      </w:r>
    </w:p>
    <w:p>
      <w:pPr>
        <w:spacing w:after="0" w:line="144" w:lineRule="exact"/>
        <w:rPr>
          <w:rFonts w:ascii="Times New Roman" w:cs="Times New Roman" w:eastAsia="Times New Roman" w:hAnsi="Times New Roman"/>
          <w:sz w:val="17"/>
          <w:szCs w:val="17"/>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7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2676525</wp:posOffset>
            </wp:positionH>
            <wp:positionV relativeFrom="page">
              <wp:posOffset>571500</wp:posOffset>
            </wp:positionV>
            <wp:extent cx="2171065" cy="807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17106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$100,000,000</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2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437515</wp:posOffset>
            </wp:positionV>
            <wp:extent cx="7136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following table sets forth an itemization of the various expenses, all of which we will pay, in connection with the issuance and distribution of the securities being registered. All of the amounts shown are estimated except the SEC Registration Fee and the FINRA Filing Fee.</w:t>
      </w:r>
    </w:p>
    <w:p>
      <w:pPr>
        <w:spacing w:after="0" w:line="165" w:lineRule="exact"/>
        <w:rPr>
          <w:sz w:val="20"/>
          <w:szCs w:val="20"/>
          <w:color w:val="auto"/>
        </w:rPr>
      </w:pPr>
    </w:p>
    <w:tbl>
      <w:tblPr>
        <w:tblLayout w:type="fixed"/>
        <w:tblInd w:w="2260" w:type="dxa"/>
        <w:tblCellMar>
          <w:top w:w="0" w:type="dxa"/>
          <w:left w:w="0" w:type="dxa"/>
          <w:bottom w:w="0" w:type="dxa"/>
          <w:right w:w="0" w:type="dxa"/>
        </w:tblCellMar>
      </w:tblP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14,760</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15,500</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Accountants’ fees and expenses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r>
    </w:tbl>
    <w:p>
      <w:pPr>
        <w:spacing w:after="0" w:line="173" w:lineRule="exact"/>
        <w:rPr>
          <w:sz w:val="20"/>
          <w:szCs w:val="20"/>
          <w:color w:val="auto"/>
        </w:rPr>
      </w:pPr>
    </w:p>
    <w:p>
      <w:pPr>
        <w:jc w:val="both"/>
        <w:ind w:left="460" w:hanging="451"/>
        <w:spacing w:after="0" w:line="274" w:lineRule="auto"/>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expenses not presently known. The foregoing sets forth the general categories of fees and expenses (other than underwriting discounts and commissions) that we anticipate we will incur in connection with the offering of securities under this registration statement. An estimate of the aggregate fees and expenses in connection with the issuance and distribution of the securities being offered will be included in the applicable prospectus supplement.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We have also purchased insurance policies relating to certain liabilities that our directors and officers may incur in such capacity.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following exhibits are filed herewith or incorporated herein by reference: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Incorporated by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Reference herein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Filed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from Form or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 File/ Reg.</w:t>
            </w: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11"/>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120" w:type="dxa"/>
            <w:vAlign w:val="bottom"/>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221"/>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Notice of Articles of TMC the metals company Inc.</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Form 8-K</w:t>
            </w:r>
          </w:p>
        </w:tc>
        <w:tc>
          <w:tcPr>
            <w:tcW w:w="12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9/15/2021</w:t>
            </w:r>
          </w:p>
        </w:tc>
        <w:tc>
          <w:tcPr>
            <w:tcW w:w="15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3.1)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Articles of TMC the metals company Inc.</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Form 8-K</w:t>
            </w:r>
          </w:p>
        </w:tc>
        <w:tc>
          <w:tcPr>
            <w:tcW w:w="12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9/15/2021</w:t>
            </w:r>
          </w:p>
        </w:tc>
        <w:tc>
          <w:tcPr>
            <w:tcW w:w="15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3.2)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TMC the metals company Inc. Common Share Certificate</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Form 8-K</w:t>
            </w:r>
          </w:p>
        </w:tc>
        <w:tc>
          <w:tcPr>
            <w:tcW w:w="12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9/15/2021</w:t>
            </w:r>
          </w:p>
        </w:tc>
        <w:tc>
          <w:tcPr>
            <w:tcW w:w="15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4.1)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Instrument with respect to Preferred Shares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Form of Senior Indenture</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Form of Subordinated Indenture</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22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auto"/>
              </w:rPr>
              <w:t>Form of Senior Debt Security</w:t>
            </w:r>
          </w:p>
        </w:tc>
        <w:tc>
          <w:tcPr>
            <w:tcW w:w="24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Form of Subordinated Debt Security</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Form of Warrant Agreement and Warrant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4.10*</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Form of Unit Agreement and Unit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Pr>
          <w:p>
            <w:pPr>
              <w:spacing w:after="0"/>
              <w:rPr>
                <w:sz w:val="24"/>
                <w:szCs w:val="24"/>
                <w:color w:val="auto"/>
              </w:rPr>
            </w:pPr>
          </w:p>
        </w:tc>
        <w:tc>
          <w:tcPr>
            <w:tcW w:w="47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Warrant Agreement between Continental Stock Transfer &amp; Trust</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Form 8-K</w:t>
            </w:r>
          </w:p>
        </w:tc>
        <w:tc>
          <w:tcPr>
            <w:tcW w:w="12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5/8/2020</w:t>
            </w:r>
          </w:p>
        </w:tc>
        <w:tc>
          <w:tcPr>
            <w:tcW w:w="15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13"/>
          </w:tcPr>
          <w:p>
            <w:pPr>
              <w:spacing w:after="0" w:line="189" w:lineRule="exact"/>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Company and Sustainable Opportunities Acquisition Corp., dated</w:t>
              </w:r>
            </w:hyperlink>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(Exhibit 4.1)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May 8, 2020</w:t>
              </w:r>
            </w:hyperlink>
          </w:p>
        </w:tc>
        <w:tc>
          <w:tcPr>
            <w:tcW w:w="3820" w:type="dxa"/>
            <w:vAlign w:val="bottom"/>
            <w:tcBorders>
              <w:top w:val="single" w:sz="8" w:color="0000EE"/>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Form of Class A Warrant to Purchase Common Shares</w:t>
              </w:r>
            </w:hyperlink>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Form 8-K</w:t>
            </w:r>
          </w:p>
        </w:tc>
        <w:tc>
          <w:tcPr>
            <w:tcW w:w="122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8/14/2023</w:t>
            </w:r>
          </w:p>
        </w:tc>
        <w:tc>
          <w:tcPr>
            <w:tcW w:w="15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4.1)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4"/>
                <w:szCs w:val="24"/>
                <w:color w:val="auto"/>
              </w:rPr>
            </w:pPr>
          </w:p>
        </w:tc>
        <w:tc>
          <w:tcPr>
            <w:tcW w:w="3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Opinion of Fasken Martineau DuMoulin LLP</w:t>
            </w:r>
          </w:p>
        </w:tc>
        <w:tc>
          <w:tcPr>
            <w:tcW w:w="15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Opinion of Mintz, Levin, Cohn, Ferris, Glovsky and Popeo, P.C.</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24"/>
                <w:szCs w:val="24"/>
                <w:color w:val="auto"/>
              </w:rPr>
            </w:pPr>
          </w:p>
        </w:tc>
        <w:tc>
          <w:tcPr>
            <w:tcW w:w="45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Consent of Ernst &amp; Young LLP, independent registered public</w:t>
            </w:r>
          </w:p>
        </w:tc>
        <w:tc>
          <w:tcPr>
            <w:tcW w:w="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rPr>
              <w:t>accounting firm</w:t>
            </w:r>
          </w:p>
        </w:tc>
        <w:tc>
          <w:tcPr>
            <w:tcW w:w="3220" w:type="dxa"/>
            <w:vAlign w:val="bottom"/>
            <w:tcBorders>
              <w:top w:val="single" w:sz="8" w:color="0000EE"/>
            </w:tcBorders>
            <w:gridSpan w:val="8"/>
          </w:tcPr>
          <w:p>
            <w:pPr>
              <w:spacing w:after="0"/>
              <w:rPr>
                <w:sz w:val="16"/>
                <w:szCs w:val="16"/>
                <w:color w:val="auto"/>
              </w:rPr>
            </w:pPr>
          </w:p>
        </w:tc>
        <w:tc>
          <w:tcPr>
            <w:tcW w:w="40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40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Consent of Fasken Martineau DuMoulin LLP (included in</w:t>
            </w:r>
          </w:p>
        </w:tc>
        <w:tc>
          <w:tcPr>
            <w:tcW w:w="880" w:type="dxa"/>
            <w:vAlign w:val="bottom"/>
            <w:gridSpan w:val="8"/>
          </w:tcPr>
          <w:p>
            <w:pPr>
              <w:spacing w:after="0"/>
              <w:rPr>
                <w:sz w:val="17"/>
                <w:szCs w:val="17"/>
                <w:color w:val="auto"/>
              </w:rPr>
            </w:pPr>
          </w:p>
        </w:tc>
        <w:tc>
          <w:tcPr>
            <w:tcW w:w="2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Borders>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Exhibit 5.1)</w:t>
            </w:r>
          </w:p>
        </w:tc>
        <w:tc>
          <w:tcPr>
            <w:tcW w:w="4120" w:type="dxa"/>
            <w:vAlign w:val="bottom"/>
            <w:gridSpan w:val="19"/>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23.3</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Mintz, Levin, Cohn, Ferris, Glovsky and Popeo, P.C.</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0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(included in Exhibit 5.2)</w:t>
            </w:r>
          </w:p>
        </w:tc>
        <w:tc>
          <w:tcPr>
            <w:tcW w:w="460" w:type="dxa"/>
            <w:vAlign w:val="bottom"/>
            <w:gridSpan w:val="3"/>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23.4</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AMC Consultants Pty Ltd.</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23.5</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AMC Consultants Pty Ltd.</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23.6</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Canadian Engineering Associates Ltd.</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23.7</w:t>
            </w:r>
          </w:p>
        </w:tc>
        <w:tc>
          <w:tcPr>
            <w:tcW w:w="28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Consent of Deep Reach Technology Inc.</w:t>
            </w:r>
          </w:p>
        </w:tc>
        <w:tc>
          <w:tcPr>
            <w:tcW w:w="640" w:type="dxa"/>
            <w:vAlign w:val="bottom"/>
            <w:tcBorders>
              <w:top w:val="single" w:sz="8" w:color="0000EE"/>
            </w:tcBorders>
            <w:gridSpan w:val="2"/>
          </w:tcPr>
          <w:p>
            <w:pPr>
              <w:spacing w:after="0"/>
              <w:rPr>
                <w:sz w:val="24"/>
                <w:szCs w:val="24"/>
                <w:color w:val="auto"/>
              </w:rPr>
            </w:pPr>
          </w:p>
        </w:tc>
        <w:tc>
          <w:tcPr>
            <w:tcW w:w="1480" w:type="dxa"/>
            <w:vAlign w:val="bottom"/>
            <w:gridSpan w:val="11"/>
          </w:tcPr>
          <w:p>
            <w:pPr>
              <w:spacing w:after="0"/>
              <w:rPr>
                <w:sz w:val="24"/>
                <w:szCs w:val="24"/>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23.8</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Margin – Marine Geoscience Innovation</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23.9</w:t>
            </w:r>
          </w:p>
        </w:tc>
        <w:tc>
          <w:tcPr>
            <w:tcW w:w="36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Consent of John Michael Parianos</w:t>
            </w:r>
          </w:p>
        </w:tc>
        <w:tc>
          <w:tcPr>
            <w:tcW w:w="1320" w:type="dxa"/>
            <w:vAlign w:val="bottom"/>
            <w:gridSpan w:val="9"/>
          </w:tcPr>
          <w:p>
            <w:pPr>
              <w:spacing w:after="0"/>
              <w:rPr>
                <w:sz w:val="24"/>
                <w:szCs w:val="24"/>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24.1</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20"/>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25.1**</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The Statement of Eligibility on Form T-1 under the Trust Indenture</w:t>
            </w: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Act of 1939, as amended, of the Trustee under the Senior Indenture</w:t>
            </w:r>
          </w:p>
        </w:tc>
        <w:tc>
          <w:tcPr>
            <w:tcW w:w="2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01"/>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25.2**</w:t>
            </w: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The Statement of Eligibility on Form T-1 under the Trust Indenture</w:t>
            </w: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0"/>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Act of 1939, as amended, of the Trustee under the Subordinated</w:t>
            </w:r>
          </w:p>
        </w:tc>
        <w:tc>
          <w:tcPr>
            <w:tcW w:w="2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Indenture</w:t>
            </w:r>
          </w:p>
        </w:tc>
        <w:tc>
          <w:tcPr>
            <w:tcW w:w="2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80"/>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96.1</w:t>
            </w:r>
          </w:p>
        </w:tc>
        <w:tc>
          <w:tcPr>
            <w:tcW w:w="4960" w:type="dxa"/>
            <w:vAlign w:val="bottom"/>
            <w:gridSpan w:val="20"/>
          </w:tcPr>
          <w:p>
            <w:pPr>
              <w:spacing w:after="0"/>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Technical Report Summary — Initial Assessment of the NORI</w:t>
              </w:r>
            </w:hyperlink>
          </w:p>
        </w:tc>
        <w:tc>
          <w:tcPr>
            <w:tcW w:w="2580" w:type="dxa"/>
            <w:vAlign w:val="bottom"/>
          </w:tcPr>
          <w:p>
            <w:pPr>
              <w:jc w:val="center"/>
              <w:ind w:left="813"/>
              <w:spacing w:after="0"/>
              <w:rPr>
                <w:sz w:val="20"/>
                <w:szCs w:val="20"/>
                <w:color w:val="auto"/>
              </w:rPr>
            </w:pPr>
            <w:r>
              <w:rPr>
                <w:rFonts w:ascii="Times New Roman" w:cs="Times New Roman" w:eastAsia="Times New Roman" w:hAnsi="Times New Roman"/>
                <w:sz w:val="17"/>
                <w:szCs w:val="17"/>
                <w:color w:val="auto"/>
              </w:rPr>
              <w:t>Form S-4/A</w:t>
            </w: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8/5/2021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333-255118</w:t>
            </w: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8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Property, Clarion-Clipperton Zone, for Deep Green Metals Inc.,</w:t>
              </w:r>
            </w:hyperlink>
          </w:p>
        </w:tc>
        <w:tc>
          <w:tcPr>
            <w:tcW w:w="480" w:type="dxa"/>
            <w:vAlign w:val="bottom"/>
            <w:gridSpan w:val="4"/>
          </w:tcPr>
          <w:p>
            <w:pPr>
              <w:spacing w:after="0"/>
              <w:rPr>
                <w:sz w:val="16"/>
                <w:szCs w:val="16"/>
                <w:color w:val="auto"/>
              </w:rPr>
            </w:pPr>
          </w:p>
        </w:tc>
        <w:tc>
          <w:tcPr>
            <w:tcW w:w="2580" w:type="dxa"/>
            <w:vAlign w:val="bottom"/>
          </w:tcPr>
          <w:p>
            <w:pPr>
              <w:jc w:val="center"/>
              <w:ind w:left="833"/>
              <w:spacing w:after="0" w:line="189" w:lineRule="exact"/>
              <w:rPr>
                <w:sz w:val="20"/>
                <w:szCs w:val="20"/>
                <w:color w:val="auto"/>
              </w:rPr>
            </w:pPr>
            <w:r>
              <w:rPr>
                <w:rFonts w:ascii="Times New Roman" w:cs="Times New Roman" w:eastAsia="Times New Roman" w:hAnsi="Times New Roman"/>
                <w:sz w:val="17"/>
                <w:szCs w:val="17"/>
                <w:color w:val="auto"/>
              </w:rPr>
              <w:t>(Exhibit 96.1)</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2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effective as of March 17, 2021, by AMC Consultants Pty Ltd. and</w:t>
              </w:r>
            </w:hyperlink>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gridSpan w:val="20"/>
          </w:tcPr>
          <w:p>
            <w:pPr>
              <w:spacing w:after="0" w:line="189"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other qualified persons</w:t>
              </w:r>
            </w:hyperlink>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99"/>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96.2</w:t>
            </w:r>
          </w:p>
        </w:tc>
        <w:tc>
          <w:tcPr>
            <w:tcW w:w="44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Technical Report Summary — Initial Assessment of the TOML</w:t>
              </w:r>
            </w:hyperlink>
          </w:p>
        </w:tc>
        <w:tc>
          <w:tcPr>
            <w:tcW w:w="500" w:type="dxa"/>
            <w:vAlign w:val="bottom"/>
            <w:gridSpan w:val="5"/>
          </w:tcPr>
          <w:p>
            <w:pPr>
              <w:spacing w:after="0"/>
              <w:rPr>
                <w:sz w:val="24"/>
                <w:szCs w:val="24"/>
                <w:color w:val="auto"/>
              </w:rPr>
            </w:pPr>
          </w:p>
        </w:tc>
        <w:tc>
          <w:tcPr>
            <w:tcW w:w="2580" w:type="dxa"/>
            <w:vAlign w:val="bottom"/>
          </w:tcPr>
          <w:p>
            <w:pPr>
              <w:jc w:val="center"/>
              <w:ind w:left="813"/>
              <w:spacing w:after="0"/>
              <w:rPr>
                <w:sz w:val="20"/>
                <w:szCs w:val="20"/>
                <w:color w:val="auto"/>
              </w:rPr>
            </w:pPr>
            <w:r>
              <w:rPr>
                <w:rFonts w:ascii="Times New Roman" w:cs="Times New Roman" w:eastAsia="Times New Roman" w:hAnsi="Times New Roman"/>
                <w:sz w:val="17"/>
                <w:szCs w:val="17"/>
                <w:color w:val="auto"/>
              </w:rPr>
              <w:t>Form S-4/A</w:t>
            </w: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8/5/2021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333-255118</w:t>
            </w: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gridSpan w:val="20"/>
          </w:tcPr>
          <w:p>
            <w:pPr>
              <w:spacing w:after="0" w:line="189"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Mineral Resource, Clarion-Clipperton Zone, Pacific Ocean, for</w:t>
              </w:r>
            </w:hyperlink>
          </w:p>
        </w:tc>
        <w:tc>
          <w:tcPr>
            <w:tcW w:w="2580" w:type="dxa"/>
            <w:vAlign w:val="bottom"/>
          </w:tcPr>
          <w:p>
            <w:pPr>
              <w:jc w:val="center"/>
              <w:ind w:left="833"/>
              <w:spacing w:after="0" w:line="189" w:lineRule="exact"/>
              <w:rPr>
                <w:sz w:val="20"/>
                <w:szCs w:val="20"/>
                <w:color w:val="auto"/>
              </w:rPr>
            </w:pPr>
            <w:r>
              <w:rPr>
                <w:rFonts w:ascii="Times New Roman" w:cs="Times New Roman" w:eastAsia="Times New Roman" w:hAnsi="Times New Roman"/>
                <w:sz w:val="17"/>
                <w:szCs w:val="17"/>
                <w:color w:val="auto"/>
              </w:rPr>
              <w:t>(Exhibit 96.2)</w:t>
            </w: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gridSpan w:val="20"/>
          </w:tcPr>
          <w:p>
            <w:pPr>
              <w:spacing w:after="0" w:line="189"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Deep Green Metals Inc., effective as of March 26, 2021, by AMC</w:t>
              </w:r>
            </w:hyperlink>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80" w:type="dxa"/>
            <w:vAlign w:val="bottom"/>
            <w:tcBorders>
              <w:top w:val="single" w:sz="8" w:color="0000EE"/>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Consultants Pty Ltd. and other qualified persons</w:t>
              </w:r>
            </w:hyperlink>
          </w:p>
        </w:tc>
        <w:tc>
          <w:tcPr>
            <w:tcW w:w="1220" w:type="dxa"/>
            <w:vAlign w:val="bottom"/>
            <w:tcBorders>
              <w:top w:val="single" w:sz="8" w:color="0000EE"/>
            </w:tcBorders>
            <w:gridSpan w:val="10"/>
          </w:tcPr>
          <w:p>
            <w:pPr>
              <w:spacing w:after="0"/>
              <w:rPr>
                <w:sz w:val="16"/>
                <w:szCs w:val="16"/>
                <w:color w:val="auto"/>
              </w:rPr>
            </w:pPr>
          </w:p>
        </w:tc>
        <w:tc>
          <w:tcPr>
            <w:tcW w:w="360" w:type="dxa"/>
            <w:vAlign w:val="bottom"/>
            <w:gridSpan w:val="2"/>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9"/>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0000EE"/>
              </w:rPr>
              <w:t>107</w:t>
            </w:r>
          </w:p>
        </w:tc>
        <w:tc>
          <w:tcPr>
            <w:tcW w:w="640" w:type="dxa"/>
            <w:vAlign w:val="bottom"/>
          </w:tcPr>
          <w:p>
            <w:pPr>
              <w:spacing w:after="0"/>
              <w:rPr>
                <w:sz w:val="24"/>
                <w:szCs w:val="24"/>
                <w:color w:val="auto"/>
              </w:rPr>
            </w:pPr>
          </w:p>
        </w:tc>
        <w:tc>
          <w:tcPr>
            <w:tcW w:w="49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2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X</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360" w:firstLine="9"/>
        <w:spacing w:after="0" w:line="296" w:lineRule="auto"/>
        <w:tabs>
          <w:tab w:leader="none" w:pos="44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subsequently filed, if applicable, by an amendment to this registration statement or as part of a Current Report on Form 8-K. ** To be subsequently filed, if applicable, in accordance with Section 305(b)(2) of the Trust Indenture Act of 1939.</w:t>
      </w: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940"/>
          </w:cols>
          <w:pgMar w:left="320" w:top="900"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undersigned registrant hereby undertakes:</w:t>
      </w:r>
    </w:p>
    <w:p>
      <w:pPr>
        <w:spacing w:after="0" w:line="224" w:lineRule="exact"/>
        <w:rPr>
          <w:sz w:val="20"/>
          <w:szCs w:val="20"/>
          <w:color w:val="auto"/>
        </w:rPr>
      </w:pPr>
    </w:p>
    <w:p>
      <w:pPr>
        <w:ind w:left="240" w:hanging="235"/>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include any prospectus required by section 10(a)(3) of the Securities Act of 1933;</w:t>
      </w:r>
    </w:p>
    <w:p>
      <w:pPr>
        <w:spacing w:after="0" w:line="224" w:lineRule="exact"/>
        <w:rPr>
          <w:sz w:val="20"/>
          <w:szCs w:val="20"/>
          <w:color w:val="auto"/>
        </w:rPr>
      </w:pPr>
    </w:p>
    <w:p>
      <w:pPr>
        <w:jc w:val="both"/>
        <w:ind w:firstLine="5"/>
        <w:spacing w:after="0" w:line="265" w:lineRule="auto"/>
        <w:tabs>
          <w:tab w:leader="none" w:pos="27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1" w:lineRule="exact"/>
        <w:rPr>
          <w:rFonts w:ascii="Times New Roman" w:cs="Times New Roman" w:eastAsia="Times New Roman" w:hAnsi="Times New Roman"/>
          <w:sz w:val="17"/>
          <w:szCs w:val="17"/>
          <w:color w:val="auto"/>
        </w:rPr>
      </w:pPr>
    </w:p>
    <w:p>
      <w:pPr>
        <w:jc w:val="both"/>
        <w:ind w:firstLine="5"/>
        <w:spacing w:after="0" w:line="267" w:lineRule="auto"/>
        <w:tabs>
          <w:tab w:leader="none" w:pos="30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paragraphs (a)(1)(i), (a)(1)(ii) and (a)(1)(iii)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0" w:lineRule="exact"/>
        <w:rPr>
          <w:sz w:val="20"/>
          <w:szCs w:val="20"/>
          <w:color w:val="auto"/>
        </w:rPr>
      </w:pPr>
    </w:p>
    <w:p>
      <w:pPr>
        <w:jc w:val="both"/>
        <w:ind w:firstLine="5"/>
        <w:spacing w:after="0" w:line="289" w:lineRule="auto"/>
        <w:tabs>
          <w:tab w:leader="none" w:pos="26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67" w:lineRule="exact"/>
        <w:rPr>
          <w:rFonts w:ascii="Times New Roman" w:cs="Times New Roman" w:eastAsia="Times New Roman" w:hAnsi="Times New Roman"/>
          <w:sz w:val="17"/>
          <w:szCs w:val="17"/>
          <w:color w:val="auto"/>
        </w:rPr>
      </w:pPr>
    </w:p>
    <w:p>
      <w:pPr>
        <w:ind w:firstLine="5"/>
        <w:spacing w:after="0" w:line="296" w:lineRule="auto"/>
        <w:tabs>
          <w:tab w:leader="none" w:pos="25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6" w:lineRule="exact"/>
        <w:rPr>
          <w:rFonts w:ascii="Times New Roman" w:cs="Times New Roman" w:eastAsia="Times New Roman" w:hAnsi="Times New Roman"/>
          <w:sz w:val="17"/>
          <w:szCs w:val="17"/>
          <w:color w:val="auto"/>
        </w:rPr>
      </w:pPr>
    </w:p>
    <w:p>
      <w:pPr>
        <w:ind w:left="240" w:hanging="235"/>
        <w:spacing w:after="0"/>
        <w:tabs>
          <w:tab w:leader="none" w:pos="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224" w:lineRule="exact"/>
        <w:rPr>
          <w:sz w:val="20"/>
          <w:szCs w:val="20"/>
          <w:color w:val="auto"/>
        </w:rPr>
      </w:pPr>
    </w:p>
    <w:p>
      <w:pPr>
        <w:ind w:firstLine="5"/>
        <w:spacing w:after="0" w:line="296" w:lineRule="auto"/>
        <w:tabs>
          <w:tab w:leader="none" w:pos="2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Times New Roman" w:cs="Times New Roman" w:eastAsia="Times New Roman" w:hAnsi="Times New Roman"/>
          <w:sz w:val="17"/>
          <w:szCs w:val="17"/>
          <w:color w:val="auto"/>
        </w:rPr>
      </w:pPr>
    </w:p>
    <w:p>
      <w:pPr>
        <w:jc w:val="both"/>
        <w:ind w:firstLine="5"/>
        <w:spacing w:after="0" w:line="261" w:lineRule="auto"/>
        <w:tabs>
          <w:tab w:leader="none" w:pos="26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sz w:val="20"/>
          <w:szCs w:val="20"/>
          <w:color w:val="auto"/>
        </w:rPr>
      </w:pPr>
    </w:p>
    <w:p>
      <w:pPr>
        <w:jc w:val="both"/>
        <w:ind w:firstLine="5"/>
        <w:spacing w:after="0" w:line="270" w:lineRule="auto"/>
        <w:tabs>
          <w:tab w:leader="none" w:pos="24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4" w:name="page55"/>
    <w:bookmarkEnd w:id="54"/>
    <w:p>
      <w:pPr>
        <w:ind w:left="200" w:hanging="195"/>
        <w:spacing w:after="0"/>
        <w:tabs>
          <w:tab w:leader="none" w:pos="2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23" w:lineRule="exact"/>
        <w:rPr>
          <w:rFonts w:ascii="Times New Roman" w:cs="Times New Roman" w:eastAsia="Times New Roman" w:hAnsi="Times New Roman"/>
          <w:sz w:val="17"/>
          <w:szCs w:val="17"/>
          <w:color w:val="auto"/>
        </w:rPr>
      </w:pPr>
    </w:p>
    <w:p>
      <w:pPr>
        <w:ind w:firstLine="5"/>
        <w:spacing w:after="0" w:line="268" w:lineRule="auto"/>
        <w:tabs>
          <w:tab w:leader="none" w:pos="27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firstLine="5"/>
        <w:spacing w:after="0" w:line="296" w:lineRule="auto"/>
        <w:tabs>
          <w:tab w:leader="none" w:pos="3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That, for purposes of determining any liability under the Securities Act:</w:t>
      </w:r>
    </w:p>
    <w:p>
      <w:pPr>
        <w:spacing w:after="0" w:line="224" w:lineRule="exact"/>
        <w:rPr>
          <w:sz w:val="20"/>
          <w:szCs w:val="20"/>
          <w:color w:val="auto"/>
        </w:rPr>
      </w:pPr>
    </w:p>
    <w:p>
      <w:pPr>
        <w:jc w:val="both"/>
        <w:ind w:firstLine="5"/>
        <w:spacing w:after="0" w:line="276" w:lineRule="auto"/>
        <w:tabs>
          <w:tab w:leader="none" w:pos="2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63" w:lineRule="exact"/>
        <w:rPr>
          <w:rFonts w:ascii="Times New Roman" w:cs="Times New Roman" w:eastAsia="Times New Roman" w:hAnsi="Times New Roman"/>
          <w:sz w:val="17"/>
          <w:szCs w:val="17"/>
          <w:color w:val="auto"/>
        </w:rPr>
      </w:pPr>
    </w:p>
    <w:p>
      <w:pPr>
        <w:ind w:firstLine="5"/>
        <w:spacing w:after="0" w:line="296" w:lineRule="auto"/>
        <w:tabs>
          <w:tab w:leader="none" w:pos="2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47" w:lineRule="exact"/>
        <w:rPr>
          <w:sz w:val="20"/>
          <w:szCs w:val="20"/>
          <w:color w:val="auto"/>
        </w:rPr>
      </w:pPr>
    </w:p>
    <w:p>
      <w:pPr>
        <w:jc w:val="both"/>
        <w:ind w:firstLine="5"/>
        <w:spacing w:after="0" w:line="267" w:lineRule="auto"/>
        <w:tabs>
          <w:tab w:leader="none" w:pos="24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rFonts w:ascii="Times New Roman" w:cs="Times New Roman" w:eastAsia="Times New Roman" w:hAnsi="Times New Roman"/>
          <w:sz w:val="17"/>
          <w:szCs w:val="17"/>
          <w:color w:val="auto"/>
        </w:rPr>
      </w:pPr>
    </w:p>
    <w:p>
      <w:pPr>
        <w:jc w:val="both"/>
        <w:ind w:firstLine="5"/>
        <w:spacing w:after="0" w:line="263" w:lineRule="auto"/>
        <w:tabs>
          <w:tab w:leader="none" w:pos="27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November 30, 2023.</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20320</wp:posOffset>
            </wp:positionV>
            <wp:extent cx="33521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Craig Shesky</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SIGNATURES AND POWER OF ATTORNEY</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dated indicated.</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2872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Gerard Barron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Craig Shesky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Andrew C. Greig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C. Greig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Christian Madsbjerg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Christian Madsbjerg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Andrew Hall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Kathleen McAllister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Kathleen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Sheila Khama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Sheila Khama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Andrei Karkar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28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99" w:lineRule="exact"/>
        <w:rPr>
          <w:sz w:val="20"/>
          <w:szCs w:val="20"/>
          <w:color w:val="auto"/>
        </w:rPr>
      </w:pPr>
    </w:p>
    <w:p>
      <w:pPr>
        <w:ind w:right="880"/>
        <w:spacing w:after="0" w:line="312" w:lineRule="auto"/>
        <w:rPr>
          <w:sz w:val="20"/>
          <w:szCs w:val="20"/>
          <w:color w:val="auto"/>
        </w:rPr>
      </w:pPr>
      <w:r>
        <w:rPr>
          <w:rFonts w:ascii="Times New Roman" w:cs="Times New Roman" w:eastAsia="Times New Roman" w:hAnsi="Times New Roman"/>
          <w:sz w:val="17"/>
          <w:szCs w:val="17"/>
          <w:color w:val="auto"/>
        </w:rPr>
        <w:t>/s/ Amelia Kinahoi Siamomua Amelia Kinahoi Siamomua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2287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20" w:type="dxa"/>
            <w:vAlign w:val="bottom"/>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05"/>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30"/>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1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230"/>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r>
        <w:trPr>
          <w:trHeight w:val="642"/>
        </w:trPr>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30, 2023</w:t>
            </w:r>
          </w:p>
        </w:tc>
      </w:tr>
    </w:tbl>
    <w:p>
      <w:pPr>
        <w:spacing w:after="0" w:line="467" w:lineRule="exact"/>
        <w:rPr>
          <w:sz w:val="20"/>
          <w:szCs w:val="20"/>
          <w:color w:val="auto"/>
        </w:rPr>
      </w:pPr>
    </w:p>
    <w:p>
      <w:pPr>
        <w:sectPr>
          <w:pgSz w:w="11900" w:h="16838" w:orient="portrait"/>
          <w:cols w:equalWidth="0" w:num="2">
            <w:col w:w="3000" w:space="720"/>
            <w:col w:w="7520"/>
          </w:cols>
          <w:pgMar w:left="320" w:top="879" w:right="339" w:bottom="1440" w:gutter="0" w:footer="0" w:header="0"/>
          <w:type w:val="continuous"/>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7"/>
                <w:szCs w:val="17"/>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TMC THE METALS COMPANY INC.</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Issuer</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AND</w:t>
            </w:r>
          </w:p>
        </w:tc>
      </w:tr>
      <w:tr>
        <w:trPr>
          <w:trHeight w:val="210"/>
        </w:trPr>
        <w:tc>
          <w:tcPr>
            <w:tcW w:w="2900" w:type="dxa"/>
            <w:vAlign w:val="bottom"/>
          </w:tcPr>
          <w:p>
            <w:pPr>
              <w:spacing w:after="0"/>
              <w:rPr>
                <w:sz w:val="18"/>
                <w:szCs w:val="18"/>
                <w:color w:val="auto"/>
              </w:rPr>
            </w:pPr>
          </w:p>
        </w:tc>
        <w:tc>
          <w:tcPr>
            <w:tcW w:w="6780" w:type="dxa"/>
            <w:vAlign w:val="bottom"/>
          </w:tcPr>
          <w:p>
            <w:pPr>
              <w:jc w:val="center"/>
              <w:ind w:right="1253"/>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Trustee</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INDENTURE</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Dated as of [ ]</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Senior Debt Securities</w:t>
            </w:r>
          </w:p>
        </w:tc>
      </w:tr>
      <w:tr>
        <w:trPr>
          <w:trHeight w:val="419"/>
        </w:trPr>
        <w:tc>
          <w:tcPr>
            <w:tcW w:w="2900" w:type="dxa"/>
            <w:vAlign w:val="bottom"/>
          </w:tcPr>
          <w:p>
            <w:pPr>
              <w:spacing w:after="0"/>
              <w:rPr>
                <w:sz w:val="24"/>
                <w:szCs w:val="24"/>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b w:val="1"/>
                <w:bCs w:val="1"/>
                <w:color w:val="auto"/>
              </w:rPr>
              <w:t>CROSS-REFERENCE TABLE(1)</w:t>
            </w:r>
          </w:p>
        </w:tc>
      </w:tr>
      <w:tr>
        <w:trPr>
          <w:trHeight w:val="399"/>
        </w:trPr>
        <w:tc>
          <w:tcPr>
            <w:tcW w:w="2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Section of</w:t>
            </w: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Trust Indenture Act</w:t>
            </w: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Section of</w:t>
            </w:r>
          </w:p>
        </w:tc>
      </w:tr>
      <w:tr>
        <w:trPr>
          <w:trHeight w:val="23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of 1939, as Amended</w:t>
            </w:r>
          </w:p>
        </w:tc>
        <w:tc>
          <w:tcPr>
            <w:tcW w:w="67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Indenture</w:t>
            </w: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310(a).</w:t>
            </w:r>
          </w:p>
        </w:tc>
        <w:tc>
          <w:tcPr>
            <w:tcW w:w="6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310(b).</w:t>
            </w:r>
          </w:p>
        </w:tc>
        <w:tc>
          <w:tcPr>
            <w:tcW w:w="83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rPr>
              <w:t>7.08</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310(c).</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311(a).</w:t>
            </w: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7.13(a)</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311(b).</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7.13(b)</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311(c).</w:t>
            </w: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312(a).</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5.02(a)</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312(b).</w:t>
            </w: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5.02(b)</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312(c).</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5.02(c)</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313(a).</w:t>
            </w: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5.04(a)</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313(b).</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5.04(a)</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313(c).</w:t>
            </w:r>
          </w:p>
        </w:tc>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5.04(a)</w:t>
            </w:r>
          </w:p>
        </w:tc>
      </w:tr>
      <w:tr>
        <w:trPr>
          <w:trHeight w:val="228"/>
        </w:trPr>
        <w:tc>
          <w:tcPr>
            <w:tcW w:w="29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5.04(b)</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313(d).</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5.04(b)</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314(b).</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314(c).</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314(d).</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314(e).</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314(f).</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315(a).</w:t>
            </w:r>
          </w:p>
        </w:tc>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7.01(a)</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315(b).</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315(c).</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315(d).</w:t>
            </w: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7.01(b)</w:t>
            </w:r>
          </w:p>
        </w:tc>
      </w:tr>
      <w:tr>
        <w:trPr>
          <w:trHeight w:val="210"/>
        </w:trPr>
        <w:tc>
          <w:tcPr>
            <w:tcW w:w="29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7.01(c)</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315(e).</w:t>
            </w:r>
          </w:p>
        </w:tc>
        <w:tc>
          <w:tcPr>
            <w:tcW w:w="67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316(a).</w:t>
            </w:r>
          </w:p>
        </w:tc>
        <w:tc>
          <w:tcPr>
            <w:tcW w:w="67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10"/>
        </w:trPr>
        <w:tc>
          <w:tcPr>
            <w:tcW w:w="29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316(b).</w:t>
            </w:r>
          </w:p>
        </w:tc>
        <w:tc>
          <w:tcPr>
            <w:tcW w:w="67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6.04</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316(c).</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317(a).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317(b).</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318(a).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13.08</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71361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9700" w:type="dxa"/>
            <w:vAlign w:val="bottom"/>
            <w:gridSpan w:val="3"/>
          </w:tcPr>
          <w:p>
            <w:pPr>
              <w:ind w:left="4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40" w:type="dxa"/>
            <w:vAlign w:val="bottom"/>
          </w:tcPr>
          <w:p>
            <w:pPr>
              <w:spacing w:after="0"/>
              <w:rPr>
                <w:sz w:val="17"/>
                <w:szCs w:val="17"/>
                <w:color w:val="auto"/>
              </w:rPr>
            </w:pPr>
          </w:p>
        </w:tc>
      </w:tr>
      <w:tr>
        <w:trPr>
          <w:trHeight w:val="438"/>
        </w:trPr>
        <w:tc>
          <w:tcPr>
            <w:tcW w:w="49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19"/>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14"/>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1.1       Definitions of Terms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II. ISSUE, DESCRIPTION, TERMS, EXECUTION,  REGISTRATION AND EXCHANGE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2.1       Designation and Terms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2.2       Form of Securities and Trustee’s Certificate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2.3       Denominations: Provisions for Payment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2.4       Execution and Authentications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2.5       Registration of Transfer and Exchange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2.6       Temporary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2.7       Mutilated, Destroyed, Lost or Stolen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2.8       Cancellation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2.9       Benefits of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2.10     Authenticating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8"/>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2.11     Global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III. REDEMPTION OF SECURITIES AND SINKING FUND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3.1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3.2       Notice of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3.3       Payment Upon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3.4       Sinking Fund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3.5       Satisfaction of Sinking Fund Payments with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3.6       Redemption of Securities for Sinking Fund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IV.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4.1       Payment of Principal, Premium and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4.2       Maintenance of Office or Agency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4.3       Paying Agents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4.4       Appointment to Fill Vacancy in Office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4.5       Compliance with Consolidation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V. SECURITYHOLDERS’ LISTS AND REPORTS BY THE COMPANY AND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5.1       Company to Furnish Trustee Names and Addresses of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5.2       Preservation of Information; Communications with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5.3       Reports by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5.4       Reports by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VI. REMEDIES OF THE TRUSTEE AND SECURITYHOLDERS ON EVENT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6.1       Events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6.2       Collection of Indebtedness and Suits for Enforcement by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6.3       Application of Moneys Collected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6.4       Limitation on Suits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6.5       Rights and Remedies Cumulative; Delay or Omission Not Waiver</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6.6       Control by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8"/>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6.7       Undertaking to Pay Costs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14"/>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ARTICLE VII. CONCERNING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96"/>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7.1       Certain Duties and Responsibilities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7.2       Certain Rights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0"/>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7.3       Trustee Not Responsible for Recitals or Issuance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9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SECTION 7.4       May Hold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75"/>
        </w:trPr>
        <w:tc>
          <w:tcPr>
            <w:tcW w:w="97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 </w:t>
            </w:r>
          </w:p>
        </w:tc>
        <w:tc>
          <w:tcPr>
            <w:tcW w:w="1540" w:type="dxa"/>
            <w:vAlign w:val="bottom"/>
          </w:tcPr>
          <w:p>
            <w:pPr>
              <w:spacing w:after="0"/>
              <w:rPr>
                <w:sz w:val="23"/>
                <w:szCs w:val="23"/>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color w:val="auto"/>
        </w:rPr>
        <w:t>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7.5       Moneys Held in Trust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7.6       Compensation and Reimbursement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7.7       Reliance on Officers’ Certificate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7.8       Disqualification; Conflicting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7.9       Corporate Trustee Required; Eligibility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7.10     Resignation and Removal; Appointment of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7.11     Acceptance of Appointment By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7.12     Merger, Conversion</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8"/>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7.13     Preferential Collection of Claims Against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VIII. CONCERNING THE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96"/>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8.1       Evidence of Action by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8.2       Proof of Execution by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8.3       Who May be Deemed Owners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8.4       Certain Securities Owned by Company Disregarded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8.5       Actions Binding on Future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8.6       Purposes for Which Meetings May Be Called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8.7       Call Notice and Place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8.8       Persons Entitled To Vote at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8.9       Quorum; Action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8.10     Determination of Voting Rights; Conduct and Adjournment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8"/>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8.11     Counting Votes and Recording  Action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IX.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96"/>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9.1       Supplemental Indentures Without the Consent of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9.2       Supplemental Indentures With Consent of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9.3       Effect of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9.4       Securities Affected by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8"/>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9.5       Execution of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X. SUCCESSOR ENTITY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96"/>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10.1     Company May Consolidate,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10.2     Successor Entity Substituted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8"/>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10.3     Evidence of Consolidation,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XI. SATISFACTION AND DISCHARGE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96"/>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11.1     Satisfaction and Discharge of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11.2     Discharge of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11.3     Deposited Moneys to be Held in Trust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11.4     Payment of Moneys Held by Paying Agents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8"/>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11.5     Repayment to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XII. IMMUNITY OF INCORPORATORS, SHAREHOLDERS, OFFICERS AND DIRECTORS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14"/>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     No Recourse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14"/>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ARTICLE XIII. MISCELLANEOUS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96"/>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13.1     Effect on 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13.2     Actions by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13.3     Surrender of Company Powers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13.4     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13.5     Governing Law</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13.6     Treatment of Securities as Debt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13.7     Compliance Certificates and Opinions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13.8     Payments on Business Days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13.9     Conflict with Trust Indenture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13.10   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13.11   Separability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13.12   Assignment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8"/>
        </w:trPr>
        <w:tc>
          <w:tcPr>
            <w:tcW w:w="9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spacing w:after="0"/>
              <w:rPr>
                <w:sz w:val="19"/>
                <w:szCs w:val="19"/>
                <w:color w:val="auto"/>
              </w:rPr>
            </w:pPr>
          </w:p>
        </w:tc>
      </w:tr>
    </w:tbl>
    <w:p>
      <w:pPr>
        <w:ind w:left="340" w:hanging="335"/>
        <w:spacing w:after="0"/>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of Contents does not constitute part of the Indenture and shall not have any bearing on the interpretation of any of its terms and provisions.</w:t>
      </w:r>
    </w:p>
    <w:p>
      <w:pPr>
        <w:spacing w:after="0" w:line="1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INDENTURE, dated as of [ ], by and between TMC the metals company Inc., a corporation existing under the laws of British Columbia, Canada (the “Company”), and [ ], as trustee (the “Trustee”):</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WHEREAS, to provide the terms and conditions upon which the Securities are to be authenticated, issued and delivered, the Company has duly authorized the execution of this Indenture; and</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WHEREAS, all things necessary to make this Indenture a valid agreement of the Company, in accordance with its terms, have been done.</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NOW, THEREFORE, in consideration of the premises and the purchase of the Securities by the holders thereof, it is mutually covenanted and agreed as follows for the equal and ratable benefit of the holders of Securities:</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 of Terms</w:t>
      </w:r>
      <w:r>
        <w:rPr>
          <w:rFonts w:ascii="Times New Roman" w:cs="Times New Roman" w:eastAsia="Times New Roman" w:hAnsi="Times New Roman"/>
          <w:sz w:val="17"/>
          <w:szCs w:val="17"/>
          <w:color w:val="auto"/>
        </w:rPr>
        <w:t>. The terms defined in this Section (except as in this Indenture otherwise expressly provided or unless the context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requires) for all purposes of this Indenture and of any indenture supplemental hereto shall have the respective meanings specified in this Section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include the plural as well as the singular. All other terms used in this Indenture that are defined in the Trust Indenture Act of 1939, as amended, or that 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reference in such Act defined in the Securities Act of 1933, as amended (except as herein otherwise expressly provided or unless the context otherwise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requires), shall have the meanings assigned to such terms in said Trust Indenture Act and in said Securities Act as in force at the date of the execution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“Authenticating Agent” means an authenticating agent with respect to all or any of the series of Securities appointed with respect to all or any series of the Securities by the Trustee pursuant to Section 2.10.</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“Bankruptcy Law” means Title 11, U.S. Code, or any similar federal or state law for the relief of debtors.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“Board of Directors” means the Board of Directors of the Company or any duly authorized committee of such Board.</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“Board Resolution” means a copy of a resolution certified by the Secretary or an Assistant Secretary of the Company to have been duly adopted by the Board of Directors and to be in full force and effect on the date of such certification.</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“Certificate” means a certificate signed by the principal executive officer, the principal financial officer or the principal accounting officer of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Certificate need not comply with the provisions of Section 13.07.</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“Commission” means the Securities and Exchange Commission.</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“Custodian” means any receiver, trustee, assignee, liquidator, or similar official under any Bankruptcy Law. “Default” means an event which is, or after notice or lapse of time, or both, would constitute an Event of Default.</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  </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“Event of Default” means, with respect to Securities of a particular series, any event specified in Section 6.01, continued for the period of time, if any, therein designated.</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“herein,” “hereof’ and “hereunder,” and other words of similar import, refer to this Indenture as a whole and not to any particular Article, Section or other subdivision.</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“Indenture” means this instrument as originally executed or as it may from time to time be supplemented or amended by one or more indentures supplemental hereto entered into in accordance with the terms hereof.</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“Person” means any individual, corporation, limited liability company, partnership, joint-venture, association, joint-stock company, trust, estate, unincorporated organization or government or any agency or political subdivision thereof.</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“Securities” means the debt Securities authenticated and delivered under this Indenture.</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“Security Register” has the meaning specified in Section 2.05.</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“Security Registrar” has the meaning specified in Section 2.05.</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“Securityholder,” “holder of Securities,” “registered holder,” or other similar term, means the Person or Persons in whose name or names a particular Security shall be registered in the Security Register.</w:t>
      </w: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314"/>
        <w:spacing w:after="0" w:line="257" w:lineRule="auto"/>
        <w:rPr>
          <w:sz w:val="20"/>
          <w:szCs w:val="20"/>
          <w:color w:val="auto"/>
        </w:rPr>
      </w:pPr>
      <w:r>
        <w:rPr>
          <w:rFonts w:ascii="Times New Roman" w:cs="Times New Roman" w:eastAsia="Times New Roman" w:hAnsi="Times New Roman"/>
          <w:sz w:val="17"/>
          <w:szCs w:val="17"/>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ISSUE, DESCRIPTION, TERMS, EXECUTION,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REGISTRATION AND EXCHANGE OF SECURITIES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Designation and Terms of Securities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right="1600"/>
        <w:spacing w:after="0" w:line="257" w:lineRule="auto"/>
        <w:rPr>
          <w:sz w:val="20"/>
          <w:szCs w:val="20"/>
          <w:color w:val="auto"/>
        </w:rPr>
      </w:pPr>
      <w:r>
        <w:rPr>
          <w:rFonts w:ascii="Times New Roman" w:cs="Times New Roman" w:eastAsia="Times New Roman" w:hAnsi="Times New Roman"/>
          <w:sz w:val="17"/>
          <w:szCs w:val="17"/>
          <w:color w:val="auto"/>
        </w:rPr>
        <w:t>(1)           the title of the Security of the series (which shall distinguish the Securities of the series from all other Securities);  </w:t>
      </w:r>
    </w:p>
    <w:p>
      <w:pPr>
        <w:spacing w:after="0" w:line="210"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(3)           the currency or units based on or relating to currencies in which debt securities of such series are denominated and the currency or units in which principal or interest or both will or may be payable;</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(4)           the date or dates on which the principal of the Securities of the series is payable and the place(s) of payment;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(5)           the rate or rates at which the Securities of the series shall bear interest or the manner of calculation of such rate or rates, if any;</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(7)           the right, if any, to extend the interest payment periods or to defer the payment of interest and the duration of such extension;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(8)           the period or periods within which, the price or prices at which and the terms and conditions upon which, Securities of the series may be redeemed, in whole or in part, at the option of the Company;</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(9)          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(10)        whether or not the debt securities will be secured or unsecured, and the terms of any secured debt;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(11)        the form of the Securities of the series including the form of the Certificate of Authentication for such series;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(12)        if other than denominations of one thousand U.S. dollars ($1,000) or any integral multiple thereof, the denominations in which the Securities of the series shall be issuable;</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(13)        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(14)        whether the Securities are issuable as a Global Security and, in such case, the identity of the Depositary for such series;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(15)        whether the Securities will be convertible into common shares or other securities of the Company and, if so, the terms and conditions upon which such Securities will be so convertible, including the conversion price and the conversion period;</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(16)        if other than the principal amount thereof, the portion of the principal amount of Securities of the series which shall be payable upon declaration of acceleration of the maturity thereof pursuant to Section 6.01;</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        any additional or different Events of Default or restrictive covenants provided for with respect to the Securities of the series.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Securities of any one series shall be substantially identical except as to denomination and except as may otherwise be provided in or pursuant to any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Resolution or in any indentures supplemental hereto.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any of the terms of the series are established by action taken pursuant to a Board Resolution of the Company, a copy of an appropriate record of such 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certified by the Secretary or an Assistant Secretary of the Company and delivered to the Trustee at or prior to the delivery of the Officers’ Certificate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setting forth the terms of the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any particular series may be issued at various times, with different dates on which the principal or any installment of principal is payable,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different rates of interest, if any, or different methods by which rates of interest may be determined, with different dates on which such interest may be payable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with different redemption dates.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2.2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Form of Securities and Trustee’s Certificate</w:t>
      </w:r>
      <w:r>
        <w:rPr>
          <w:rFonts w:ascii="Times New Roman" w:cs="Times New Roman" w:eastAsia="Times New Roman" w:hAnsi="Times New Roman"/>
          <w:sz w:val="17"/>
          <w:szCs w:val="17"/>
          <w:color w:val="auto"/>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spacing w:after="0" w:line="1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2.3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Denominations: Provisions for Payment</w:t>
      </w:r>
      <w:r>
        <w:rPr>
          <w:rFonts w:ascii="Times New Roman" w:cs="Times New Roman" w:eastAsia="Times New Roman" w:hAnsi="Times New Roman"/>
          <w:sz w:val="17"/>
          <w:szCs w:val="17"/>
          <w:color w:val="auto"/>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interest installment on any Security that is payable, and is punctually paid or duly provided for, on any Interest Payment Date for Securities of that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paid to the Person in whose name said Security (or one or more Predecessor Securities) is registered at the close of business on the regular record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such interest installment. In the event that any Security of a particular series or portion thereof is called for redemption and the redemption date is subsequent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regular record date with respect to any Interest Payment Date and prior to such Interest Payment Date, interest on such Security will be paid upon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presentation and surrender of such Security as provided in Section 3.03.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spacing w:after="0" w:line="191" w:lineRule="exact"/>
        <w:rPr>
          <w:sz w:val="20"/>
          <w:szCs w:val="20"/>
          <w:color w:val="auto"/>
        </w:rPr>
      </w:pPr>
    </w:p>
    <w:p>
      <w:pPr>
        <w:jc w:val="both"/>
        <w:ind w:firstLine="1257"/>
        <w:spacing w:after="0" w:line="258" w:lineRule="auto"/>
        <w:rPr>
          <w:sz w:val="20"/>
          <w:szCs w:val="20"/>
          <w:color w:val="auto"/>
        </w:rPr>
      </w:pPr>
      <w:r>
        <w:rPr>
          <w:rFonts w:ascii="Times New Roman" w:cs="Times New Roman" w:eastAsia="Times New Roman" w:hAnsi="Times New Roman"/>
          <w:sz w:val="17"/>
          <w:szCs w:val="17"/>
          <w:color w:val="auto"/>
        </w:rPr>
        <w:t>(1)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set forth in a Board Resolution of the Company or one or more indentures supplemental hereto establishing the terms of any series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pursuant to Section 2.01 hereof, the term “regular record date” as used in this Section with respect to a series of Securities with respect to any Interest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Date for such series shall mean either the fifteenth day of the month immediately preceding the month in which an Interest Payment Date established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such series pursuant to Section 2.01 hereof shall occur, if such Interest Payment Date is the first day of a month, or the last day of the month immediately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preceding the month in which an Interest Payment Date established for such series pursuant to Section 2.01 hereof shall occur, if such Interest Payment Date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fifteenth day of a month, whether or not such date is a Business Day.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Execution and Authentications</w:t>
      </w:r>
      <w:r>
        <w:rPr>
          <w:rFonts w:ascii="Times New Roman" w:cs="Times New Roman" w:eastAsia="Times New Roman" w:hAnsi="Times New Roman"/>
          <w:sz w:val="17"/>
          <w:szCs w:val="17"/>
          <w:color w:val="auto"/>
        </w:rPr>
        <w:t>. The Securities shall be signed on behalf of the Company by its President, or one of its Vice Presidents, or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Treasurer, or one of its Assistant Treasurers, or its Secretary, or one of its Assistant Secretaries, under its corporate seal attested by its Secretary or one of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Assistant Secretaries. Signatures may be in the form of a manual or facsimile signature. The Company may use the facsimile signature of any Person who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a President or Vice President thereof, or of any Person who shall have been a Treasurer or Assistant Treasurer thereof, or of any Person who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a Secretary or Assistant Secretary thereof, notwithstanding the fact that at the time the Securities shall be authenticated and delivered or disposed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Person shall have ceased to be the President or a Vice President, the Treasurer or an Assistant Treasurer or the Secretary or an Assistant Secretary,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The seal of the Company may be in the form of a facsimile of such seal and may be impressed, affixed, imprinted or otherwise reproduced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The Securities may contain such notations, legends or endorsements required by law, securities exchange rule or usage. Each Security shall be dated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of its authentication.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Security shall not be valid or obligatory for any purpose and shall not be entitled to any benefit under this Indenture, in each case, until authenticated with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of authentication manually signed by an authorized signatory of the Trustee, or by an Authenticating Agent. Such certificate shall be conclusive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evidence, and the only evidence, that the Security so authenticated has been duly authenticated and delivered hereunder and that the Security is entitled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benefits of this Indenture. At any time and from time to time after the execution and delivery of this Indenture, the Company may deliver Securities of any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by the Company to the Trustee for authentication, together with a written order of the Company for the authentication and delivery of such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 by its President or any Vice President and its Secretary or any Assistant Secretary, and the Trustee in accordance with such written order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authenticate and deliver such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authenticating such Securities and accepting the additional responsibilities under this Indenture in relation to such Securities, the Trustee shall be entitled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 and (subject to Section 7.01) shall be fully protected in relying upon, an Opinion of Counsel stating that the form and terms thereof have been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established in conformity with the provisions of this Indenture.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Registration of Transfer and Exchange</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surrender for transfer of any Security at the office or agency of the Company designated for such purpose, the Company shall execute, the Trustee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authenticate and such office or agency shall deliver in the name of the transferee or transferees a new Security or Securities of the same series as the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for a like aggregate principal amount.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Securities presented or surrendered for exchange or registration of transfer, as provided in this Section, shall be accompanied (if so required by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the Security Registrar) by a written instrument or instruments of transfer, in form satisfactory to the Company or the Security Registrar, duly executed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holder or by such holder’s duly authorized attorney in writing.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2.6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Temporary Securities</w:t>
      </w:r>
      <w:r>
        <w:rPr>
          <w:rFonts w:ascii="Times New Roman" w:cs="Times New Roman" w:eastAsia="Times New Roman" w:hAnsi="Times New Roman"/>
          <w:sz w:val="17"/>
          <w:szCs w:val="17"/>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u w:val="single" w:color="auto"/>
          <w:color w:val="auto"/>
        </w:rPr>
        <w:t>SECTION 2.7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Mutilated, Destroyed, Lost or Stolen Securities</w:t>
      </w:r>
      <w:r>
        <w:rPr>
          <w:rFonts w:ascii="Times New Roman" w:cs="Times New Roman" w:eastAsia="Times New Roman" w:hAnsi="Times New Roman"/>
          <w:sz w:val="17"/>
          <w:szCs w:val="17"/>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spacing w:after="0" w:line="2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2.8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Cancellation</w:t>
      </w:r>
      <w:r>
        <w:rPr>
          <w:rFonts w:ascii="Times New Roman" w:cs="Times New Roman" w:eastAsia="Times New Roman" w:hAnsi="Times New Roman"/>
          <w:sz w:val="17"/>
          <w:szCs w:val="17"/>
          <w:color w:val="auto"/>
        </w:rPr>
        <w:t>. All Securities surrendered for the purpose of payment, redemption, exchange or registration of transfer shall, if surrendered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any paying agent, be delivered to the Trustee for cancellation, or, if surrendered to the Trustee, shall be cancelled by it, and no Securities shall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in lieu thereof except as expressly required or permitted by any of the provisions of this Indenture. On request of the Company at the time of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surrender, the Trustee shall deliver to the Company canceled Securities held by the Trustee. In the absence of such request the Trustee may dispose of canceled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in accordance with its standard procedures and deliver a certificate of disposition to the Company. If the Company shall otherwise acquire any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however, such acquisition shall not operate as a redemption or satisfaction of the indebtedness represented by such Securities unless and until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are delivered to the Trustee for cancellation.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2.9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Benefits of Indenture</w:t>
      </w:r>
      <w:r>
        <w:rPr>
          <w:rFonts w:ascii="Times New Roman" w:cs="Times New Roman" w:eastAsia="Times New Roman" w:hAnsi="Times New Roman"/>
          <w:sz w:val="17"/>
          <w:szCs w:val="17"/>
          <w:color w:val="auto"/>
        </w:rPr>
        <w:t>. Nothing in this Indenture or in the Securities, express or implied, shall give or be construed to give to any Person,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the parties hereto and the holders of the Securities any legal or equitable right, remedy or claim under or in respect of this Indenture, or under any covenant,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 or provision herein contained; all such covenants, conditions and provisions being for the sole benefit of the parties hereto and of the holders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2.10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Authenticating Agent</w:t>
      </w:r>
      <w:r>
        <w:rPr>
          <w:rFonts w:ascii="Times New Roman" w:cs="Times New Roman" w:eastAsia="Times New Roman" w:hAnsi="Times New Roman"/>
          <w:sz w:val="17"/>
          <w:szCs w:val="17"/>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2.11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Global Securities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(a)           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           If at any time the Depositary for a series of the Securities notifies the Company that it is unwilling or unable to continue as Depositary for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or if at any time the Depositary for such series shall no longer be registered or in good standing under the Exchange Act, or other applicable statute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 and a successor Depositary for such series is not appointed by the Company within 90 days after the Company receives such notice or becomes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aware of such condition, as the case may be, this Section 2.11 shall no longer be applicable to the Securities of such series and the Company will execute,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Section 2.05, the Trustee will authenticate and deliver the Securities of such series in definitive registered form without coupons, in authorized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denominations, and in an aggregate principal amount equal to the principal amount of the Global Security of such series in exchange for such Global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Company may at any time determine that the Securities of any series shall no longer be represented by a Global Security and that the provisions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Section 2.11 shall no longer apply to the Securities of such series. In such event the Company will execute and subject to Section 2.05, the Trustee, upon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receipt of an Officers’ Certificate evidencing such determination by the Company, will authenticate and deliver the Securities of such series in definitive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form without coupons, in authorized denominations, and in an aggregate principal amount equal to the principal amount of the Global Security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series in exchange for such Global Security. Upon the exchange of the Global Security for such Securities in definitive registered form without coupons,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denominations, the Global Security shall be canceled by the Trustee. Such Securities in definitive registered form issued in exchange for the Global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pursuant to this Section 2.11(c) shall be registered in such names and in such authorized denominations as the Depositary, pursuant to instructions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direct or indirect participants or otherwise, shall instruct the Trustee. The Trustee shall deliver such Securities to the Depositary for delivery to the Persons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whose names such Securities are so registered.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REDEMPTION OF SECURITIES AND SINKING FUND PROVISIONS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Redemption</w:t>
      </w:r>
      <w:r>
        <w:rPr>
          <w:rFonts w:ascii="Times New Roman" w:cs="Times New Roman" w:eastAsia="Times New Roman" w:hAnsi="Times New Roman"/>
          <w:sz w:val="17"/>
          <w:szCs w:val="17"/>
          <w:color w:val="auto"/>
        </w:rPr>
        <w:t>. The Company may redeem the Securities of any series issued hereunder on and after the dates and in accordance with the terms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established for such series pursuant to Section 2.01 hereof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Notice of Redemption</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spacing w:after="0" w:line="198"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(b)           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Payment Upon Redemption</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3.4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Sinking Fund</w:t>
      </w:r>
      <w:r>
        <w:rPr>
          <w:rFonts w:ascii="Times New Roman" w:cs="Times New Roman" w:eastAsia="Times New Roman" w:hAnsi="Times New Roman"/>
          <w:sz w:val="17"/>
          <w:szCs w:val="17"/>
          <w:color w:val="auto"/>
        </w:rPr>
        <w:t>. The provisions of Sections 3.04, 3.05 and 3.06 shall be applicable to any sinking fund for the retirement of Securities of a series, except as otherwise specified as contemplated by Section 2.01 for Securities of such series.  </w:t>
      </w:r>
    </w:p>
    <w:p>
      <w:pPr>
        <w:spacing w:after="0" w:line="18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Satisfaction of Sinking Fund Payments with Securities</w:t>
      </w:r>
      <w:r>
        <w:rPr>
          <w:rFonts w:ascii="Times New Roman" w:cs="Times New Roman" w:eastAsia="Times New Roman" w:hAnsi="Times New Roman"/>
          <w:sz w:val="17"/>
          <w:szCs w:val="17"/>
          <w:color w:val="auto"/>
        </w:rPr>
        <w:t>. The Company (i) may deliver Outstanding Securities of a series (other than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previously called for redemption) and (ii) may apply as a credit Securities of a series that have been redeemed either at the election of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terms of such Securities or through the application of permitted optional sinking fund payments pursuant to the terms of such Securities, in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in satisfaction of all or any part of any sinking fund payment with respect to the Securities of such series required to be made pursuant to the terms of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as provided for by the terms of such series, provided that such Securities have not been previously so credited. Such Securities shall be received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credited for such purpose by the Trustee at the redemption price specified in such Securities for redemption through operation of the sinking fund and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such sinking fund payment shall be reduced accordingly.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3.6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Redemption of Securities for Sinking Fund</w:t>
      </w:r>
      <w:r>
        <w:rPr>
          <w:rFonts w:ascii="Times New Roman" w:cs="Times New Roman" w:eastAsia="Times New Roman" w:hAnsi="Times New Roman"/>
          <w:sz w:val="17"/>
          <w:szCs w:val="17"/>
          <w:color w:val="auto"/>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COVENANTS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4.1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Payment of Principal, Premium and Interest</w:t>
      </w:r>
      <w:r>
        <w:rPr>
          <w:rFonts w:ascii="Times New Roman" w:cs="Times New Roman" w:eastAsia="Times New Roman" w:hAnsi="Times New Roman"/>
          <w:sz w:val="17"/>
          <w:szCs w:val="17"/>
          <w:color w:val="auto"/>
        </w:rPr>
        <w:t>. The Company will duly and punctually pay or cause to be paid the principal of (and premium, if any) and interest on the Securities of that series at the time and place and in the manner provided herein and established with respect to such Securities.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4.2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Maintenance of Office or Agency</w:t>
      </w:r>
      <w:r>
        <w:rPr>
          <w:rFonts w:ascii="Times New Roman" w:cs="Times New Roman" w:eastAsia="Times New Roman" w:hAnsi="Times New Roman"/>
          <w:sz w:val="17"/>
          <w:szCs w:val="17"/>
          <w:color w:val="auto"/>
        </w:rPr>
        <w:t>. So long as any series of the Securities remain Outstanding, the Company agrees to maintain an office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agency in the Borough of Manhattan, the City and State of New York, with respect to each such series and at such other location or locations as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designated as provided in this Section 4.02, where (i) Securities of that series may be presented or surrendered for payment, (ii) Securities of that series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as herein above authorized for registration of transfer and exchange, and (iii) notices and demands to or upon the Company in respect of the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that series and this Indenture may be given or served, such designation to continue with respect to such office or agency until the Company shall, by written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signed by its President or a Vice President and delivered to the trustee, designate some other office or agency for such purposes or any of them. If at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the Company shall fail to maintain any such required office or agency or shall fail to furnish the Trustee with the address thereof, such presentations,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notices and demands may be made or served at the Corporate Trust Office of the Trustee, and the Company hereby appoints the Trustee as its agent to receive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such presentations, notices and demands.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4.3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Paying Agents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74" w:lineRule="auto"/>
        <w:rPr>
          <w:sz w:val="20"/>
          <w:szCs w:val="20"/>
          <w:color w:val="auto"/>
        </w:rPr>
      </w:pPr>
      <w:r>
        <w:rPr>
          <w:rFonts w:ascii="Times New Roman" w:cs="Times New Roman" w:eastAsia="Times New Roman" w:hAnsi="Times New Roman"/>
          <w:sz w:val="17"/>
          <w:szCs w:val="17"/>
          <w:color w:val="auto"/>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(3)           that it will, at any time during the continuance of any failure referred to in the preceding paragraph (a)(2) above, upon the written request of the Trustee, forthwith pay to the Trustee all sums so held in trust by such paying agent; and</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(4)           that it will perform all other duties of paying agent as set forth in this Indenture.</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4.4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Appointment to Fill Vacancy in Office of Trustee</w:t>
      </w:r>
      <w:r>
        <w:rPr>
          <w:rFonts w:ascii="Times New Roman" w:cs="Times New Roman" w:eastAsia="Times New Roman" w:hAnsi="Times New Roman"/>
          <w:sz w:val="17"/>
          <w:szCs w:val="17"/>
          <w:color w:val="auto"/>
        </w:rPr>
        <w:t>. The Company, whenever necessary to avoid or fill a vacancy in the office of Trustee, will appoint, in the manner provided in Section 7.10, a Trustee, so that there shall at all times be a Trustee hereunder.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4.5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Compliance with Consolidation Provisions</w:t>
      </w:r>
      <w:r>
        <w:rPr>
          <w:rFonts w:ascii="Times New Roman" w:cs="Times New Roman" w:eastAsia="Times New Roman" w:hAnsi="Times New Roman"/>
          <w:sz w:val="17"/>
          <w:szCs w:val="17"/>
          <w:color w:val="auto"/>
        </w:rPr>
        <w:t>. The Company will not, while any of the Securities remain Outstanding, consolidate with or merge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into any other Person, in either case where the Company is not the survivor of such transaction, or sell or convey all or substantially all of its property to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company unless the provisions of Article X hereof are complied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SECURITYHOLDERS’ LISTS AND REPORTS BY THE COMPANY AND THE TRUSTEE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Company to Furnish Trustee Names and Addresses of Securityholders</w:t>
      </w:r>
      <w:r>
        <w:rPr>
          <w:rFonts w:ascii="Times New Roman" w:cs="Times New Roman" w:eastAsia="Times New Roman" w:hAnsi="Times New Roman"/>
          <w:sz w:val="17"/>
          <w:szCs w:val="17"/>
          <w:color w:val="auto"/>
        </w:rPr>
        <w:t>. If the Company is not the Security Register, the Company will furnish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reasonable efforts to cause to be furnished to the Trustee (a) on each regular record date (as defined in Section 2.03) a list, in such form as the Trustee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reasonably require, of the names and addresses of the holders of each series of Securities as of such regular record date, provided that the Company shall not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obligated to furnish or cause to furnish such list at any time that the list shall not differ in any respect from the most recent list furnished to the Trustee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(b) at such other times as the Trustee may request in writing within 30 days after the receipt by the Company of any such request, a list of similar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and content as of a date not more than 15 days prior to the time such list is furnished; provided, however, that, in either case, no such list need be furnished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any series for which the Trustee shall be the Security Registrar.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Preservation of Information; Communications with Securityholders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The Trustee may destroy any list furnished to it as provided in Section 5.01 upon receipt of a new list so furnished.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Securityholders may communicate as provided in Section 312(b) of the Trust Indenture Act with other Securityholders with respect to their rights under this Indenture or under the Securities.</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Reports by the Company</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Reports by the Trustee</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REMEDIES OF THE TRUSTEE AND SECURITYHOLDERS ON EVENT OF DEFAULT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Events of Default</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Whenever used herein with respect to Securities of a particular series, “Event of Default” means any one or more of the following events that has occurred and is continuing:</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           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(b)          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           At any time after the principal of the Securities of that series shall have been so declared due and payable, and before a judgment or decree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payment of the moneys due shall have been obtained or entered as hereinafter provided, the holders of a majority in aggregate principal amount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that series then Outstanding hereunder (or, by action at a meeting of holders of the Securities of such series in accordance with Section 8.09,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a majority in aggregate principal amount of the Securities of such series then Outstanding represented at such meeting), by written notice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the Trustee, may rescind and annul such declaration and its consequences if: (i) the Company has paid or deposited with the Trustee a sum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sufficient to pay all matured installments of interest upon all the Securities of that series and the principal of (and premium, if any, on) any and all Securities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series that shall have become due otherwise than by acceleration and (ii) any and all Events of Default under this Indenture with respect to such series,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the nonpayment of principal of (and premium, if any, on) and accrued and unpaid interest, if any, on Securities of that series that shall have become due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solely because of such acceleration, shall have been remedied, cured or waived as provided in Section 6.06. No such rescission and annulment shall extend to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affect any subsequent default or impair any right consequent thereon.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Collection of Indebtedness and Suits for Enforcement by Trustee</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Nothing contained herein shall be deemed to authorize the Trustee to authorize or consent to or accept or adopt on behalf of any Securityholder any plan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reorganization, arrangement, adjustment or composition affecting the Securities of that series or the rights of any holder thereof or to authorize the Trustee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 in respect of the claim of any Securityholder in any such proceeding.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Application of Moneys Collected</w:t>
      </w:r>
      <w:r>
        <w:rPr>
          <w:rFonts w:ascii="Times New Roman" w:cs="Times New Roman" w:eastAsia="Times New Roman" w:hAnsi="Times New Roman"/>
          <w:sz w:val="17"/>
          <w:szCs w:val="17"/>
          <w:color w:val="auto"/>
        </w:rPr>
        <w:t>. Any moneys collected by the Trustee pursuant to this Article with respect to a particular series of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applied in the following order, at the date or dates fixed by the Trustee and, in case of the distribution of such moneys on account of principal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premium, if any) or interest, upon presentation of the Securities of that series, and notation thereon the payment, if only partially paid, and upon surrender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 if fully paid: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To the payment of costs and expenses of collection and of all amounts payable to the Trustee under Section 7.06;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 To the payment of the amounts then due and unpaid upon Securities of such series for principal (and premium, if any) and interest, in respect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or for the benefit of which such money has been collected, ratably, without preference or priority of any kind, according to the amounts due and payable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such Securities for principal (and premium, if any) and interest, respectively.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6.4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Limitation on Suits</w:t>
      </w:r>
      <w:r>
        <w:rPr>
          <w:rFonts w:ascii="Times New Roman" w:cs="Times New Roman" w:eastAsia="Times New Roman" w:hAnsi="Times New Roman"/>
          <w:sz w:val="17"/>
          <w:szCs w:val="17"/>
          <w:color w:val="auto"/>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contained herein to the contrary, any other provisions of this Indenture, the right of any holder of any Security to receive payment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of (and premium, if any) and interest on such Security, as therein provided, on or after the respective due dates expressed in such Security (or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of redemption, on the redemption date), or to institute suit for the enforcement of any such payment on or after such respective dates or redemption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not be impaired or affected without the consent of such holder and by accepting a Security hereunder it is expressly understood, intended and covenanted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taker and holder of every Security of such series with every other such taker and holder and the Trustee, that no one or more holders of Securities of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shall have any right in any manner whatsoever by virtue or by availing of any provision of this Indenture to affect, disturb or prejudice the rights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any other of such Securities, or to obtain or seek to obtain priority over or preference to any other such holder, or to enforce any right under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except in the manner herein provided and for the equal, ratable and common benefit of all holders of Securities of such series. For the protection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enforcement of the provisions of this Section, each and every Securityholder and the Trustee shall be entitled to such relief as can be given either at law or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Rights and Remedies Cumulative; Delay or Omission Not Waiver</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6.6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Control by Securityholders</w:t>
      </w:r>
      <w:r>
        <w:rPr>
          <w:rFonts w:ascii="Times New Roman" w:cs="Times New Roman" w:eastAsia="Times New Roman" w:hAnsi="Times New Roman"/>
          <w:sz w:val="17"/>
          <w:szCs w:val="17"/>
          <w:color w:val="auto"/>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either (a) through the written consent of not less than a majority in aggregate principal amount of the Securities of any series at the time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or (b) by action at a meeting of holders of the Securities of such series in accordance with Section 8.09, by the holders of a majority in aggregate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of the Securities of such series then Outstanding represented at such meeting, may on behalf of the holders of all of the Securities of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waive any past default in the performance of any of the covenants contained herein or established pursuant to Section 2.01 with respect to such series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consequences, except a default in the payment of the principal of, or premium, if any, or interest on, any of the Securities of that series as and when the same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become due by the terms of such Securities otherwise than by acceleration (unless such default has been cured and a sum sufficient to pay all matured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installments of interest and principal and any premium has been deposited with the Trustee (in accordance with Section 6.01(c)) and except in respect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 hereof which, under Section 9.02, cannot be modified or amended without the consent of the holders of each Outstanding Security affected; provided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that this Section shall not limit the right of holders of Securities of a series to rescind and annul any acceleration as set forth in Section 6.01. Upon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waiver, the default covered thereby shall be deemed to be cured for all purposes of this Indenture and the Company, the Trustee and the holders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such series shall be restored to their former positions and rights hereunder, respectively; but no such waiver shall extend to any subsequent or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or impair any right consequent thereon. The provisions which otherwise would be automatically deemed to be contained in this Indenture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316(a)(1) of the Trust Indenture Act are hereby expressly excluded from this Indenture, except to the extent such provisions are expressly included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Undertaking to Pay Costs</w:t>
      </w:r>
      <w:r>
        <w:rPr>
          <w:rFonts w:ascii="Times New Roman" w:cs="Times New Roman" w:eastAsia="Times New Roman" w:hAnsi="Times New Roman"/>
          <w:sz w:val="17"/>
          <w:szCs w:val="17"/>
          <w:color w:val="auto"/>
        </w:rPr>
        <w:t>. All parties to this Indenture agree, and each holder of any Securities by such holder’s acceptance thereof shall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deemed to have agreed, that any court may in its discretion require, in any suit for the enforcement of any right or remedy under this Indenture, or in any suit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Trustee for any action taken or omitted by it as Trustee, the filing by any party litigant in such suit of an undertaking to pay the costs of such suit,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such court may in its discretion assess reasonable costs, including reasonable attorneys’ fees, against any party litigant in such suit, having due regard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merits and good faith of the claims or defenses made by such party litigant; but the provisions of this Section shall not apply to any suit instituted by the Trustee,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CONCERNING THE TRUSTEE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Certain Duties and Responsibilities of Trustee</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The Trustee, prior to the occurrence of an Event of Default with respect to the Securities of a series and after the curing of all Events of Default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Securities of that series that may have occurred, shall undertake to perform with respect to the Securities of such series such duties and only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duties as are specifically set forth in this Indenture, and no implied covenants shall be read into this Indenture against the Trustee. In case an Event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with respect to the Securities of a series has occurred (that has not been cured or waived), the Trustee shall exercise with respect to Securities of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such of the rights and powers vested in it by this Indenture, and use the same degree of care and skill in their exercise, as a prudent man would exercise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under the circumstances in the conduct of his own affairs.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No provision of this Indenture shall be construed to relieve the Trustee from liability for its own negligent action, its own negligent failure to act, or its own willful misconduct, except that:</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           prior to the occurrence of an Event of Default with respect to the Securities of a series and after the curing or waiving of all such Events of Default with respect to that series that may have occurred:</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886"/>
        <w:spacing w:after="0" w:line="257" w:lineRule="auto"/>
        <w:rPr>
          <w:sz w:val="20"/>
          <w:szCs w:val="20"/>
          <w:color w:val="auto"/>
        </w:rPr>
      </w:pPr>
      <w:r>
        <w:rPr>
          <w:rFonts w:ascii="Times New Roman" w:cs="Times New Roman" w:eastAsia="Times New Roman" w:hAnsi="Times New Roman"/>
          <w:sz w:val="17"/>
          <w:szCs w:val="17"/>
          <w:color w:val="auto"/>
        </w:rPr>
        <w:t>(i)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886"/>
        <w:spacing w:after="0" w:line="257" w:lineRule="auto"/>
        <w:rPr>
          <w:sz w:val="20"/>
          <w:szCs w:val="20"/>
          <w:color w:val="auto"/>
        </w:rPr>
      </w:pPr>
      <w:r>
        <w:rPr>
          <w:rFonts w:ascii="Times New Roman" w:cs="Times New Roman" w:eastAsia="Times New Roman" w:hAnsi="Times New Roman"/>
          <w:sz w:val="17"/>
          <w:szCs w:val="17"/>
          <w:color w:val="auto"/>
        </w:rPr>
        <w:t>(ii)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the Trustee shall not be liable for any error of judgment made in good faith by a Responsible Officer or Responsible Officers of the Trustee, unless it shall be proved that the Trustee, was negligent in ascertaining the pertinent facts;</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(4)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Certain Rights of Trustee</w:t>
      </w:r>
      <w:r>
        <w:rPr>
          <w:rFonts w:ascii="Times New Roman" w:cs="Times New Roman" w:eastAsia="Times New Roman" w:hAnsi="Times New Roman"/>
          <w:sz w:val="17"/>
          <w:szCs w:val="17"/>
          <w:color w:val="auto"/>
        </w:rPr>
        <w:t>. Except as otherwise provided in Section 7.01: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The Trustee may consult with counsel and the written advice of such counsel or any Opinion of Counsel shall be full and complete authorization and protection in respect of any action taken or suffered or omitted hereunder in good faith and in reliance thereon;</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  </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(e)           The Trustee shall not be liable for any action taken or omitted to be taken by it in good faith and believed by it to be authorized or within the discretion or rights or powers conferred upon it by this Indenture;</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Trustee Not Responsible for Recitals or Issuance of Securities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recitals contained herein and in the Securities shall be taken as the statements of the Company, and the Trustee assumes no responsibility for the correctness of the same.</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The Trustee makes no representations as to the validity or sufficiency of this Indenture or of the Securities.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7.4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May Hold Securities</w:t>
      </w:r>
      <w:r>
        <w:rPr>
          <w:rFonts w:ascii="Times New Roman" w:cs="Times New Roman" w:eastAsia="Times New Roman" w:hAnsi="Times New Roman"/>
          <w:sz w:val="17"/>
          <w:szCs w:val="17"/>
          <w:color w:val="auto"/>
        </w:rPr>
        <w:t>. The Trustee or any paying agent or Security Registrar, in its individual or any other capacity, may become the owner or pledgee of Securities with the same rights it would have if it were not Trustee, paying agent or Security Registrar.  </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7.5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Moneys Held in Trust</w:t>
      </w:r>
      <w:r>
        <w:rPr>
          <w:rFonts w:ascii="Times New Roman" w:cs="Times New Roman" w:eastAsia="Times New Roman" w:hAnsi="Times New Roman"/>
          <w:sz w:val="17"/>
          <w:szCs w:val="17"/>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Compensation and Reimbursement</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(b)          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Reliance on Officers’ Certificate</w:t>
      </w:r>
      <w:r>
        <w:rPr>
          <w:rFonts w:ascii="Times New Roman" w:cs="Times New Roman" w:eastAsia="Times New Roman" w:hAnsi="Times New Roman"/>
          <w:sz w:val="17"/>
          <w:szCs w:val="17"/>
          <w:color w:val="auto"/>
        </w:rPr>
        <w:t>. Except as otherwise provided in Section 7.01, whenever in the administration of the provisions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the Trustee shall deem it necessary or desirable that a matter be proved or established prior to taking or suffering or omitting to take any 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such matter (unless other evidence in respect thereof be herein specifically prescribed) may, in the absence of negligence or bad faith on the part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Trustee, be deemed to be conclusively proved and established by an Officers’ Certificate delivered to the Trustee and such certificate, in the absence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negligence or bad faith on the part of the Trustee, shall be full warrant to the Trustee for any action taken, suffered or omitted to be taken by it under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provisions of this Indenture upon the faith thereof.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7.8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Disqualification; Conflicting Interests</w:t>
      </w:r>
      <w:r>
        <w:rPr>
          <w:rFonts w:ascii="Times New Roman" w:cs="Times New Roman" w:eastAsia="Times New Roman" w:hAnsi="Times New Roman"/>
          <w:sz w:val="17"/>
          <w:szCs w:val="17"/>
          <w:color w:val="auto"/>
        </w:rPr>
        <w:t>. If the Trustee has or shall acquire any “conflicting interest” within the meaning of Section 310(b) of the Trust Indenture Act, the Trustee and the Company shall in all respects comply with the provisions of Section 310(b) of the Trust Indenture Act.  </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7.9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Corporate Trustee Required; Eligibility</w:t>
      </w:r>
      <w:r>
        <w:rPr>
          <w:rFonts w:ascii="Times New Roman" w:cs="Times New Roman" w:eastAsia="Times New Roman" w:hAnsi="Times New Roman"/>
          <w:sz w:val="17"/>
          <w:szCs w:val="17"/>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7.10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Resignation and Removal; Appointment of Successor</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In case at any time any one of the following shall occur: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(1)          the Trustee shall fail to comply with the provisions of Section 7.08 after written request therefor by the Company or by any Securityholder who has been a bona fide holder of a Security or Securities for at least six months; or</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1257"/>
        <w:spacing w:after="0" w:line="257" w:lineRule="auto"/>
        <w:rPr>
          <w:sz w:val="20"/>
          <w:szCs w:val="20"/>
          <w:color w:val="auto"/>
        </w:rPr>
      </w:pPr>
      <w:r>
        <w:rPr>
          <w:rFonts w:ascii="Times New Roman" w:cs="Times New Roman" w:eastAsia="Times New Roman" w:hAnsi="Times New Roman"/>
          <w:sz w:val="17"/>
          <w:szCs w:val="17"/>
          <w:color w:val="auto"/>
        </w:rPr>
        <w:t>(2)           the Trustee shall cease to be eligible in accordance with the provisions of Section 7.09 and shall fail to resign after written request therefor by the Company or by any such Securityholder; or</w:t>
      </w:r>
    </w:p>
    <w:p>
      <w:pPr>
        <w:ind w:left="12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firstLine="1257"/>
        <w:spacing w:after="0" w:line="259" w:lineRule="auto"/>
        <w:rPr>
          <w:sz w:val="20"/>
          <w:szCs w:val="20"/>
          <w:color w:val="auto"/>
        </w:rPr>
      </w:pPr>
      <w:r>
        <w:rPr>
          <w:rFonts w:ascii="Times New Roman" w:cs="Times New Roman" w:eastAsia="Times New Roman" w:hAnsi="Times New Roman"/>
          <w:sz w:val="17"/>
          <w:szCs w:val="17"/>
          <w:color w:val="auto"/>
        </w:rPr>
        <w:t>(3)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           The holders of a majority in aggregate principal amount of the Securities of any series at the time Outstanding may at any time remove the</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Trustee with respect to such series by so notifying the Trustee and the Company and may appoint a successor Trustee for such series with the consent of the</w:t>
      </w:r>
    </w:p>
    <w:p>
      <w:pPr>
        <w:spacing w:after="0" w:line="14" w:lineRule="exact"/>
        <w:rPr>
          <w:sz w:val="20"/>
          <w:szCs w:val="20"/>
          <w:color w:val="auto"/>
        </w:rPr>
      </w:pPr>
    </w:p>
    <w:p>
      <w:pPr>
        <w:jc w:val="right"/>
        <w:ind w:right="10520"/>
        <w:spacing w:after="0"/>
        <w:rPr>
          <w:sz w:val="20"/>
          <w:szCs w:val="20"/>
          <w:color w:val="auto"/>
        </w:rPr>
      </w:pPr>
      <w:r>
        <w:rPr>
          <w:rFonts w:ascii="Times New Roman" w:cs="Times New Roman" w:eastAsia="Times New Roman" w:hAnsi="Times New Roman"/>
          <w:sz w:val="17"/>
          <w:szCs w:val="17"/>
          <w:color w:val="auto"/>
        </w:rPr>
        <w:t>Company.</w:t>
      </w:r>
    </w:p>
    <w:p>
      <w:pPr>
        <w:spacing w:after="0" w:line="14" w:lineRule="exact"/>
        <w:rPr>
          <w:sz w:val="20"/>
          <w:szCs w:val="20"/>
          <w:color w:val="auto"/>
        </w:rPr>
      </w:pPr>
    </w:p>
    <w:p>
      <w:pPr>
        <w:jc w:val="right"/>
        <w:ind w:right="1056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7.11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Acceptance of Appointment By Successor</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17"/>
          <w:szCs w:val="17"/>
          <w:color w:val="auto"/>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No successor trustee shall accept its appointment unless at the time of such acceptance such successor trustee shall be qualified and eligible under this Article.</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7.12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Merger, Conversion</w:t>
      </w:r>
      <w:r>
        <w:rPr>
          <w:rFonts w:ascii="Times New Roman" w:cs="Times New Roman" w:eastAsia="Times New Roman" w:hAnsi="Times New Roman"/>
          <w:sz w:val="17"/>
          <w:szCs w:val="17"/>
          <w:color w:val="auto"/>
        </w:rPr>
        <w:t>.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7.13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Preferential Collection of Claims Against the Company</w:t>
      </w:r>
      <w:r>
        <w:rPr>
          <w:rFonts w:ascii="Times New Roman" w:cs="Times New Roman" w:eastAsia="Times New Roman" w:hAnsi="Times New Roman"/>
          <w:sz w:val="17"/>
          <w:szCs w:val="17"/>
          <w:color w:val="auto"/>
        </w:rPr>
        <w:t>. The Trustee shall comply with Section 311(a) of the Trust Indenture Act, excluding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creditor relationship described in Section 311(b) of the Trust Indenture Act. A Trustee who has resigned or been removed shall be subject to Section 311(a)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Trust Indenture Act to the extent included 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CONCERNING THE SECURITYHOLDERS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Evidence of Action by Securityholders</w:t>
      </w:r>
      <w:r>
        <w:rPr>
          <w:rFonts w:ascii="Times New Roman" w:cs="Times New Roman" w:eastAsia="Times New Roman" w:hAnsi="Times New Roman"/>
          <w:sz w:val="17"/>
          <w:szCs w:val="17"/>
          <w:color w:val="auto"/>
        </w:rPr>
        <w:t>. Whenever in this Indenture it is provided that the holders of a majority or specified percentage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principal amount of the Securities of a particular series may take any action (including the making of any demand or request, the giving of any notice,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or waiver or the taking of any other action), the fact that at the time of taking any such action the holders of such majority or specified percentage of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have joined therein may be evidenced by any instrument or any number of instruments of similar tenor executed by such holders of Securities of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in Person or by agent or proxy appointed in writing.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Proof of Execution by Securityholders</w:t>
      </w:r>
      <w:r>
        <w:rPr>
          <w:rFonts w:ascii="Times New Roman" w:cs="Times New Roman" w:eastAsia="Times New Roman" w:hAnsi="Times New Roman"/>
          <w:sz w:val="17"/>
          <w:szCs w:val="17"/>
          <w:color w:val="auto"/>
        </w:rPr>
        <w:t>. Subject to the provisions of Section 7.01, proof of the execution of any instrument by a Securityholder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proof will not require notarization) or his agent or proxy and proof of the holding by any Person of any of the Securities shall be sufficient if made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manner: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The fact and date of the execution by any such Person of any instrument may be proved in any reasonable manner acceptable to the Trustee.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The ownership of Securities shall be proved by the Security Register of such Securities or by a certificate of the Security Registrar thereof.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           The Trustee may require such additional proof of any matter referred to in this Section as it shall deem necessary.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Who May be Deemed Owners</w:t>
      </w:r>
      <w:r>
        <w:rPr>
          <w:rFonts w:ascii="Times New Roman" w:cs="Times New Roman" w:eastAsia="Times New Roman" w:hAnsi="Times New Roman"/>
          <w:sz w:val="17"/>
          <w:szCs w:val="17"/>
          <w:color w:val="auto"/>
        </w:rPr>
        <w:t>. Prior to the due presentment for registration of transfer of any Security, the Company, the Trustee, any paying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and any Security Registrar may deem and treat the Person in whose name such Security shall be registered upon the books of the Company as the absolute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 of such Security (whether or not such Security shall be overdue and notwithstanding any notice of ownership or writing thereon made by anyone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the Security Registrar) for the purpose of receiving payment of or on account of the principal of, premium, if any, and (subject to Section 2.03) interest 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Security and for all other purposes; and neither the Company nor the Trustee nor any paying agent nor any Security Registrar shall be affected by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to the contrary.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Certain Securities Owned by Company Disregarded</w:t>
      </w:r>
      <w:r>
        <w:rPr>
          <w:rFonts w:ascii="Times New Roman" w:cs="Times New Roman" w:eastAsia="Times New Roman" w:hAnsi="Times New Roman"/>
          <w:sz w:val="17"/>
          <w:szCs w:val="17"/>
          <w:color w:val="auto"/>
        </w:rPr>
        <w:t>. In determining whether the holders of the requisite aggregate principal amount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a particular series have concurred in any direction, consent of waiver under this Indenture, the Securities of that series that are owned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any other obligor on the Securities of that series or by any Person directly or indirectly controlling or controlled by or under common control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or any other obligor on the Securities of that series shall be disregarded and deemed not to be Outstanding for the purpose of any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determination, except that for the purpose of determining whether the Trustee shall be protected in relying on any such direction, consent or waiver, only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such series that the Trustee actually knows are so owned shall be so disregarded. The Securities so owned that have been pledged in good faith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regarded as Outstanding for the purposes of this Section, if the pledgee shall establish to the satisfaction of the Trustee the pledgee’s right so to act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such Securities and that the pledgee is not a Person directly or indirectly controlling or controlled by or under direct or indirect common control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or any such other obligor. In case of a dispute as to such right, any decision by the Trustee taken upon the advice of counsel shall be full protection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Trustee.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Actions Binding on Future Securityholders</w:t>
      </w:r>
      <w:r>
        <w:rPr>
          <w:rFonts w:ascii="Times New Roman" w:cs="Times New Roman" w:eastAsia="Times New Roman" w:hAnsi="Times New Roman"/>
          <w:sz w:val="17"/>
          <w:szCs w:val="17"/>
          <w:color w:val="auto"/>
        </w:rPr>
        <w:t>. At any time prior to (but not after) the evidencing to the Trustee, as provided in Section 8.01,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taking of any action by the holders of the majority or percentage in aggregate principal amount of the Securities of a particular series specified in this Indenture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such action, any holder of a Security of that series that is shown by the evidence to be included in the Securities the holders of which have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consented to such action may, by filing written notice with the Trustee, and upon proof of holding as provided in Section 8.02, revoke such action so far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concerns such Security. Except as aforesaid any such action taken by the holder of any Security shall be conclusive and binding upon such holder and upon 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holders and owners of such Security, and of any Security issued in exchange therefor, on registration of transfer thereof or in place thereof, irrespective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any notation in regard thereto is made upon such Security. Any action taken by the holders of the majority or percentage in aggregate 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the Securities of a particular series specified in this Indenture in connection with such action shall be conclusively binding upon the Company,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 and the holders of all the Securities of that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Purposes for Which Meetings May Be Called</w:t>
      </w:r>
      <w:r>
        <w:rPr>
          <w:rFonts w:ascii="Times New Roman" w:cs="Times New Roman" w:eastAsia="Times New Roman" w:hAnsi="Times New Roman"/>
          <w:sz w:val="17"/>
          <w:szCs w:val="17"/>
          <w:color w:val="auto"/>
        </w:rPr>
        <w:t>. A meeting of holders of any series of Securities may be called at any time and from time to time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this Article to make, give or take any request, demand, authorization, direction, notice, consent, waiver or other action provided by this Indenture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given or taken by holders of such series of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contained in this Article VIII, the Trustee may, during the pendency of a Default or an Event of Default, call a meeting of 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series of Securities in accordance with its standard practices.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Call Notice and Place of Meetings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In case at any time the Company, pursuant to a Board Resolution, or the holders of at least 10% in principal amount of the Outstanding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any series shall have requested the Trustee to call a meeting of the holders of Securities of such series for any purpose specified in Section 8.06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hereof, by written request setting forth in reasonable detail the action proposed to be taken at the meeting, and the Trustee shall not have made the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publication of the notice of such meeting within 21 days after receipt of such request or shall not thereafter proceed to cause the meeting to be held as provided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 then the Company or the holders of Securities of such series in the amount specified, as the case may be, may determine the time and the place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City of New York or Boston, Massachusetts for such meeting and may call such meeting for such purposes by giving notice thereof as provided in paragraph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8.8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Persons Entitled To Vote at Meetings</w:t>
      </w:r>
      <w:r>
        <w:rPr>
          <w:rFonts w:ascii="Times New Roman" w:cs="Times New Roman" w:eastAsia="Times New Roman" w:hAnsi="Times New Roman"/>
          <w:sz w:val="17"/>
          <w:szCs w:val="17"/>
          <w:color w:val="auto"/>
        </w:rPr>
        <w:t>. To be entitled to vote at any meeting of holders of Securities of a given series, a Person shall be (a)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of one or more Outstanding Securities of such series or (b) a Person appointed by an instrument in writing as proxy for a holder or holders of one or more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Securities of such series by such holder or holders. The only Persons who shall be entitled to be present or to speak at any meeting of holders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the Persons entitled to vote at such meeting and their counsel, any representatives of the Trustee and its counsel and any representatives of the Company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8.9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Quorum; Action</w:t>
      </w:r>
      <w:r>
        <w:rPr>
          <w:rFonts w:ascii="Times New Roman" w:cs="Times New Roman" w:eastAsia="Times New Roman" w:hAnsi="Times New Roman"/>
          <w:sz w:val="17"/>
          <w:szCs w:val="17"/>
          <w:color w:val="auto"/>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 meeting or an adjourned meeting duly reconvened and at which a quorum is present as aforesaid, any resolution and all matters (except as limited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proviso to the first paragraph of Section 9.02 hereof) shall be effectively passed and decided if passed or decided by the Persons entitled to vote not less than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majority in aggregate principal amount of Outstanding Securities of a series represented and voting at such meeting with respect to a meeting of 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Securities of such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resolution passed or decisions taken at any meeting of holders of Securities duly held in accordance with this Section shall be binding on all the 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such series, whether or not present or represented at the meeting.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8.10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Determination of Voting Rights; Conduct and Adjournment of Meetings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8.11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Counting Votes and Recording Action of Meetings</w:t>
      </w:r>
      <w:r>
        <w:rPr>
          <w:rFonts w:ascii="Times New Roman" w:cs="Times New Roman" w:eastAsia="Times New Roman" w:hAnsi="Times New Roman"/>
          <w:sz w:val="17"/>
          <w:szCs w:val="17"/>
          <w:color w:val="auto"/>
        </w:rPr>
        <w:t>. The vote upon any resolution submitted to any meeting of holders of Securities of a given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shall be by written ballots on which shall be subscribed the signatures of the holders of Securities of such series or of their representatives by proxy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amounts and serial numbers of the Outstanding Securities of such series held or represented by them. The permanent chairman of the meeting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appoint two inspectors of votes who shall count all votes cast at the meeting for or against any resolution and who shall make and file with the secretary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meeting their verified written reports in duplicate of all votes cast at the meeting. A record, at least in duplicate, of the proceedings of each meeting of 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such series shall be prepared by the secretary of the meeting and there shall be attached to said record the original reports of the inspectors of votes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any vote by ballot taken thereat and affidavits by one or more Persons having knowledge of the facts setting forth a copy of the notice of the meeting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showing that said notice was given as provided in Section 8.07 hereof and, if applicable, Section 8.09 hereof. Each copy shall be signed and verified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affidavits of the permanent chairman and secretary of the meeting and one such copy shall be delivered to the Company and another to the Trustee to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preserved by the Trustee, the latter to have attached thereto the ballots voted at the meeting. Any record so signed and verified shall be conclusive evidence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matters therein stated.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INDENTURES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9.1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Supplemental Indentures Without the Consent of Securityholders</w:t>
      </w:r>
      <w:r>
        <w:rPr>
          <w:rFonts w:ascii="Times New Roman" w:cs="Times New Roman" w:eastAsia="Times New Roman" w:hAnsi="Times New Roman"/>
          <w:sz w:val="17"/>
          <w:szCs w:val="17"/>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spacing w:after="0" w:line="191"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to comply with Article X;</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           to provide for uncertificated Securities in addition to or in place of certificated Securities;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(d)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(e)          to add to, delete from, or revise the conditions, limitations, and restrictions on the authorized amount, terms, or purposes of issue, authentication, and delivery of Securities, as herein set forth;</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            to make any change that does not adversely affect the rights of any Securityholder in any material respect;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(h)          comply with the requirements of the Commission in order to effect or maintain the qualification of this Indenture under the Trust Indenture Act.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Trustee is hereby authorized to join with the Company in the execution of any such supplemental indenture, and to make any further appropriate agreements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stipulations that may be therein contained, but the Trustee shall not be obligated to enter into any such supplemental indenture that affects the Trustee’s own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duties or immunities under this Indenture or otherwise.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Any supplemental indenture authorized by the provisions of this Section may be executed by the Company and the Trustee without the consent of the holders of any of the Securities at the time Outstanding, notwithstanding any of the provisions of Section 9.02.  </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u w:val="single" w:color="auto"/>
          <w:color w:val="auto"/>
        </w:rPr>
        <w:t>SECTION 9.2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Supplemental Indentures With Consent of Securityholders</w:t>
      </w:r>
      <w:r>
        <w:rPr>
          <w:rFonts w:ascii="Times New Roman" w:cs="Times New Roman" w:eastAsia="Times New Roman" w:hAnsi="Times New Roman"/>
          <w:sz w:val="17"/>
          <w:szCs w:val="17"/>
          <w:color w:val="auto"/>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  </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9.3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Effect of Supplemental Indentures</w:t>
      </w:r>
      <w:r>
        <w:rPr>
          <w:rFonts w:ascii="Times New Roman" w:cs="Times New Roman" w:eastAsia="Times New Roman" w:hAnsi="Times New Roman"/>
          <w:sz w:val="17"/>
          <w:szCs w:val="17"/>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spacing w:after="0" w:line="1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9.4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Securities Affected by Supplemental Indentures</w:t>
      </w:r>
      <w:r>
        <w:rPr>
          <w:rFonts w:ascii="Times New Roman" w:cs="Times New Roman" w:eastAsia="Times New Roman" w:hAnsi="Times New Roman"/>
          <w:sz w:val="17"/>
          <w:szCs w:val="17"/>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  </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9.5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Execution of Supplemental Indentures</w:t>
      </w:r>
      <w:r>
        <w:rPr>
          <w:rFonts w:ascii="Times New Roman" w:cs="Times New Roman" w:eastAsia="Times New Roman" w:hAnsi="Times New Roman"/>
          <w:sz w:val="17"/>
          <w:szCs w:val="17"/>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  </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  </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SUCCESSOR ENTITY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10.1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Company May Consolidate, Etc</w:t>
      </w:r>
      <w:r>
        <w:rPr>
          <w:rFonts w:ascii="Times New Roman" w:cs="Times New Roman" w:eastAsia="Times New Roman" w:hAnsi="Times New Roman"/>
          <w:sz w:val="17"/>
          <w:szCs w:val="17"/>
          <w:color w:val="auto"/>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  </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10.2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Successor Entity Substituted</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In case of any such consolidation, merger, sale, conveyance, transfer or other disposition such changes in phraseology and form (but not in substance) may be made in the Securities thereafter to be issued as may be appropriate.</w:t>
      </w: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10.3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Evidence of Consolidation, Etc. to Trustee</w:t>
      </w:r>
      <w:r>
        <w:rPr>
          <w:rFonts w:ascii="Times New Roman" w:cs="Times New Roman" w:eastAsia="Times New Roman" w:hAnsi="Times New Roman"/>
          <w:sz w:val="17"/>
          <w:szCs w:val="17"/>
          <w:color w:val="auto"/>
        </w:rPr>
        <w:t>. The Trustee, subject to the provisions of Section 7.01, may receive an Opinion of Counsel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conclusive evidence that any such consolidation, merger, sale, conveyance, transfer or other disposition, and any such assumption, comply with the provisions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Article.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SATISFACTION AND DISCHARGE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11.1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Satisfaction and Discharge of Indenture</w:t>
      </w:r>
      <w:r>
        <w:rPr>
          <w:rFonts w:ascii="Times New Roman" w:cs="Times New Roman" w:eastAsia="Times New Roman" w:hAnsi="Times New Roman"/>
          <w:sz w:val="17"/>
          <w:szCs w:val="17"/>
          <w:color w:val="auto"/>
        </w:rPr>
        <w:t>. If at any time: (a) the Company shall have delivered to the Trustee for cancellation all Securities of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theretofore authenticated (other than any Securities that shall have been destroyed, lost or stolen and that shall have been replaced or paid as provided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2.07) and Securities for whose payment money or Governmental Obligations have theretofore been deposited in trust or segregated and held in trust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thereupon repaid to the Company or discharged from such trust, as provided in Section 11.05); or (b) all such Securities of a particular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theretofore delivered to the Trustee for cancellation shall have become due and payable, or are by their terms to become due and payable within one year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to be called for redemption within one year under arrangements satisfactory to the Trustee for the giving of notice of redemption, and the Company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 or cause to be deposited with the Trustee as trust funds the entire amount in moneys or Governmental Obligations sufficient or a combination thereof,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sufficient (assuming that no tax liability will be imposed on the Trustee) in the opinion of a nationally recognized firm of independent public accountants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expressed in a written certification thereof delivered to the Trustee, to pay at maturity or upon redemption all Securities of that series not theretofore delivered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Trustee for cancellation, including principal (and premium, if any) and interest due or to become due to such date of maturity or date fixed for redemption,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case may be, and if the Company shall also pay or cause to be paid all other sums payable hereunder with respect to such series by the Company then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shall thereupon cease to be of further effect with respect to such series except for the provisions of Sections 2.03, 2.05, 2.07, 4.01, 4.02, 4.03 and 7.10,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shall survive until the date of maturity or redemption date, as the case may be, and Sections 7.06 and 11.05, that shall survive to such date and thereafter,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Trustee, on demand of the Company and at the cost and expense of the Company shall execute proper instruments acknowledging satisfaction of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discharging this Indenture with respect to such series.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11.2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Discharge of Obligations</w:t>
      </w:r>
      <w:r>
        <w:rPr>
          <w:rFonts w:ascii="Times New Roman" w:cs="Times New Roman" w:eastAsia="Times New Roman" w:hAnsi="Times New Roman"/>
          <w:sz w:val="17"/>
          <w:szCs w:val="17"/>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  </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11.3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Deposited Moneys to be Held in Trust</w:t>
      </w:r>
      <w:r>
        <w:rPr>
          <w:rFonts w:ascii="Times New Roman" w:cs="Times New Roman" w:eastAsia="Times New Roman" w:hAnsi="Times New Roman"/>
          <w:sz w:val="17"/>
          <w:szCs w:val="17"/>
          <w:color w:val="auto"/>
        </w:rPr>
        <w:t>. Subject to Section 11.05, all moneys or Governmental Obligations deposited with the Trustee pursuant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Sections 11.01 or 11.02 shall be held in trust and shall be available for payment as due, either directly or through any paying agent (including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as its own paying agent), to the holders of the particular series of Securities for the payment or redemption of which such moneys or Governmental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have been deposited with the Trustee.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11.4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Payment of Moneys Held by Paying Agents</w:t>
      </w:r>
      <w:r>
        <w:rPr>
          <w:rFonts w:ascii="Times New Roman" w:cs="Times New Roman" w:eastAsia="Times New Roman" w:hAnsi="Times New Roman"/>
          <w:sz w:val="17"/>
          <w:szCs w:val="17"/>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11.5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Repayment to Company</w:t>
      </w:r>
      <w:r>
        <w:rPr>
          <w:rFonts w:ascii="Times New Roman" w:cs="Times New Roman" w:eastAsia="Times New Roman" w:hAnsi="Times New Roman"/>
          <w:sz w:val="17"/>
          <w:szCs w:val="17"/>
          <w:color w:val="auto"/>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IMMUNITY OF INCORPORATORS, SHAREHOLDERS, OFFICERS AND DIRECTORS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12.1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No Recourse</w:t>
      </w:r>
      <w:r>
        <w:rPr>
          <w:rFonts w:ascii="Times New Roman" w:cs="Times New Roman" w:eastAsia="Times New Roman" w:hAnsi="Times New Roman"/>
          <w:sz w:val="17"/>
          <w:szCs w:val="17"/>
          <w:color w:val="auto"/>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 PROVISIONS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13.1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Effect on Successors and Assigns</w:t>
      </w:r>
      <w:r>
        <w:rPr>
          <w:rFonts w:ascii="Times New Roman" w:cs="Times New Roman" w:eastAsia="Times New Roman" w:hAnsi="Times New Roman"/>
          <w:sz w:val="17"/>
          <w:szCs w:val="17"/>
          <w:color w:val="auto"/>
        </w:rPr>
        <w:t>. All the covenants, stipulations, promises and agreements in this Indenture contained by or on behalf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shall bind its successors and assigns, whether so expressed or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13.2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Actions by Successor</w:t>
      </w:r>
      <w:r>
        <w:rPr>
          <w:rFonts w:ascii="Times New Roman" w:cs="Times New Roman" w:eastAsia="Times New Roman" w:hAnsi="Times New Roman"/>
          <w:sz w:val="17"/>
          <w:szCs w:val="17"/>
          <w:color w:val="auto"/>
        </w:rPr>
        <w:t>. Any act or proceeding by any provision of this Indenture authorized or required to be done or performed by any board,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or officer of the Company shall and may be done and performed with like force and effect by the corresponding board, committee or officer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that shall at the time be the lawful successor of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13.3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Surrender of Company Powers</w:t>
      </w:r>
      <w:r>
        <w:rPr>
          <w:rFonts w:ascii="Times New Roman" w:cs="Times New Roman" w:eastAsia="Times New Roman" w:hAnsi="Times New Roman"/>
          <w:sz w:val="17"/>
          <w:szCs w:val="17"/>
          <w:color w:val="auto"/>
        </w:rPr>
        <w:t>. The Company by instrument in writing executed by authority of its Board of Directors and delivered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 may surrender any of the powers reserved to the Company, and thereupon such power so surrendered shall terminate both as to the Company and as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successor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13.4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 [ ], 595 Howe Street, 10th Floor, Vancouver, British Columbia, Canada V6C 2T5.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13.5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Indenture and each Security shall be deemed to be a contract made under the internal laws of the State of New York,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all purposes shall be construed in accordance with the laws of said State.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13.6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Treatment of Securities as Debt</w:t>
      </w:r>
      <w:r>
        <w:rPr>
          <w:rFonts w:ascii="Times New Roman" w:cs="Times New Roman" w:eastAsia="Times New Roman" w:hAnsi="Times New Roman"/>
          <w:sz w:val="17"/>
          <w:szCs w:val="17"/>
          <w:color w:val="auto"/>
        </w:rPr>
        <w:t>. It is intended that the Securities will be treated as indebtedness and not as equity for federal income tax purposes. The provisions of this Indenture shall be interpreted to further this intention.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13.7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Compliance Certificates and Opinions</w:t>
      </w:r>
      <w:r>
        <w:rPr>
          <w:rFonts w:ascii="Times New Roman" w:cs="Times New Roman" w:eastAsia="Times New Roman" w:hAnsi="Times New Roman"/>
          <w:sz w:val="17"/>
          <w:szCs w:val="17"/>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(a)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(b)           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13.8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Payments on Business Days</w:t>
      </w:r>
      <w:r>
        <w:rPr>
          <w:rFonts w:ascii="Times New Roman" w:cs="Times New Roman" w:eastAsia="Times New Roman" w:hAnsi="Times New Roman"/>
          <w:sz w:val="17"/>
          <w:szCs w:val="17"/>
          <w:color w:val="auto"/>
        </w:rPr>
        <w:t>. Except as provided pursuant to Section 2.01 pursuant to a Board Resolution, and as set forth in an Officers’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or established in one or more indentures supplemental to this Indenture, in any case where the date of maturity of interest or principal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or the date of redemption of any Security shall not be a Business Day, then payment of interest or principal (and premium, if any) may be made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next succeeding Business Day with the same force and effect as if made on the nominal date of maturity or redemption, and no interest shall accrue for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after such nominal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13.9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Conflict with Trust Indenture Act</w:t>
      </w:r>
      <w:r>
        <w:rPr>
          <w:rFonts w:ascii="Times New Roman" w:cs="Times New Roman" w:eastAsia="Times New Roman" w:hAnsi="Times New Roman"/>
          <w:sz w:val="17"/>
          <w:szCs w:val="17"/>
          <w:color w:val="auto"/>
        </w:rPr>
        <w:t>. If and to the extent that any provision of this Indenture limits, qualifies or conflicts with the duties imposed by Sections 310 to 317, inclusive, of the Trust Indenture Act, such imposed duties shall control.  </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auto"/>
        </w:rPr>
        <w:t> </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13.10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This Indenture may be executed in any number of counterparts, each of which shall be an original, but such counterparts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together constitute but one and the same instrument.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13.11  Separability</w:t>
      </w:r>
      <w:r>
        <w:rPr>
          <w:rFonts w:ascii="Times New Roman" w:cs="Times New Roman" w:eastAsia="Times New Roman" w:hAnsi="Times New Roman"/>
          <w:sz w:val="17"/>
          <w:szCs w:val="17"/>
          <w:color w:val="auto"/>
        </w:rPr>
        <w:t>. In case any one or more of the provisions contained in this Indenture or in the Securities of any series shall for any reason be held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invalid, illegal or unenforceable in any respect, such invalidity, illegality or unenforceability shall not affect any other provisions of this Indenture or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Securities, but this Indenture and such Securities shall be construed as if such invalid or illegal or unenforceable provision had never been contained 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13.12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The Company will have the right at all times to assign any of its rights or obligations under this Indenture to a direct or indirect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wholly-owned Subsidiary of the Company, provided that, in the event of any such assignment, the Company, will remain liable for all such obligations. Subject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foregoing, this Indenture is binding upon and inures to the benefit of the parties thereto and their respective successors and assigns. This Indenture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otherwise be assigned by the parties thereto.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TMC THE METALS COMPANY, INC.</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18"/>
                <w:szCs w:val="18"/>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By:  </w:t>
            </w:r>
          </w:p>
        </w:tc>
      </w:tr>
      <w:tr>
        <w:trPr>
          <w:trHeight w:val="185"/>
        </w:trPr>
        <w:tc>
          <w:tcPr>
            <w:tcW w:w="2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18"/>
                <w:szCs w:val="18"/>
                <w:color w:val="auto"/>
              </w:rPr>
            </w:pPr>
          </w:p>
        </w:tc>
      </w:tr>
      <w:tr>
        <w:trPr>
          <w:trHeight w:val="210"/>
        </w:trPr>
        <w:tc>
          <w:tcPr>
            <w:tcW w:w="2800" w:type="dxa"/>
            <w:vAlign w:val="bottom"/>
          </w:tcPr>
          <w:p>
            <w:pPr>
              <w:spacing w:after="0"/>
              <w:rPr>
                <w:sz w:val="18"/>
                <w:szCs w:val="18"/>
                <w:color w:val="auto"/>
              </w:rPr>
            </w:pP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As Trustee</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18"/>
                <w:szCs w:val="18"/>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By:  </w:t>
            </w:r>
          </w:p>
        </w:tc>
      </w:tr>
      <w:tr>
        <w:trPr>
          <w:trHeight w:val="185"/>
        </w:trPr>
        <w:tc>
          <w:tcPr>
            <w:tcW w:w="2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629"/>
        </w:trPr>
        <w:tc>
          <w:tcPr>
            <w:tcW w:w="2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7"/>
                <w:szCs w:val="17"/>
                <w:color w:val="auto"/>
              </w:rPr>
              <w:t>29</w:t>
            </w:r>
          </w:p>
        </w:tc>
        <w:tc>
          <w:tcPr>
            <w:tcW w:w="5280" w:type="dxa"/>
            <w:vAlign w:val="bottom"/>
            <w:tcBorders>
              <w:bottom w:val="single" w:sz="8" w:color="auto"/>
            </w:tcBorders>
          </w:tcPr>
          <w:p>
            <w:pPr>
              <w:spacing w:after="0"/>
              <w:rPr>
                <w:sz w:val="24"/>
                <w:szCs w:val="24"/>
                <w:color w:val="auto"/>
              </w:rPr>
            </w:pPr>
          </w:p>
        </w:tc>
      </w:tr>
      <w:tr>
        <w:trPr>
          <w:trHeight w:val="345"/>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 </w:t>
            </w:r>
          </w:p>
        </w:tc>
        <w:tc>
          <w:tcPr>
            <w:tcW w:w="316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240"/>
          </w:cols>
          <w:pgMar w:left="320" w:top="217"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tc>
      </w:tr>
      <w:tr>
        <w:trPr>
          <w:trHeight w:val="401"/>
        </w:trPr>
        <w:tc>
          <w:tcPr>
            <w:tcW w:w="2900" w:type="dxa"/>
            <w:vAlign w:val="bottom"/>
          </w:tcPr>
          <w:p>
            <w:pPr>
              <w:spacing w:after="0"/>
              <w:rPr>
                <w:sz w:val="24"/>
                <w:szCs w:val="24"/>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TMC THE METALS COMPANY INC.</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Issuer</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color w:val="auto"/>
              </w:rPr>
              <w:t>AND</w:t>
            </w:r>
          </w:p>
        </w:tc>
      </w:tr>
      <w:tr>
        <w:trPr>
          <w:trHeight w:val="210"/>
        </w:trPr>
        <w:tc>
          <w:tcPr>
            <w:tcW w:w="2900" w:type="dxa"/>
            <w:vAlign w:val="bottom"/>
          </w:tcPr>
          <w:p>
            <w:pPr>
              <w:spacing w:after="0"/>
              <w:rPr>
                <w:sz w:val="18"/>
                <w:szCs w:val="18"/>
                <w:color w:val="auto"/>
              </w:rPr>
            </w:pPr>
          </w:p>
        </w:tc>
        <w:tc>
          <w:tcPr>
            <w:tcW w:w="6760" w:type="dxa"/>
            <w:vAlign w:val="bottom"/>
          </w:tcPr>
          <w:p>
            <w:pPr>
              <w:jc w:val="center"/>
              <w:ind w:right="1233"/>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Trustee</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INDENTURE</w:t>
            </w:r>
          </w:p>
        </w:tc>
      </w:tr>
      <w:tr>
        <w:trPr>
          <w:trHeight w:val="210"/>
        </w:trPr>
        <w:tc>
          <w:tcPr>
            <w:tcW w:w="2900" w:type="dxa"/>
            <w:vAlign w:val="bottom"/>
          </w:tcPr>
          <w:p>
            <w:pPr>
              <w:spacing w:after="0"/>
              <w:rPr>
                <w:sz w:val="18"/>
                <w:szCs w:val="18"/>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Dated as of [ ]</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center"/>
              <w:ind w:right="2813"/>
              <w:spacing w:after="0"/>
              <w:rPr>
                <w:sz w:val="20"/>
                <w:szCs w:val="20"/>
                <w:color w:val="auto"/>
              </w:rPr>
            </w:pPr>
            <w:r>
              <w:rPr>
                <w:rFonts w:ascii="Times New Roman" w:cs="Times New Roman" w:eastAsia="Times New Roman" w:hAnsi="Times New Roman"/>
                <w:sz w:val="17"/>
                <w:szCs w:val="17"/>
                <w:color w:val="auto"/>
              </w:rPr>
              <w:t>Subordinated Debt Securities</w:t>
            </w:r>
          </w:p>
        </w:tc>
      </w:tr>
      <w:tr>
        <w:trPr>
          <w:trHeight w:val="419"/>
        </w:trPr>
        <w:tc>
          <w:tcPr>
            <w:tcW w:w="2900" w:type="dxa"/>
            <w:vAlign w:val="bottom"/>
          </w:tcPr>
          <w:p>
            <w:pPr>
              <w:spacing w:after="0"/>
              <w:rPr>
                <w:sz w:val="24"/>
                <w:szCs w:val="24"/>
                <w:color w:val="auto"/>
              </w:rPr>
            </w:pPr>
          </w:p>
        </w:tc>
        <w:tc>
          <w:tcPr>
            <w:tcW w:w="8340" w:type="dxa"/>
            <w:vAlign w:val="bottom"/>
            <w:gridSpan w:val="3"/>
          </w:tcPr>
          <w:p>
            <w:pPr>
              <w:jc w:val="center"/>
              <w:ind w:right="2793"/>
              <w:spacing w:after="0"/>
              <w:rPr>
                <w:sz w:val="20"/>
                <w:szCs w:val="20"/>
                <w:color w:val="auto"/>
              </w:rPr>
            </w:pPr>
            <w:r>
              <w:rPr>
                <w:rFonts w:ascii="Times New Roman" w:cs="Times New Roman" w:eastAsia="Times New Roman" w:hAnsi="Times New Roman"/>
                <w:sz w:val="17"/>
                <w:szCs w:val="17"/>
                <w:b w:val="1"/>
                <w:bCs w:val="1"/>
                <w:color w:val="auto"/>
              </w:rPr>
              <w:t>CROSS-REFERENCE TABLE(1)</w:t>
            </w:r>
          </w:p>
        </w:tc>
      </w:tr>
      <w:tr>
        <w:trPr>
          <w:trHeight w:val="399"/>
        </w:trPr>
        <w:tc>
          <w:tcPr>
            <w:tcW w:w="2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Section of</w:t>
            </w: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Trust Indenture Act</w:t>
            </w: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Section of</w:t>
            </w:r>
          </w:p>
        </w:tc>
      </w:tr>
      <w:tr>
        <w:trPr>
          <w:trHeight w:val="23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of 1939, as Amended</w:t>
            </w:r>
          </w:p>
        </w:tc>
        <w:tc>
          <w:tcPr>
            <w:tcW w:w="6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Indenture</w:t>
            </w: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310(a).</w:t>
            </w:r>
          </w:p>
        </w:tc>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310(b).</w:t>
            </w:r>
          </w:p>
        </w:tc>
        <w:tc>
          <w:tcPr>
            <w:tcW w:w="83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rPr>
              <w:t>7.08</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310(c).</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311(a).</w:t>
            </w: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7.13(a)</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311(b).</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7.13(b)</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311(c).</w:t>
            </w: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312(a).</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5.02(a)</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312(b).</w:t>
            </w: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5.02(b)</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312(c).</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5.02(c)</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313(a).</w:t>
            </w: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5.04(a)</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313(b).</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5.04(a)</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313(c).</w:t>
            </w:r>
          </w:p>
        </w:tc>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5.04(a)</w:t>
            </w:r>
          </w:p>
        </w:tc>
      </w:tr>
      <w:tr>
        <w:trPr>
          <w:trHeight w:val="228"/>
        </w:trPr>
        <w:tc>
          <w:tcPr>
            <w:tcW w:w="29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5.04(b)</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313(d).</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5.04(b)</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314(b).</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314(c).</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314(d).</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314(e).</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314(f).</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Inapplicable</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315(a).</w:t>
            </w:r>
          </w:p>
        </w:tc>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7.01(a)</w:t>
            </w:r>
          </w:p>
        </w:tc>
      </w:tr>
      <w:tr>
        <w:trPr>
          <w:trHeight w:val="228"/>
        </w:trPr>
        <w:tc>
          <w:tcPr>
            <w:tcW w:w="2900" w:type="dxa"/>
            <w:vAlign w:val="bottom"/>
          </w:tcPr>
          <w:p>
            <w:pPr>
              <w:spacing w:after="0"/>
              <w:rPr>
                <w:sz w:val="19"/>
                <w:szCs w:val="19"/>
                <w:color w:val="auto"/>
              </w:rPr>
            </w:pP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315(b).</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315(c).</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315(d).</w:t>
            </w: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7.01(b)</w:t>
            </w:r>
          </w:p>
        </w:tc>
      </w:tr>
      <w:tr>
        <w:trPr>
          <w:trHeight w:val="210"/>
        </w:trPr>
        <w:tc>
          <w:tcPr>
            <w:tcW w:w="29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7.01(c)</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315(e).</w:t>
            </w:r>
          </w:p>
        </w:tc>
        <w:tc>
          <w:tcPr>
            <w:tcW w:w="6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6.07</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316(a).</w:t>
            </w:r>
          </w:p>
        </w:tc>
        <w:tc>
          <w:tcPr>
            <w:tcW w:w="67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10"/>
        </w:trPr>
        <w:tc>
          <w:tcPr>
            <w:tcW w:w="29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316(b).</w:t>
            </w:r>
          </w:p>
        </w:tc>
        <w:tc>
          <w:tcPr>
            <w:tcW w:w="67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6.04</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316(c).</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317(a).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317(b).</w:t>
            </w:r>
          </w:p>
        </w:tc>
        <w:tc>
          <w:tcPr>
            <w:tcW w:w="8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318(a).</w:t>
            </w:r>
          </w:p>
        </w:tc>
        <w:tc>
          <w:tcPr>
            <w:tcW w:w="8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13.08</w:t>
            </w:r>
          </w:p>
        </w:tc>
      </w:tr>
    </w:tbl>
    <w:p>
      <w:pPr>
        <w:spacing w:after="0" w:line="212" w:lineRule="exact"/>
        <w:rPr>
          <w:sz w:val="20"/>
          <w:szCs w:val="20"/>
          <w:color w:val="auto"/>
        </w:rPr>
      </w:pPr>
    </w:p>
    <w:p>
      <w:pPr>
        <w:ind w:left="480" w:hanging="462"/>
        <w:spacing w:after="0"/>
        <w:tabs>
          <w:tab w:leader="none" w:pos="4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136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40" w:type="dxa"/>
            <w:vAlign w:val="bottom"/>
          </w:tcPr>
          <w:p>
            <w:pPr>
              <w:spacing w:after="0"/>
              <w:rPr>
                <w:sz w:val="17"/>
                <w:szCs w:val="17"/>
                <w:color w:val="auto"/>
              </w:rPr>
            </w:pPr>
          </w:p>
        </w:tc>
      </w:tr>
      <w:tr>
        <w:trPr>
          <w:trHeight w:val="438"/>
        </w:trPr>
        <w:tc>
          <w:tcPr>
            <w:tcW w:w="1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419"/>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Definitions of Terms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II. ISSUE, DESCRIPTION, TERMS, EXECUTION, REGISTRATION AND EXCHANGE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01"/>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Designation and Terms of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2.2</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Form of Securities and Trustee’s Certificate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2.3</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Denominations: Provisions for Payment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2.4</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Execution and Authentications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2.5</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Registration of Transfer and Exchange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2.6</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Temporary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2.7</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Mutilated, Destroyed, Lost or Stolen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2.8</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Cancellation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2.9</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Benefits of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2.10</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Authenticating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8"/>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2.11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Global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III. REDEMPTION OF SECURITIES AND SINKING FUND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01"/>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3.2</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Notice of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3.3</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Payment Upon Redemption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3.4</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Sinking Fund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3.5</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Satisfaction of Sinking Fund Payments with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3.6</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Redemption of Securities for Sinking Fund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IV.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401"/>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4.1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Payment of Principal, Premium and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4.2</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Maintenance of Office or Agency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4.3</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Paying Agents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4.4</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Appointment to Fill Vacancy in Office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4.5</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Compliance with Consolidation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V. SECURITYHOLDERS’ LISTS AND REPORTS BY THE COMPANY AND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01"/>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5.1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Company to Furnish Trustee Names and Addresses of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5.2</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Preservation of Information; Communications with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5.3</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Reports by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5.4</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Reports by the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419"/>
        </w:trPr>
        <w:tc>
          <w:tcPr>
            <w:tcW w:w="9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VI. REMEDIES OF THE TRUSTEE AND SECURITYHOLDERS ON EVENT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401"/>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6.1</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Events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6.2</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Collection of Indebtedness and Suits for Enforcement by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6.3</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Application of Moneys Collected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6.4</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Limitation on Suits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6.5</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Rights and Remedies Cumulative; Delay or Omission Not Waiver</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0"/>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6.6</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Control by Securityholders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8"/>
        </w:trPr>
        <w:tc>
          <w:tcPr>
            <w:tcW w:w="1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6.7</w:t>
            </w:r>
          </w:p>
        </w:tc>
        <w:tc>
          <w:tcPr>
            <w:tcW w:w="81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Undertaking to Pay Costs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8"/>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CONCERNING THE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Certain Duties and Responsibilities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Certain Rights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Trustee Not Responsible for Recitals or Issuance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7.4</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Hold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7.5</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Moneys Held in Trust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7.6</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and Reimbursement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7.7</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Reliance on Officers’ Certificate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7.8</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Disqualification; Conflicting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7.9</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Trustee Required; Eligibility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7.10</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Resignation and Removal; Appointment of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7.11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Acceptance of Appointment By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7.12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Merger, Conversion</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7.13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Preferential Collection of Claims Against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CONCERNING THE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Evidence of Action by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Proof of Execution by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Who May be Deemed Owners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8.4</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Certain Securities Owned by Company Disregarded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8.5</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Actions Binding on Future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8.6</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Purposes for Which Meetings May Be Called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8.7</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Call Notice and Place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8.8</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Persons Entitled To Vote at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8.9</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Quorum; Action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8.10</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Determination of Voting Rights; Conduct and Adjournment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8.11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Counting Votes and Recording Action of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9.1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Supplemental Indentures Without the Consent of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9.2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Supplemental Indentures With Consent of Securityholders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9.3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9.4</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Securities Affected by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9.5</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Execution of Supplemental Indentures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SUCCESSOR ENTITY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10.1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 May Consolidate,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10.2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Successor Entity Substituted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10.3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Evidence of Consolidation,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SATISFACTION AND DISCHARGE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Satisfaction and Discharge of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Discharge of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Deposited Moneys to be Held in Trust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11.4</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Moneys Held by Paying Agents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11.5</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to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XII. IMMUNITY OF INCORPORATORS, SHAREHOLDERS, OFFICERS AND DIRECTORS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19"/>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12.1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Recourse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XIII. MISCELLANEOUS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1"/>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on 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Actions by Successor</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13.3</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Surrender of Company Powers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13.4</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13.5</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Governing Law</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13.6</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Treatment of Securities as Debt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13.7</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Compliance Certificates and Opinions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13.8</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Business Days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13.9</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Conflict with Trust Indenture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13.10</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13.11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Separability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8"/>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13.12</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Assignment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419"/>
        </w:trPr>
        <w:tc>
          <w:tcPr>
            <w:tcW w:w="9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XIV. SUBORDINATION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19"/>
        </w:trPr>
        <w:tc>
          <w:tcPr>
            <w:tcW w:w="1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SECTION 14.1</w:t>
            </w:r>
          </w:p>
        </w:tc>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Subordination Terms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ectPr>
          <w:pgSz w:w="11900" w:h="16838" w:orient="portrait"/>
          <w:cols w:equalWidth="0" w:num="1">
            <w:col w:w="11240"/>
          </w:cols>
          <w:pgMar w:left="320" w:top="907" w:right="339" w:bottom="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(2) This Table of Contents does not constitute part of the Indenture and shall not have any bearing on the interpretation of any of its terms and provisions.</w:t>
      </w:r>
    </w:p>
    <w:p>
      <w:pPr>
        <w:sectPr>
          <w:pgSz w:w="11900" w:h="16838" w:orient="portrait"/>
          <w:cols w:equalWidth="0" w:num="1">
            <w:col w:w="10800"/>
          </w:cols>
          <w:pgMar w:left="320" w:top="121" w:right="7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type w:val="continuous"/>
        </w:sectPr>
      </w:pPr>
    </w:p>
    <w:bookmarkStart w:id="93" w:name="page94"/>
    <w:bookmarkEnd w:id="93"/>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INDENTURE, dated as of [ ], by and between TMC the metals company Inc., a corporation existing under the laws of British Columbia, Canada (the “Company”), and [ ], as trustee (the “Trustee”):</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WHEREAS, to provide the terms and conditions upon which the Securities are to be authenticated, issued and delivered, the Company has duly authorized the execution of this Indenture; and</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WHEREAS, all things necessary to make this Indenture a valid agreement of the Company, in accordance with its terms, have been done.</w:t>
      </w:r>
    </w:p>
    <w:p>
      <w:pPr>
        <w:spacing w:after="0" w:line="22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NOW, THEREFORE, in consideration of the premises and the purchase of the Securities by the holders thereof, it is mutually covenanted and agreed as follows for the equal and ratable benefit of the holders of Securities: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u w:val="single" w:color="auto"/>
          <w:color w:val="auto"/>
        </w:rPr>
        <w:t>SECTION 1.1 Definitions of Terms</w:t>
      </w:r>
      <w:r>
        <w:rPr>
          <w:rFonts w:ascii="Times New Roman" w:cs="Times New Roman" w:eastAsia="Times New Roman" w:hAnsi="Times New Roman"/>
          <w:sz w:val="17"/>
          <w:szCs w:val="17"/>
          <w:color w:val="auto"/>
        </w:rPr>
        <w:t>. 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38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“Authenticating Agent” means an authenticating agent with respect to all or any of the series of Securities appointed with respect to all or any series of the Securities by the Trustee pursuant to Section 2.10.</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“Bankruptcy Law” means Title 11, U.S. Code, or any similar federal or state law for the relief of debtors.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“Board of Directors” means the Board of Directors of the Company or any duly authorized committee of such Board.</w:t>
      </w:r>
    </w:p>
    <w:p>
      <w:pPr>
        <w:spacing w:after="0" w:line="22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“Certificate” means a certificate signed by the principal executive officer, the principal financial officer or the principal accounting officer of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Certificate need not comply with the provisions of Section 13.07.</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“Commission” means the Securities and Exchange Commission.</w:t>
      </w:r>
    </w:p>
    <w:p>
      <w:pPr>
        <w:spacing w:after="0" w:line="22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“Custodian” means any receiver, trustee, assignee, liquidator, or similar official under any Bankruptcy Law. “Default” means an event which is, or after notice or lapse of time, or both, would constitute an Event of Default.</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“Event of Default” means, with respect to Securities of a particular series, any event specified in Section 6.01, continued for the period of time, if any, therein designated.</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22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47"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“herein,” “hereof’ and “hereunder,” and other words of similar import, refer to this Indenture as a whole and not to any particular Article, Section or other subdivision.</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“Indenture” means this instrument as originally executed or as it may from time to time be supplemented or amended by one or more indentures supplemental hereto entered into in accordance with the terms hereof.</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47"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5" w:name="page96"/>
    <w:bookmarkEnd w:id="95"/>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“Securities” means the debt Securities authenticated and delivered under this Indenture.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“Security Register” has the meaning specified in Section 2.05.</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“Security Registrar” has the meaning specified in Section 2.05.</w:t>
      </w:r>
    </w:p>
    <w:p>
      <w:pPr>
        <w:spacing w:after="0" w:line="22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“Securityholder,” “holder of Securities,” “registered holder,” or other similar term, means the Person or Persons in whose name or names a particular Security shall be registered in the Security Register.</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ISSUE, DESCRIPTION, TERMS, EXECUTION,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REGISTRATION AND EXCHANGE OF SECURITIES</w:t>
      </w:r>
    </w:p>
    <w:p>
      <w:pPr>
        <w:spacing w:after="0" w:line="20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2.1</w:t>
      </w:r>
      <w:r>
        <w:rPr>
          <w:sz w:val="20"/>
          <w:szCs w:val="20"/>
          <w:color w:val="auto"/>
        </w:rPr>
        <w:tab/>
      </w:r>
      <w:r>
        <w:rPr>
          <w:rFonts w:ascii="Times New Roman" w:cs="Times New Roman" w:eastAsia="Times New Roman" w:hAnsi="Times New Roman"/>
          <w:sz w:val="17"/>
          <w:szCs w:val="17"/>
          <w:u w:val="single" w:color="auto"/>
          <w:color w:val="auto"/>
        </w:rPr>
        <w:t>Designation and Terms of Securities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7" w:lineRule="auto"/>
        <w:tabs>
          <w:tab w:leader="none" w:pos="169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70" w:lineRule="exact"/>
        <w:rPr>
          <w:rFonts w:ascii="Times New Roman" w:cs="Times New Roman" w:eastAsia="Times New Roman" w:hAnsi="Times New Roman"/>
          <w:sz w:val="17"/>
          <w:szCs w:val="17"/>
          <w:color w:val="auto"/>
        </w:rPr>
      </w:pPr>
    </w:p>
    <w:p>
      <w:pPr>
        <w:ind w:left="2160" w:hanging="898"/>
        <w:spacing w:after="0"/>
        <w:tabs>
          <w:tab w:leader="none" w:pos="21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Security of the series (which shall distinguish the Securities of the series from all other Securities);</w:t>
      </w:r>
    </w:p>
    <w:p>
      <w:pPr>
        <w:spacing w:after="0" w:line="223" w:lineRule="exact"/>
        <w:rPr>
          <w:rFonts w:ascii="Times New Roman" w:cs="Times New Roman" w:eastAsia="Times New Roman" w:hAnsi="Times New Roman"/>
          <w:sz w:val="17"/>
          <w:szCs w:val="17"/>
          <w:color w:val="auto"/>
        </w:rPr>
      </w:pPr>
    </w:p>
    <w:p>
      <w:pPr>
        <w:jc w:val="both"/>
        <w:ind w:firstLine="1262"/>
        <w:spacing w:after="0" w:line="276" w:lineRule="auto"/>
        <w:tabs>
          <w:tab w:leader="none" w:pos="227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ind w:firstLine="1262"/>
        <w:spacing w:after="0" w:line="296" w:lineRule="auto"/>
        <w:tabs>
          <w:tab w:leader="none" w:pos="22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units based on or relating to currencies in which debt securities of such series are denominated and the currency or units in which principal or interest or both will or may be payable;</w:t>
      </w:r>
    </w:p>
    <w:p>
      <w:pPr>
        <w:spacing w:after="0" w:line="146" w:lineRule="exact"/>
        <w:rPr>
          <w:rFonts w:ascii="Times New Roman" w:cs="Times New Roman" w:eastAsia="Times New Roman" w:hAnsi="Times New Roman"/>
          <w:sz w:val="17"/>
          <w:szCs w:val="17"/>
          <w:color w:val="auto"/>
        </w:rPr>
      </w:pPr>
    </w:p>
    <w:p>
      <w:pPr>
        <w:ind w:left="2160" w:hanging="898"/>
        <w:spacing w:after="0"/>
        <w:tabs>
          <w:tab w:leader="none" w:pos="21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the principal of the Securities of the series is payable and the place(s) of payment;</w:t>
      </w:r>
    </w:p>
    <w:p>
      <w:pPr>
        <w:spacing w:after="0" w:line="223" w:lineRule="exact"/>
        <w:rPr>
          <w:rFonts w:ascii="Times New Roman" w:cs="Times New Roman" w:eastAsia="Times New Roman" w:hAnsi="Times New Roman"/>
          <w:sz w:val="17"/>
          <w:szCs w:val="17"/>
          <w:color w:val="auto"/>
        </w:rPr>
      </w:pPr>
    </w:p>
    <w:p>
      <w:pPr>
        <w:ind w:left="2160" w:hanging="898"/>
        <w:spacing w:after="0"/>
        <w:tabs>
          <w:tab w:leader="none" w:pos="21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at which the Securities of the series shall bear interest or the manner of calculation of such rate or rates, if any;</w:t>
      </w:r>
    </w:p>
    <w:p>
      <w:pPr>
        <w:spacing w:after="0" w:line="223" w:lineRule="exact"/>
        <w:rPr>
          <w:rFonts w:ascii="Times New Roman" w:cs="Times New Roman" w:eastAsia="Times New Roman" w:hAnsi="Times New Roman"/>
          <w:sz w:val="17"/>
          <w:szCs w:val="17"/>
          <w:color w:val="auto"/>
        </w:rPr>
      </w:pPr>
    </w:p>
    <w:p>
      <w:pPr>
        <w:jc w:val="both"/>
        <w:ind w:firstLine="1262"/>
        <w:spacing w:after="0" w:line="276" w:lineRule="auto"/>
        <w:tabs>
          <w:tab w:leader="none" w:pos="22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3" w:lineRule="exact"/>
        <w:rPr>
          <w:rFonts w:ascii="Times New Roman" w:cs="Times New Roman" w:eastAsia="Times New Roman" w:hAnsi="Times New Roman"/>
          <w:sz w:val="17"/>
          <w:szCs w:val="17"/>
          <w:color w:val="auto"/>
        </w:rPr>
      </w:pPr>
    </w:p>
    <w:p>
      <w:pPr>
        <w:ind w:left="2160" w:hanging="898"/>
        <w:spacing w:after="0"/>
        <w:tabs>
          <w:tab w:leader="none" w:pos="21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to extend the interest payment periods or to defer the payment of interest and the duration of such extension;</w:t>
      </w:r>
    </w:p>
    <w:p>
      <w:pPr>
        <w:spacing w:after="0" w:line="223" w:lineRule="exact"/>
        <w:rPr>
          <w:rFonts w:ascii="Times New Roman" w:cs="Times New Roman" w:eastAsia="Times New Roman" w:hAnsi="Times New Roman"/>
          <w:sz w:val="17"/>
          <w:szCs w:val="17"/>
          <w:color w:val="auto"/>
        </w:rPr>
      </w:pPr>
    </w:p>
    <w:p>
      <w:pPr>
        <w:ind w:firstLine="1262"/>
        <w:spacing w:after="0" w:line="296" w:lineRule="auto"/>
        <w:tabs>
          <w:tab w:leader="none" w:pos="219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or periods within which, the price or prices at which and the terms and conditions upon which, Securities of the series may be redeemed, in whole or in part, at the option of the Company;</w:t>
      </w:r>
    </w:p>
    <w:p>
      <w:pPr>
        <w:spacing w:after="0" w:line="146" w:lineRule="exact"/>
        <w:rPr>
          <w:rFonts w:ascii="Times New Roman" w:cs="Times New Roman" w:eastAsia="Times New Roman" w:hAnsi="Times New Roman"/>
          <w:sz w:val="17"/>
          <w:szCs w:val="17"/>
          <w:color w:val="auto"/>
        </w:rPr>
      </w:pPr>
    </w:p>
    <w:p>
      <w:pPr>
        <w:jc w:val="both"/>
        <w:ind w:firstLine="1262"/>
        <w:spacing w:after="0" w:line="270" w:lineRule="auto"/>
        <w:tabs>
          <w:tab w:leader="none" w:pos="225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8" w:lineRule="exact"/>
        <w:rPr>
          <w:rFonts w:ascii="Times New Roman" w:cs="Times New Roman" w:eastAsia="Times New Roman" w:hAnsi="Times New Roman"/>
          <w:sz w:val="17"/>
          <w:szCs w:val="17"/>
          <w:color w:val="auto"/>
        </w:rPr>
      </w:pPr>
    </w:p>
    <w:p>
      <w:pPr>
        <w:ind w:left="2120" w:hanging="858"/>
        <w:spacing w:after="0"/>
        <w:tabs>
          <w:tab w:leader="none" w:pos="2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debt securities will be secured or unsecured, and the terms of any secured debt;</w:t>
      </w:r>
    </w:p>
    <w:p>
      <w:pPr>
        <w:spacing w:after="0" w:line="223" w:lineRule="exact"/>
        <w:rPr>
          <w:rFonts w:ascii="Times New Roman" w:cs="Times New Roman" w:eastAsia="Times New Roman" w:hAnsi="Times New Roman"/>
          <w:sz w:val="17"/>
          <w:szCs w:val="17"/>
          <w:color w:val="auto"/>
        </w:rPr>
      </w:pPr>
    </w:p>
    <w:p>
      <w:pPr>
        <w:ind w:left="2120" w:hanging="858"/>
        <w:spacing w:after="0"/>
        <w:tabs>
          <w:tab w:leader="none" w:pos="2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the Securities of the series including the form of the Certificate of Authentication for such series;</w:t>
      </w:r>
    </w:p>
    <w:p>
      <w:pPr>
        <w:spacing w:after="0" w:line="223" w:lineRule="exact"/>
        <w:rPr>
          <w:rFonts w:ascii="Times New Roman" w:cs="Times New Roman" w:eastAsia="Times New Roman" w:hAnsi="Times New Roman"/>
          <w:sz w:val="17"/>
          <w:szCs w:val="17"/>
          <w:color w:val="auto"/>
        </w:rPr>
      </w:pPr>
    </w:p>
    <w:p>
      <w:pPr>
        <w:ind w:firstLine="1262"/>
        <w:spacing w:after="0" w:line="296" w:lineRule="auto"/>
        <w:tabs>
          <w:tab w:leader="none" w:pos="21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denominations of one thousand U.S. dollars ($1,000) or any integral multiple thereof, the denominations in which the Securities of the series shall be issuable;</w:t>
      </w:r>
    </w:p>
    <w:p>
      <w:pPr>
        <w:spacing w:after="0" w:line="146" w:lineRule="exact"/>
        <w:rPr>
          <w:rFonts w:ascii="Times New Roman" w:cs="Times New Roman" w:eastAsia="Times New Roman" w:hAnsi="Times New Roman"/>
          <w:sz w:val="17"/>
          <w:szCs w:val="17"/>
          <w:color w:val="auto"/>
        </w:rPr>
      </w:pPr>
    </w:p>
    <w:p>
      <w:pPr>
        <w:jc w:val="both"/>
        <w:ind w:firstLine="1262"/>
        <w:spacing w:after="0" w:line="276" w:lineRule="auto"/>
        <w:tabs>
          <w:tab w:leader="none" w:pos="228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63" w:lineRule="exact"/>
        <w:rPr>
          <w:rFonts w:ascii="Times New Roman" w:cs="Times New Roman" w:eastAsia="Times New Roman" w:hAnsi="Times New Roman"/>
          <w:sz w:val="17"/>
          <w:szCs w:val="17"/>
          <w:color w:val="auto"/>
        </w:rPr>
      </w:pPr>
    </w:p>
    <w:p>
      <w:pPr>
        <w:ind w:left="2120" w:hanging="858"/>
        <w:spacing w:after="0"/>
        <w:tabs>
          <w:tab w:leader="none" w:pos="2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are issuable as a Global Security and, in such case, the identity of the Depositary for such series;</w:t>
      </w:r>
    </w:p>
    <w:p>
      <w:pPr>
        <w:spacing w:after="0" w:line="223" w:lineRule="exact"/>
        <w:rPr>
          <w:rFonts w:ascii="Times New Roman" w:cs="Times New Roman" w:eastAsia="Times New Roman" w:hAnsi="Times New Roman"/>
          <w:sz w:val="17"/>
          <w:szCs w:val="17"/>
          <w:color w:val="auto"/>
        </w:rPr>
      </w:pPr>
    </w:p>
    <w:p>
      <w:pPr>
        <w:ind w:firstLine="1262"/>
        <w:spacing w:after="0" w:line="296" w:lineRule="auto"/>
        <w:tabs>
          <w:tab w:leader="none" w:pos="233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will be convertible into common shares or other securities of the Company and, if so, the terms and conditions upon which such Securities will be so convertible, including the conversion price and the conversion period;</w:t>
      </w:r>
    </w:p>
    <w:p>
      <w:pPr>
        <w:spacing w:after="0" w:line="146" w:lineRule="exact"/>
        <w:rPr>
          <w:rFonts w:ascii="Times New Roman" w:cs="Times New Roman" w:eastAsia="Times New Roman" w:hAnsi="Times New Roman"/>
          <w:sz w:val="17"/>
          <w:szCs w:val="17"/>
          <w:color w:val="auto"/>
        </w:rPr>
      </w:pPr>
    </w:p>
    <w:p>
      <w:pPr>
        <w:ind w:firstLine="1262"/>
        <w:spacing w:after="0" w:line="296" w:lineRule="auto"/>
        <w:tabs>
          <w:tab w:leader="none" w:pos="220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principal amount thereof, the portion of the principal amount of Securities of the series which shall be payable upon declaration of acceleration of the maturity thereof pursuant to Section 6.01;</w:t>
      </w:r>
    </w:p>
    <w:p>
      <w:pPr>
        <w:spacing w:after="0" w:line="146" w:lineRule="exact"/>
        <w:rPr>
          <w:rFonts w:ascii="Times New Roman" w:cs="Times New Roman" w:eastAsia="Times New Roman" w:hAnsi="Times New Roman"/>
          <w:sz w:val="17"/>
          <w:szCs w:val="17"/>
          <w:color w:val="auto"/>
        </w:rPr>
      </w:pPr>
    </w:p>
    <w:p>
      <w:pPr>
        <w:ind w:left="2120" w:hanging="858"/>
        <w:spacing w:after="0"/>
        <w:tabs>
          <w:tab w:leader="none" w:pos="2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or different Events of Default or restrictive covenants provided for with respect to the Securities of the series; and</w:t>
      </w:r>
    </w:p>
    <w:p>
      <w:pPr>
        <w:spacing w:after="0" w:line="223" w:lineRule="exact"/>
        <w:rPr>
          <w:rFonts w:ascii="Times New Roman" w:cs="Times New Roman" w:eastAsia="Times New Roman" w:hAnsi="Times New Roman"/>
          <w:sz w:val="17"/>
          <w:szCs w:val="17"/>
          <w:color w:val="auto"/>
        </w:rPr>
      </w:pPr>
    </w:p>
    <w:p>
      <w:pPr>
        <w:ind w:left="2120" w:hanging="858"/>
        <w:spacing w:after="0"/>
        <w:tabs>
          <w:tab w:leader="none" w:pos="2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subordination terms of the Securities of the series.</w:t>
      </w: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7" w:name="page98"/>
    <w:bookmarkEnd w:id="97"/>
    <w:p>
      <w:pPr>
        <w:jc w:val="both"/>
        <w:spacing w:after="0" w:line="276" w:lineRule="auto"/>
        <w:rPr>
          <w:sz w:val="20"/>
          <w:szCs w:val="20"/>
          <w:color w:val="auto"/>
        </w:rPr>
      </w:pPr>
      <w:r>
        <w:rPr>
          <w:rFonts w:ascii="Times New Roman" w:cs="Times New Roman" w:eastAsia="Times New Roman" w:hAnsi="Times New Roman"/>
          <w:sz w:val="17"/>
          <w:szCs w:val="17"/>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2.2 Form of Securities and Trustee’s Certificate</w:t>
      </w:r>
      <w:r>
        <w:rPr>
          <w:rFonts w:ascii="Times New Roman" w:cs="Times New Roman" w:eastAsia="Times New Roman" w:hAnsi="Times New Roman"/>
          <w:sz w:val="17"/>
          <w:szCs w:val="17"/>
          <w:color w:val="auto"/>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2.3 Denominations: Provisions for Payment</w:t>
      </w:r>
      <w:r>
        <w:rPr>
          <w:rFonts w:ascii="Times New Roman" w:cs="Times New Roman" w:eastAsia="Times New Roman" w:hAnsi="Times New Roman"/>
          <w:sz w:val="17"/>
          <w:szCs w:val="17"/>
          <w:color w:val="auto"/>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4" w:lineRule="exact"/>
        <w:rPr>
          <w:sz w:val="20"/>
          <w:szCs w:val="20"/>
          <w:color w:val="auto"/>
        </w:rPr>
      </w:pPr>
    </w:p>
    <w:p>
      <w:pPr>
        <w:jc w:val="both"/>
        <w:ind w:firstLine="1262"/>
        <w:spacing w:after="0" w:line="260" w:lineRule="auto"/>
        <w:tabs>
          <w:tab w:leader="none" w:pos="2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92" w:lineRule="exact"/>
        <w:rPr>
          <w:rFonts w:ascii="Times New Roman" w:cs="Times New Roman" w:eastAsia="Times New Roman" w:hAnsi="Times New Roman"/>
          <w:sz w:val="17"/>
          <w:szCs w:val="17"/>
          <w:color w:val="auto"/>
        </w:rPr>
      </w:pPr>
    </w:p>
    <w:p>
      <w:pPr>
        <w:jc w:val="both"/>
        <w:ind w:firstLine="1262"/>
        <w:spacing w:after="0" w:line="276" w:lineRule="auto"/>
        <w:tabs>
          <w:tab w:leader="none" w:pos="225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8" w:name="page99"/>
    <w:bookmarkEnd w:id="98"/>
    <w:p>
      <w:pPr>
        <w:jc w:val="both"/>
        <w:spacing w:after="0" w:line="265" w:lineRule="auto"/>
        <w:rPr>
          <w:sz w:val="20"/>
          <w:szCs w:val="20"/>
          <w:color w:val="auto"/>
        </w:rPr>
      </w:pPr>
      <w:r>
        <w:rPr>
          <w:rFonts w:ascii="Times New Roman" w:cs="Times New Roman" w:eastAsia="Times New Roman" w:hAnsi="Times New Roman"/>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2.4 Execution and Authentications</w:t>
      </w:r>
      <w:r>
        <w:rPr>
          <w:rFonts w:ascii="Times New Roman" w:cs="Times New Roman" w:eastAsia="Times New Roman" w:hAnsi="Times New Roman"/>
          <w:sz w:val="17"/>
          <w:szCs w:val="17"/>
          <w:color w:val="auto"/>
        </w:rPr>
        <w:t>. 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securities exchange rule or usage. Each Security shall be dated the date of its authentication.</w:t>
      </w:r>
    </w:p>
    <w:p>
      <w:pPr>
        <w:spacing w:after="0" w:line="3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2.5</w:t>
      </w:r>
      <w:r>
        <w:rPr>
          <w:sz w:val="20"/>
          <w:szCs w:val="20"/>
          <w:color w:val="auto"/>
        </w:rPr>
        <w:tab/>
      </w:r>
      <w:r>
        <w:rPr>
          <w:rFonts w:ascii="Times New Roman" w:cs="Times New Roman" w:eastAsia="Times New Roman" w:hAnsi="Times New Roman"/>
          <w:sz w:val="17"/>
          <w:szCs w:val="17"/>
          <w:u w:val="single" w:color="auto"/>
          <w:color w:val="auto"/>
        </w:rPr>
        <w:t>Registration of Transfer and Exchange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5" w:lineRule="auto"/>
        <w:tabs>
          <w:tab w:leader="none" w:pos="161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71" w:lineRule="exact"/>
        <w:rPr>
          <w:rFonts w:ascii="Times New Roman" w:cs="Times New Roman" w:eastAsia="Times New Roman" w:hAnsi="Times New Roman"/>
          <w:sz w:val="17"/>
          <w:szCs w:val="17"/>
          <w:color w:val="auto"/>
        </w:rPr>
      </w:pPr>
    </w:p>
    <w:p>
      <w:pPr>
        <w:jc w:val="both"/>
        <w:ind w:firstLine="634"/>
        <w:spacing w:after="0" w:line="267" w:lineRule="auto"/>
        <w:tabs>
          <w:tab w:leader="none" w:pos="163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9" w:name="page100"/>
    <w:bookmarkEnd w:id="99"/>
    <w:p>
      <w:pPr>
        <w:jc w:val="both"/>
        <w:spacing w:after="0" w:line="276" w:lineRule="auto"/>
        <w:rPr>
          <w:sz w:val="20"/>
          <w:szCs w:val="20"/>
          <w:color w:val="auto"/>
        </w:rPr>
      </w:pPr>
      <w:r>
        <w:rPr>
          <w:rFonts w:ascii="Times New Roman" w:cs="Times New Roman" w:eastAsia="Times New Roman" w:hAnsi="Times New Roman"/>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4" w:lineRule="exact"/>
        <w:rPr>
          <w:sz w:val="20"/>
          <w:szCs w:val="20"/>
          <w:color w:val="auto"/>
        </w:rPr>
      </w:pPr>
    </w:p>
    <w:p>
      <w:pPr>
        <w:jc w:val="both"/>
        <w:ind w:firstLine="634"/>
        <w:spacing w:after="0" w:line="276" w:lineRule="auto"/>
        <w:tabs>
          <w:tab w:leader="none" w:pos="172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63" w:lineRule="exact"/>
        <w:rPr>
          <w:rFonts w:ascii="Times New Roman" w:cs="Times New Roman" w:eastAsia="Times New Roman" w:hAnsi="Times New Roman"/>
          <w:sz w:val="17"/>
          <w:szCs w:val="17"/>
          <w:color w:val="auto"/>
        </w:rPr>
      </w:pPr>
    </w:p>
    <w:p>
      <w:pPr>
        <w:jc w:val="both"/>
        <w:ind w:firstLine="634"/>
        <w:spacing w:after="0" w:line="270" w:lineRule="auto"/>
        <w:tabs>
          <w:tab w:leader="none" w:pos="15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2.6 Temporary Securities</w:t>
      </w:r>
      <w:r>
        <w:rPr>
          <w:rFonts w:ascii="Times New Roman" w:cs="Times New Roman" w:eastAsia="Times New Roman" w:hAnsi="Times New Roman"/>
          <w:sz w:val="17"/>
          <w:szCs w:val="17"/>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2.7 Mutilated, Destroyed, Lost or Stolen Securities</w:t>
      </w:r>
      <w:r>
        <w:rPr>
          <w:rFonts w:ascii="Times New Roman" w:cs="Times New Roman" w:eastAsia="Times New Roman" w:hAnsi="Times New Roman"/>
          <w:sz w:val="17"/>
          <w:szCs w:val="17"/>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0" w:name="page101"/>
    <w:bookmarkEnd w:id="100"/>
    <w:p>
      <w:pPr>
        <w:jc w:val="both"/>
        <w:spacing w:after="0" w:line="265" w:lineRule="auto"/>
        <w:rPr>
          <w:sz w:val="20"/>
          <w:szCs w:val="20"/>
          <w:color w:val="auto"/>
        </w:rPr>
      </w:pPr>
      <w:r>
        <w:rPr>
          <w:rFonts w:ascii="Times New Roman" w:cs="Times New Roman" w:eastAsia="Times New Roman" w:hAnsi="Times New Roman"/>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2.8 Cancellation</w:t>
      </w:r>
      <w:r>
        <w:rPr>
          <w:rFonts w:ascii="Times New Roman" w:cs="Times New Roman" w:eastAsia="Times New Roman" w:hAnsi="Times New Roman"/>
          <w:sz w:val="17"/>
          <w:szCs w:val="17"/>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2.9 Benefits of Indenture</w:t>
      </w:r>
      <w:r>
        <w:rPr>
          <w:rFonts w:ascii="Times New Roman" w:cs="Times New Roman" w:eastAsia="Times New Roman" w:hAnsi="Times New Roman"/>
          <w:sz w:val="17"/>
          <w:szCs w:val="17"/>
          <w:color w:val="auto"/>
        </w:rPr>
        <w:t>. 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2.10 Authenticating Agent</w:t>
      </w:r>
      <w:r>
        <w:rPr>
          <w:rFonts w:ascii="Times New Roman" w:cs="Times New Roman" w:eastAsia="Times New Roman" w:hAnsi="Times New Roman"/>
          <w:sz w:val="17"/>
          <w:szCs w:val="17"/>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u w:val="single" w:color="auto"/>
          <w:color w:val="auto"/>
        </w:rPr>
        <w:t>SECTION 2.11</w:t>
      </w:r>
      <w:r>
        <w:rPr>
          <w:sz w:val="20"/>
          <w:szCs w:val="20"/>
          <w:color w:val="auto"/>
        </w:rPr>
        <w:tab/>
      </w:r>
      <w:r>
        <w:rPr>
          <w:rFonts w:ascii="Times New Roman" w:cs="Times New Roman" w:eastAsia="Times New Roman" w:hAnsi="Times New Roman"/>
          <w:sz w:val="17"/>
          <w:szCs w:val="17"/>
          <w:u w:val="single" w:color="auto"/>
          <w:color w:val="auto"/>
        </w:rPr>
        <w:t>Global Securities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4" w:lineRule="auto"/>
        <w:tabs>
          <w:tab w:leader="none" w:pos="159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1" w:name="page102"/>
    <w:bookmarkEnd w:id="101"/>
    <w:p>
      <w:pPr>
        <w:jc w:val="both"/>
        <w:ind w:firstLine="634"/>
        <w:spacing w:after="0" w:line="276" w:lineRule="auto"/>
        <w:tabs>
          <w:tab w:leader="none" w:pos="168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63" w:lineRule="exact"/>
        <w:rPr>
          <w:rFonts w:ascii="Times New Roman" w:cs="Times New Roman" w:eastAsia="Times New Roman" w:hAnsi="Times New Roman"/>
          <w:sz w:val="17"/>
          <w:szCs w:val="17"/>
          <w:color w:val="auto"/>
        </w:rPr>
      </w:pPr>
    </w:p>
    <w:p>
      <w:pPr>
        <w:jc w:val="both"/>
        <w:ind w:firstLine="634"/>
        <w:spacing w:after="0" w:line="260" w:lineRule="auto"/>
        <w:tabs>
          <w:tab w:leader="none" w:pos="157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REDEMPTION OF SECURITIES AND SINKING FUND PROVISIONS</w:t>
      </w:r>
    </w:p>
    <w:p>
      <w:pPr>
        <w:spacing w:after="0" w:line="20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3.1 Redemption</w:t>
      </w:r>
      <w:r>
        <w:rPr>
          <w:rFonts w:ascii="Times New Roman" w:cs="Times New Roman" w:eastAsia="Times New Roman" w:hAnsi="Times New Roman"/>
          <w:sz w:val="17"/>
          <w:szCs w:val="17"/>
          <w:color w:val="auto"/>
        </w:rPr>
        <w:t>. The Company may redeem the Securities of any series issued hereunder on and after the dates and in accordance with the terms established for such series pursuant to Section 2.01 hereof</w:t>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3.2</w:t>
      </w:r>
      <w:r>
        <w:rPr>
          <w:sz w:val="20"/>
          <w:szCs w:val="20"/>
          <w:color w:val="auto"/>
        </w:rPr>
        <w:tab/>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6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2" w:name="page103"/>
    <w:bookmarkEnd w:id="102"/>
    <w:p>
      <w:pPr>
        <w:jc w:val="both"/>
        <w:ind w:firstLine="634"/>
        <w:spacing w:after="0" w:line="261" w:lineRule="auto"/>
        <w:tabs>
          <w:tab w:leader="none" w:pos="158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3.3</w:t>
      </w:r>
      <w:r>
        <w:rPr>
          <w:sz w:val="20"/>
          <w:szCs w:val="20"/>
          <w:color w:val="auto"/>
        </w:rPr>
        <w:tab/>
      </w:r>
      <w:r>
        <w:rPr>
          <w:rFonts w:ascii="Times New Roman" w:cs="Times New Roman" w:eastAsia="Times New Roman" w:hAnsi="Times New Roman"/>
          <w:sz w:val="17"/>
          <w:szCs w:val="17"/>
          <w:u w:val="single" w:color="auto"/>
          <w:color w:val="auto"/>
        </w:rPr>
        <w:t>Payment Upon Redemption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60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78" w:lineRule="exact"/>
        <w:rPr>
          <w:rFonts w:ascii="Times New Roman" w:cs="Times New Roman" w:eastAsia="Times New Roman" w:hAnsi="Times New Roman"/>
          <w:sz w:val="17"/>
          <w:szCs w:val="17"/>
          <w:color w:val="auto"/>
        </w:rPr>
      </w:pPr>
    </w:p>
    <w:p>
      <w:pPr>
        <w:jc w:val="both"/>
        <w:ind w:firstLine="634"/>
        <w:spacing w:after="0" w:line="276" w:lineRule="auto"/>
        <w:tabs>
          <w:tab w:leader="none" w:pos="170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3.4 Sinking Fund</w:t>
      </w:r>
      <w:r>
        <w:rPr>
          <w:rFonts w:ascii="Times New Roman" w:cs="Times New Roman" w:eastAsia="Times New Roman" w:hAnsi="Times New Roman"/>
          <w:sz w:val="17"/>
          <w:szCs w:val="17"/>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3.5 Satisfaction of Sinking Fund Payments with Securities</w:t>
      </w:r>
      <w:r>
        <w:rPr>
          <w:rFonts w:ascii="Times New Roman" w:cs="Times New Roman" w:eastAsia="Times New Roman" w:hAnsi="Times New Roman"/>
          <w:sz w:val="17"/>
          <w:szCs w:val="17"/>
          <w:color w:val="auto"/>
        </w:rPr>
        <w:t>. 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3.6 Redemption of Securities for Sinking Fund</w:t>
      </w:r>
      <w:r>
        <w:rPr>
          <w:rFonts w:ascii="Times New Roman" w:cs="Times New Roman" w:eastAsia="Times New Roman" w:hAnsi="Times New Roman"/>
          <w:sz w:val="17"/>
          <w:szCs w:val="17"/>
          <w:color w:val="auto"/>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3" w:name="page104"/>
    <w:bookmarkEnd w:id="103"/>
    <w:p>
      <w:pPr>
        <w:ind w:left="5140"/>
        <w:spacing w:after="0"/>
        <w:rPr>
          <w:sz w:val="20"/>
          <w:szCs w:val="20"/>
          <w:color w:val="auto"/>
        </w:rPr>
      </w:pPr>
      <w:r>
        <w:rPr>
          <w:rFonts w:ascii="Times New Roman" w:cs="Times New Roman" w:eastAsia="Times New Roman" w:hAnsi="Times New Roman"/>
          <w:sz w:val="17"/>
          <w:szCs w:val="17"/>
          <w:color w:val="auto"/>
        </w:rPr>
        <w:t>ARTICLE IV.</w:t>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COVENANTS</w:t>
      </w:r>
    </w:p>
    <w:p>
      <w:pPr>
        <w:spacing w:after="0" w:line="2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4.1 Payment of Principal, Premium and Interest</w:t>
      </w:r>
      <w:r>
        <w:rPr>
          <w:rFonts w:ascii="Times New Roman" w:cs="Times New Roman" w:eastAsia="Times New Roman" w:hAnsi="Times New Roman"/>
          <w:sz w:val="17"/>
          <w:szCs w:val="17"/>
          <w:color w:val="auto"/>
        </w:rPr>
        <w:t>. 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4.2 Maintenance of Office or Agency</w:t>
      </w:r>
      <w:r>
        <w:rPr>
          <w:rFonts w:ascii="Times New Roman" w:cs="Times New Roman" w:eastAsia="Times New Roman" w:hAnsi="Times New Roman"/>
          <w:sz w:val="17"/>
          <w:szCs w:val="17"/>
          <w:color w:val="auto"/>
        </w:rPr>
        <w:t>. 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4.3</w:t>
      </w:r>
      <w:r>
        <w:rPr>
          <w:sz w:val="20"/>
          <w:szCs w:val="20"/>
          <w:color w:val="auto"/>
        </w:rPr>
        <w:tab/>
      </w:r>
      <w:r>
        <w:rPr>
          <w:rFonts w:ascii="Times New Roman" w:cs="Times New Roman" w:eastAsia="Times New Roman" w:hAnsi="Times New Roman"/>
          <w:sz w:val="17"/>
          <w:szCs w:val="17"/>
          <w:u w:val="single" w:color="auto"/>
          <w:color w:val="auto"/>
        </w:rPr>
        <w:t>Paying Agents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76" w:lineRule="auto"/>
        <w:tabs>
          <w:tab w:leader="none" w:pos="16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3" w:lineRule="exact"/>
        <w:rPr>
          <w:rFonts w:ascii="Times New Roman" w:cs="Times New Roman" w:eastAsia="Times New Roman" w:hAnsi="Times New Roman"/>
          <w:sz w:val="17"/>
          <w:szCs w:val="17"/>
          <w:color w:val="auto"/>
        </w:rPr>
      </w:pPr>
    </w:p>
    <w:p>
      <w:pPr>
        <w:jc w:val="both"/>
        <w:ind w:firstLine="1262"/>
        <w:spacing w:after="0" w:line="276" w:lineRule="auto"/>
        <w:tabs>
          <w:tab w:leader="none" w:pos="232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3" w:lineRule="exact"/>
        <w:rPr>
          <w:rFonts w:ascii="Times New Roman" w:cs="Times New Roman" w:eastAsia="Times New Roman" w:hAnsi="Times New Roman"/>
          <w:sz w:val="17"/>
          <w:szCs w:val="17"/>
          <w:color w:val="auto"/>
        </w:rPr>
      </w:pPr>
    </w:p>
    <w:p>
      <w:pPr>
        <w:ind w:firstLine="1262"/>
        <w:spacing w:after="0" w:line="296" w:lineRule="auto"/>
        <w:tabs>
          <w:tab w:leader="none" w:pos="2395"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Times New Roman" w:cs="Times New Roman" w:eastAsia="Times New Roman" w:hAnsi="Times New Roman"/>
          <w:sz w:val="17"/>
          <w:szCs w:val="17"/>
          <w:color w:val="auto"/>
        </w:rPr>
      </w:pPr>
    </w:p>
    <w:p>
      <w:pPr>
        <w:ind w:firstLine="1262"/>
        <w:spacing w:after="0" w:line="296" w:lineRule="auto"/>
        <w:tabs>
          <w:tab w:leader="none" w:pos="2172"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46" w:lineRule="exact"/>
        <w:rPr>
          <w:rFonts w:ascii="Times New Roman" w:cs="Times New Roman" w:eastAsia="Times New Roman" w:hAnsi="Times New Roman"/>
          <w:sz w:val="17"/>
          <w:szCs w:val="17"/>
          <w:color w:val="auto"/>
        </w:rPr>
      </w:pPr>
    </w:p>
    <w:p>
      <w:pPr>
        <w:ind w:left="2160" w:hanging="898"/>
        <w:spacing w:after="0"/>
        <w:tabs>
          <w:tab w:leader="none" w:pos="216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perform all other duties of paying agent as set forth in this Indenture.</w:t>
      </w:r>
    </w:p>
    <w:p>
      <w:pPr>
        <w:spacing w:after="0" w:line="223" w:lineRule="exact"/>
        <w:rPr>
          <w:rFonts w:ascii="Times New Roman" w:cs="Times New Roman" w:eastAsia="Times New Roman" w:hAnsi="Times New Roman"/>
          <w:sz w:val="17"/>
          <w:szCs w:val="17"/>
          <w:color w:val="auto"/>
        </w:rPr>
      </w:pPr>
    </w:p>
    <w:p>
      <w:pPr>
        <w:jc w:val="both"/>
        <w:ind w:firstLine="634"/>
        <w:spacing w:after="0" w:line="262" w:lineRule="auto"/>
        <w:tabs>
          <w:tab w:leader="none" w:pos="170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78" w:lineRule="exact"/>
        <w:rPr>
          <w:rFonts w:ascii="Times New Roman" w:cs="Times New Roman" w:eastAsia="Times New Roman" w:hAnsi="Times New Roman"/>
          <w:sz w:val="17"/>
          <w:szCs w:val="17"/>
          <w:color w:val="auto"/>
        </w:rPr>
      </w:pPr>
    </w:p>
    <w:p>
      <w:pPr>
        <w:jc w:val="both"/>
        <w:ind w:firstLine="634"/>
        <w:spacing w:after="0" w:line="267" w:lineRule="auto"/>
        <w:tabs>
          <w:tab w:leader="none" w:pos="165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4" w:name="page105"/>
    <w:bookmarkEnd w:id="104"/>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4.4 Appointment to Fill Vacancy in Office of Trustee</w:t>
      </w:r>
      <w:r>
        <w:rPr>
          <w:rFonts w:ascii="Times New Roman" w:cs="Times New Roman" w:eastAsia="Times New Roman" w:hAnsi="Times New Roman"/>
          <w:sz w:val="17"/>
          <w:szCs w:val="17"/>
          <w:color w:val="auto"/>
        </w:rPr>
        <w:t>. The Company, whenever necessary to avoid or fill a vacancy in the office of Trustee, will appoint, in the manner provided in Section 7.10, a Trustee, so that there shall at all times be a Trustee hereunder.</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4.5 Compliance with Consolidation Provisions</w:t>
      </w:r>
      <w:r>
        <w:rPr>
          <w:rFonts w:ascii="Times New Roman" w:cs="Times New Roman" w:eastAsia="Times New Roman" w:hAnsi="Times New Roman"/>
          <w:sz w:val="17"/>
          <w:szCs w:val="17"/>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SECURITYHOLDERS’ LISTS AND REPORTS BY THE COMPANY AND THE TRUSTEE</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5.1 Company to Furnish Trustee Names and Addresses of Securityholders</w:t>
      </w:r>
      <w:r>
        <w:rPr>
          <w:rFonts w:ascii="Times New Roman" w:cs="Times New Roman" w:eastAsia="Times New Roman" w:hAnsi="Times New Roman"/>
          <w:sz w:val="17"/>
          <w:szCs w:val="17"/>
          <w:color w:val="auto"/>
        </w:rPr>
        <w:t>. 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7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5.2</w:t>
      </w:r>
      <w:r>
        <w:rPr>
          <w:sz w:val="20"/>
          <w:szCs w:val="20"/>
          <w:color w:val="auto"/>
        </w:rPr>
        <w:tab/>
      </w:r>
      <w:r>
        <w:rPr>
          <w:rFonts w:ascii="Times New Roman" w:cs="Times New Roman" w:eastAsia="Times New Roman" w:hAnsi="Times New Roman"/>
          <w:sz w:val="17"/>
          <w:szCs w:val="17"/>
          <w:u w:val="single" w:color="auto"/>
          <w:color w:val="auto"/>
        </w:rPr>
        <w:t>Preservation of Information; Communications with Securityholders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76" w:lineRule="auto"/>
        <w:tabs>
          <w:tab w:leader="none" w:pos="163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63" w:lineRule="exact"/>
        <w:rPr>
          <w:rFonts w:ascii="Times New Roman" w:cs="Times New Roman" w:eastAsia="Times New Roman" w:hAnsi="Times New Roman"/>
          <w:sz w:val="17"/>
          <w:szCs w:val="17"/>
          <w:color w:val="auto"/>
        </w:rPr>
      </w:pPr>
    </w:p>
    <w:p>
      <w:pPr>
        <w:ind w:left="1540" w:hanging="906"/>
        <w:spacing w:after="0"/>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destroy any list furnished to it as provided in Section 5.01 upon receipt of a new list so furnished.</w:t>
      </w:r>
    </w:p>
    <w:p>
      <w:pPr>
        <w:spacing w:after="0" w:line="223" w:lineRule="exact"/>
        <w:rPr>
          <w:rFonts w:ascii="Times New Roman" w:cs="Times New Roman" w:eastAsia="Times New Roman" w:hAnsi="Times New Roman"/>
          <w:sz w:val="17"/>
          <w:szCs w:val="17"/>
          <w:color w:val="auto"/>
        </w:rPr>
      </w:pPr>
    </w:p>
    <w:p>
      <w:pPr>
        <w:ind w:firstLine="634"/>
        <w:spacing w:after="0" w:line="296" w:lineRule="auto"/>
        <w:tabs>
          <w:tab w:leader="none" w:pos="170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Securityholders may communicate as provided in Section 312(b) of the Trust Indenture Act with other Securityholders with respect to their rights under this Indenture or under the Securities.</w:t>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5.3</w:t>
      </w:r>
      <w:r>
        <w:rPr>
          <w:sz w:val="20"/>
          <w:szCs w:val="20"/>
          <w:color w:val="auto"/>
        </w:rPr>
        <w:tab/>
      </w:r>
      <w:r>
        <w:rPr>
          <w:rFonts w:ascii="Times New Roman" w:cs="Times New Roman" w:eastAsia="Times New Roman" w:hAnsi="Times New Roman"/>
          <w:sz w:val="17"/>
          <w:szCs w:val="17"/>
          <w:u w:val="single" w:color="auto"/>
          <w:color w:val="auto"/>
        </w:rPr>
        <w:t>Reports by the Company</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8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5" w:lineRule="exact"/>
        <w:rPr>
          <w:rFonts w:ascii="Times New Roman" w:cs="Times New Roman" w:eastAsia="Times New Roman" w:hAnsi="Times New Roman"/>
          <w:sz w:val="17"/>
          <w:szCs w:val="17"/>
          <w:color w:val="auto"/>
        </w:rPr>
      </w:pPr>
    </w:p>
    <w:p>
      <w:pPr>
        <w:jc w:val="both"/>
        <w:ind w:firstLine="634"/>
        <w:spacing w:after="0" w:line="276" w:lineRule="auto"/>
        <w:tabs>
          <w:tab w:leader="none" w:pos="159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5" w:name="page106"/>
    <w:bookmarkEnd w:id="105"/>
    <w:p>
      <w:pPr>
        <w:jc w:val="both"/>
        <w:ind w:firstLine="634"/>
        <w:spacing w:after="0" w:line="270" w:lineRule="auto"/>
        <w:tabs>
          <w:tab w:leader="none" w:pos="160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5.4</w:t>
      </w:r>
      <w:r>
        <w:rPr>
          <w:sz w:val="20"/>
          <w:szCs w:val="20"/>
          <w:color w:val="auto"/>
        </w:rPr>
        <w:tab/>
      </w:r>
      <w:r>
        <w:rPr>
          <w:rFonts w:ascii="Times New Roman" w:cs="Times New Roman" w:eastAsia="Times New Roman" w:hAnsi="Times New Roman"/>
          <w:sz w:val="17"/>
          <w:szCs w:val="17"/>
          <w:u w:val="single" w:color="auto"/>
          <w:color w:val="auto"/>
        </w:rPr>
        <w:t>Reports by the Trustee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634"/>
        <w:spacing w:after="0" w:line="296" w:lineRule="auto"/>
        <w:tabs>
          <w:tab w:leader="none" w:pos="16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46" w:lineRule="exact"/>
        <w:rPr>
          <w:rFonts w:ascii="Times New Roman" w:cs="Times New Roman" w:eastAsia="Times New Roman" w:hAnsi="Times New Roman"/>
          <w:sz w:val="17"/>
          <w:szCs w:val="17"/>
          <w:color w:val="auto"/>
        </w:rPr>
      </w:pPr>
    </w:p>
    <w:p>
      <w:pPr>
        <w:jc w:val="both"/>
        <w:ind w:firstLine="634"/>
        <w:spacing w:after="0" w:line="276" w:lineRule="auto"/>
        <w:tabs>
          <w:tab w:leader="none" w:pos="155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REMEDIES OF THE TRUSTEE AND SECURITYHOLDERS ON EVENT OF DEFAULT</w:t>
      </w:r>
    </w:p>
    <w:p>
      <w:pPr>
        <w:spacing w:after="0" w:line="20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6.1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634"/>
        <w:spacing w:after="0" w:line="296" w:lineRule="auto"/>
        <w:tabs>
          <w:tab w:leader="none" w:pos="160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used herein with respect to Securities of a particular series, “Event of Default” means any one or more of the following events that has occurred and is continuing:</w:t>
      </w:r>
    </w:p>
    <w:p>
      <w:pPr>
        <w:spacing w:after="0" w:line="146" w:lineRule="exact"/>
        <w:rPr>
          <w:rFonts w:ascii="Times New Roman" w:cs="Times New Roman" w:eastAsia="Times New Roman" w:hAnsi="Times New Roman"/>
          <w:sz w:val="17"/>
          <w:szCs w:val="17"/>
          <w:color w:val="auto"/>
        </w:rPr>
      </w:pPr>
    </w:p>
    <w:p>
      <w:pPr>
        <w:jc w:val="both"/>
        <w:ind w:firstLine="1262"/>
        <w:spacing w:after="0" w:line="276" w:lineRule="auto"/>
        <w:tabs>
          <w:tab w:leader="none" w:pos="2159"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63" w:lineRule="exact"/>
        <w:rPr>
          <w:rFonts w:ascii="Times New Roman" w:cs="Times New Roman" w:eastAsia="Times New Roman" w:hAnsi="Times New Roman"/>
          <w:sz w:val="17"/>
          <w:szCs w:val="17"/>
          <w:color w:val="auto"/>
        </w:rPr>
      </w:pPr>
    </w:p>
    <w:p>
      <w:pPr>
        <w:jc w:val="both"/>
        <w:ind w:firstLine="1262"/>
        <w:spacing w:after="0" w:line="270" w:lineRule="auto"/>
        <w:tabs>
          <w:tab w:leader="none" w:pos="221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68" w:lineRule="exact"/>
        <w:rPr>
          <w:rFonts w:ascii="Times New Roman" w:cs="Times New Roman" w:eastAsia="Times New Roman" w:hAnsi="Times New Roman"/>
          <w:sz w:val="17"/>
          <w:szCs w:val="17"/>
          <w:color w:val="auto"/>
        </w:rPr>
      </w:pPr>
    </w:p>
    <w:p>
      <w:pPr>
        <w:jc w:val="both"/>
        <w:ind w:firstLine="1262"/>
        <w:spacing w:after="0" w:line="265" w:lineRule="auto"/>
        <w:tabs>
          <w:tab w:leader="none" w:pos="230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71" w:lineRule="exact"/>
        <w:rPr>
          <w:rFonts w:ascii="Times New Roman" w:cs="Times New Roman" w:eastAsia="Times New Roman" w:hAnsi="Times New Roman"/>
          <w:sz w:val="17"/>
          <w:szCs w:val="17"/>
          <w:color w:val="auto"/>
        </w:rPr>
      </w:pPr>
    </w:p>
    <w:p>
      <w:pPr>
        <w:jc w:val="both"/>
        <w:ind w:firstLine="1262"/>
        <w:spacing w:after="0" w:line="276" w:lineRule="auto"/>
        <w:tabs>
          <w:tab w:leader="none" w:pos="2159"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3" w:lineRule="exact"/>
        <w:rPr>
          <w:rFonts w:ascii="Times New Roman" w:cs="Times New Roman" w:eastAsia="Times New Roman" w:hAnsi="Times New Roman"/>
          <w:sz w:val="17"/>
          <w:szCs w:val="17"/>
          <w:color w:val="auto"/>
        </w:rPr>
      </w:pPr>
    </w:p>
    <w:p>
      <w:pPr>
        <w:jc w:val="both"/>
        <w:ind w:firstLine="1262"/>
        <w:spacing w:after="0" w:line="276" w:lineRule="auto"/>
        <w:tabs>
          <w:tab w:leader="none" w:pos="238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63" w:lineRule="exact"/>
        <w:rPr>
          <w:rFonts w:ascii="Times New Roman" w:cs="Times New Roman" w:eastAsia="Times New Roman" w:hAnsi="Times New Roman"/>
          <w:sz w:val="17"/>
          <w:szCs w:val="17"/>
          <w:color w:val="auto"/>
        </w:rPr>
      </w:pPr>
    </w:p>
    <w:p>
      <w:pPr>
        <w:jc w:val="both"/>
        <w:ind w:firstLine="634"/>
        <w:spacing w:after="0" w:line="262" w:lineRule="auto"/>
        <w:tabs>
          <w:tab w:leader="none" w:pos="159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6" w:name="page107"/>
    <w:bookmarkEnd w:id="106"/>
    <w:p>
      <w:pPr>
        <w:jc w:val="both"/>
        <w:ind w:firstLine="634"/>
        <w:spacing w:after="0" w:line="261" w:lineRule="auto"/>
        <w:tabs>
          <w:tab w:leader="none" w:pos="176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79" w:lineRule="exact"/>
        <w:rPr>
          <w:rFonts w:ascii="Times New Roman" w:cs="Times New Roman" w:eastAsia="Times New Roman" w:hAnsi="Times New Roman"/>
          <w:sz w:val="17"/>
          <w:szCs w:val="17"/>
          <w:color w:val="auto"/>
        </w:rPr>
      </w:pPr>
    </w:p>
    <w:p>
      <w:pPr>
        <w:jc w:val="both"/>
        <w:ind w:firstLine="634"/>
        <w:spacing w:after="0" w:line="267" w:lineRule="auto"/>
        <w:tabs>
          <w:tab w:leader="none" w:pos="179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6.2</w:t>
      </w:r>
      <w:r>
        <w:rPr>
          <w:sz w:val="20"/>
          <w:szCs w:val="20"/>
          <w:color w:val="auto"/>
        </w:rPr>
        <w:tab/>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56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5" w:lineRule="exact"/>
        <w:rPr>
          <w:rFonts w:ascii="Times New Roman" w:cs="Times New Roman" w:eastAsia="Times New Roman" w:hAnsi="Times New Roman"/>
          <w:sz w:val="17"/>
          <w:szCs w:val="17"/>
          <w:color w:val="auto"/>
        </w:rPr>
      </w:pPr>
    </w:p>
    <w:p>
      <w:pPr>
        <w:jc w:val="both"/>
        <w:ind w:firstLine="634"/>
        <w:spacing w:after="0" w:line="267" w:lineRule="auto"/>
        <w:tabs>
          <w:tab w:leader="none" w:pos="153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0" w:lineRule="exact"/>
        <w:rPr>
          <w:rFonts w:ascii="Times New Roman" w:cs="Times New Roman" w:eastAsia="Times New Roman" w:hAnsi="Times New Roman"/>
          <w:sz w:val="17"/>
          <w:szCs w:val="17"/>
          <w:color w:val="auto"/>
        </w:rPr>
      </w:pPr>
    </w:p>
    <w:p>
      <w:pPr>
        <w:jc w:val="both"/>
        <w:ind w:firstLine="634"/>
        <w:spacing w:after="0" w:line="262" w:lineRule="auto"/>
        <w:tabs>
          <w:tab w:leader="none" w:pos="185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7" w:name="page108"/>
    <w:bookmarkEnd w:id="107"/>
    <w:p>
      <w:pPr>
        <w:jc w:val="both"/>
        <w:ind w:firstLine="634"/>
        <w:spacing w:after="0" w:line="270" w:lineRule="auto"/>
        <w:tabs>
          <w:tab w:leader="none" w:pos="166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6.3 Application of Moneys Collected</w:t>
      </w:r>
      <w:r>
        <w:rPr>
          <w:rFonts w:ascii="Times New Roman" w:cs="Times New Roman" w:eastAsia="Times New Roman" w:hAnsi="Times New Roman"/>
          <w:sz w:val="17"/>
          <w:szCs w:val="17"/>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3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FIRST: To the payment of costs and expenses of collection and of all amounts payable to the Trustee under Section 7.06; SECOND: To the payment of all Senior Indebtedness of the Company if and to the extent required by Article XIV; and</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6.4 Limitation on Suits</w:t>
      </w:r>
      <w:r>
        <w:rPr>
          <w:rFonts w:ascii="Times New Roman" w:cs="Times New Roman" w:eastAsia="Times New Roman" w:hAnsi="Times New Roman"/>
          <w:sz w:val="17"/>
          <w:szCs w:val="17"/>
          <w:color w:val="auto"/>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8" w:name="page109"/>
    <w:bookmarkEnd w:id="108"/>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6.5</w:t>
      </w:r>
      <w:r>
        <w:rPr>
          <w:sz w:val="20"/>
          <w:szCs w:val="20"/>
          <w:color w:val="auto"/>
        </w:rPr>
        <w:tab/>
      </w:r>
      <w:r>
        <w:rPr>
          <w:rFonts w:ascii="Times New Roman" w:cs="Times New Roman" w:eastAsia="Times New Roman" w:hAnsi="Times New Roman"/>
          <w:sz w:val="17"/>
          <w:szCs w:val="17"/>
          <w:u w:val="single" w:color="auto"/>
          <w:color w:val="auto"/>
        </w:rPr>
        <w:t>Rights and Remedies Cumulative; Delay or Omission Not Waiver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70" w:lineRule="auto"/>
        <w:tabs>
          <w:tab w:leader="none" w:pos="159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68" w:lineRule="exact"/>
        <w:rPr>
          <w:rFonts w:ascii="Times New Roman" w:cs="Times New Roman" w:eastAsia="Times New Roman" w:hAnsi="Times New Roman"/>
          <w:sz w:val="17"/>
          <w:szCs w:val="17"/>
          <w:color w:val="auto"/>
        </w:rPr>
      </w:pPr>
    </w:p>
    <w:p>
      <w:pPr>
        <w:jc w:val="both"/>
        <w:ind w:firstLine="634"/>
        <w:spacing w:after="0" w:line="270" w:lineRule="auto"/>
        <w:tabs>
          <w:tab w:leader="none" w:pos="162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6.6 Control by Securityholders</w:t>
      </w:r>
      <w:r>
        <w:rPr>
          <w:rFonts w:ascii="Times New Roman" w:cs="Times New Roman" w:eastAsia="Times New Roman" w:hAnsi="Times New Roman"/>
          <w:sz w:val="17"/>
          <w:szCs w:val="17"/>
          <w:color w:val="auto"/>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3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6.7 Undertaking to Pay Costs</w:t>
      </w:r>
      <w:r>
        <w:rPr>
          <w:rFonts w:ascii="Times New Roman" w:cs="Times New Roman" w:eastAsia="Times New Roman" w:hAnsi="Times New Roman"/>
          <w:sz w:val="17"/>
          <w:szCs w:val="17"/>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CONCERNING THE TRUSTEE</w:t>
      </w:r>
    </w:p>
    <w:p>
      <w:pPr>
        <w:spacing w:after="0" w:line="20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7.1</w:t>
      </w:r>
      <w:r>
        <w:rPr>
          <w:sz w:val="20"/>
          <w:szCs w:val="20"/>
          <w:color w:val="auto"/>
        </w:rPr>
        <w:tab/>
      </w:r>
      <w:r>
        <w:rPr>
          <w:rFonts w:ascii="Times New Roman" w:cs="Times New Roman" w:eastAsia="Times New Roman" w:hAnsi="Times New Roman"/>
          <w:sz w:val="17"/>
          <w:szCs w:val="17"/>
          <w:u w:val="single" w:color="auto"/>
          <w:color w:val="auto"/>
        </w:rPr>
        <w:t>Certain Duties and Responsibilities of Trustee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5" w:lineRule="auto"/>
        <w:tabs>
          <w:tab w:leader="none" w:pos="16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Times New Roman" w:cs="Times New Roman" w:eastAsia="Times New Roman" w:hAnsi="Times New Roman"/>
          <w:sz w:val="17"/>
          <w:szCs w:val="17"/>
          <w:color w:val="auto"/>
        </w:rPr>
      </w:pPr>
    </w:p>
    <w:p>
      <w:pPr>
        <w:ind w:firstLine="634"/>
        <w:spacing w:after="0" w:line="296" w:lineRule="auto"/>
        <w:tabs>
          <w:tab w:leader="none" w:pos="15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shall be construed to relieve the Trustee from liability for its own negligent action, its own negligent failure to act, or its own willful misconduct, except that:</w:t>
      </w:r>
    </w:p>
    <w:p>
      <w:pPr>
        <w:spacing w:after="0" w:line="146" w:lineRule="exact"/>
        <w:rPr>
          <w:rFonts w:ascii="Times New Roman" w:cs="Times New Roman" w:eastAsia="Times New Roman" w:hAnsi="Times New Roman"/>
          <w:sz w:val="17"/>
          <w:szCs w:val="17"/>
          <w:color w:val="auto"/>
        </w:rPr>
      </w:pPr>
    </w:p>
    <w:p>
      <w:pPr>
        <w:ind w:firstLine="1262"/>
        <w:spacing w:after="0" w:line="296" w:lineRule="auto"/>
        <w:tabs>
          <w:tab w:leader="none" w:pos="2198"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occurrence of an Event of Default with respect to the Securities of a series and after the curing or waiving of all such Events of Default with respect to that series that may have occurred:</w:t>
      </w:r>
    </w:p>
    <w:p>
      <w:pPr>
        <w:spacing w:after="0" w:line="146" w:lineRule="exact"/>
        <w:rPr>
          <w:rFonts w:ascii="Times New Roman" w:cs="Times New Roman" w:eastAsia="Times New Roman" w:hAnsi="Times New Roman"/>
          <w:sz w:val="17"/>
          <w:szCs w:val="17"/>
          <w:color w:val="auto"/>
        </w:rPr>
      </w:pPr>
    </w:p>
    <w:p>
      <w:pPr>
        <w:jc w:val="both"/>
        <w:ind w:firstLine="1891"/>
        <w:spacing w:after="0" w:line="276" w:lineRule="auto"/>
        <w:tabs>
          <w:tab w:leader="none" w:pos="2386" w:val="left"/>
        </w:tabs>
        <w:numPr>
          <w:ilvl w:val="2"/>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63" w:lineRule="exact"/>
        <w:rPr>
          <w:rFonts w:ascii="Times New Roman" w:cs="Times New Roman" w:eastAsia="Times New Roman" w:hAnsi="Times New Roman"/>
          <w:sz w:val="17"/>
          <w:szCs w:val="17"/>
          <w:color w:val="auto"/>
        </w:rPr>
      </w:pPr>
    </w:p>
    <w:p>
      <w:pPr>
        <w:jc w:val="both"/>
        <w:ind w:firstLine="1891"/>
        <w:spacing w:after="0" w:line="270" w:lineRule="auto"/>
        <w:tabs>
          <w:tab w:leader="none" w:pos="2408" w:val="left"/>
        </w:tabs>
        <w:numPr>
          <w:ilvl w:val="2"/>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68" w:lineRule="exact"/>
        <w:rPr>
          <w:rFonts w:ascii="Times New Roman" w:cs="Times New Roman" w:eastAsia="Times New Roman" w:hAnsi="Times New Roman"/>
          <w:sz w:val="17"/>
          <w:szCs w:val="17"/>
          <w:color w:val="auto"/>
        </w:rPr>
      </w:pPr>
    </w:p>
    <w:p>
      <w:pPr>
        <w:ind w:firstLine="1262"/>
        <w:spacing w:after="0" w:line="296" w:lineRule="auto"/>
        <w:tabs>
          <w:tab w:leader="none" w:pos="222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46" w:lineRule="exact"/>
        <w:rPr>
          <w:rFonts w:ascii="Times New Roman" w:cs="Times New Roman" w:eastAsia="Times New Roman" w:hAnsi="Times New Roman"/>
          <w:sz w:val="17"/>
          <w:szCs w:val="17"/>
          <w:color w:val="auto"/>
        </w:rPr>
      </w:pPr>
    </w:p>
    <w:p>
      <w:pPr>
        <w:jc w:val="both"/>
        <w:ind w:firstLine="1262"/>
        <w:spacing w:after="0" w:line="270" w:lineRule="auto"/>
        <w:tabs>
          <w:tab w:leader="none" w:pos="226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68" w:lineRule="exact"/>
        <w:rPr>
          <w:rFonts w:ascii="Times New Roman" w:cs="Times New Roman" w:eastAsia="Times New Roman" w:hAnsi="Times New Roman"/>
          <w:sz w:val="17"/>
          <w:szCs w:val="17"/>
          <w:color w:val="auto"/>
        </w:rPr>
      </w:pPr>
    </w:p>
    <w:p>
      <w:pPr>
        <w:jc w:val="both"/>
        <w:ind w:firstLine="1262"/>
        <w:spacing w:after="0" w:line="270" w:lineRule="auto"/>
        <w:tabs>
          <w:tab w:leader="none" w:pos="22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7.2</w:t>
      </w:r>
      <w:r>
        <w:rPr>
          <w:sz w:val="20"/>
          <w:szCs w:val="20"/>
          <w:color w:val="auto"/>
        </w:rPr>
        <w:tab/>
      </w:r>
      <w:r>
        <w:rPr>
          <w:rFonts w:ascii="Times New Roman" w:cs="Times New Roman" w:eastAsia="Times New Roman" w:hAnsi="Times New Roman"/>
          <w:sz w:val="17"/>
          <w:szCs w:val="17"/>
          <w:u w:val="single" w:color="auto"/>
          <w:color w:val="auto"/>
        </w:rPr>
        <w:t>Certain Rights of Trustee</w:t>
      </w:r>
      <w:r>
        <w:rPr>
          <w:rFonts w:ascii="Times New Roman" w:cs="Times New Roman" w:eastAsia="Times New Roman" w:hAnsi="Times New Roman"/>
          <w:sz w:val="17"/>
          <w:szCs w:val="17"/>
          <w:color w:val="auto"/>
        </w:rPr>
        <w:t>. Except as otherwise provided in Section 7.01:</w:t>
      </w:r>
    </w:p>
    <w:p>
      <w:pPr>
        <w:spacing w:after="0" w:line="224" w:lineRule="exact"/>
        <w:rPr>
          <w:sz w:val="20"/>
          <w:szCs w:val="20"/>
          <w:color w:val="auto"/>
        </w:rPr>
      </w:pPr>
    </w:p>
    <w:p>
      <w:pPr>
        <w:jc w:val="both"/>
        <w:ind w:firstLine="634"/>
        <w:spacing w:after="0" w:line="276" w:lineRule="auto"/>
        <w:tabs>
          <w:tab w:leader="none" w:pos="172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63" w:lineRule="exact"/>
        <w:rPr>
          <w:rFonts w:ascii="Times New Roman" w:cs="Times New Roman" w:eastAsia="Times New Roman" w:hAnsi="Times New Roman"/>
          <w:sz w:val="17"/>
          <w:szCs w:val="17"/>
          <w:color w:val="auto"/>
        </w:rPr>
      </w:pPr>
    </w:p>
    <w:p>
      <w:pPr>
        <w:jc w:val="both"/>
        <w:ind w:firstLine="634"/>
        <w:spacing w:after="0" w:line="276" w:lineRule="auto"/>
        <w:tabs>
          <w:tab w:leader="none" w:pos="166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0" w:name="page111"/>
    <w:bookmarkEnd w:id="110"/>
    <w:p>
      <w:pPr>
        <w:ind w:firstLine="634"/>
        <w:spacing w:after="0" w:line="296" w:lineRule="auto"/>
        <w:tabs>
          <w:tab w:leader="none" w:pos="18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46" w:lineRule="exact"/>
        <w:rPr>
          <w:rFonts w:ascii="Times New Roman" w:cs="Times New Roman" w:eastAsia="Times New Roman" w:hAnsi="Times New Roman"/>
          <w:sz w:val="17"/>
          <w:szCs w:val="17"/>
          <w:color w:val="auto"/>
        </w:rPr>
      </w:pPr>
    </w:p>
    <w:p>
      <w:pPr>
        <w:jc w:val="both"/>
        <w:ind w:firstLine="634"/>
        <w:spacing w:after="0" w:line="265" w:lineRule="auto"/>
        <w:tabs>
          <w:tab w:leader="none" w:pos="172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1" w:lineRule="exact"/>
        <w:rPr>
          <w:rFonts w:ascii="Times New Roman" w:cs="Times New Roman" w:eastAsia="Times New Roman" w:hAnsi="Times New Roman"/>
          <w:sz w:val="17"/>
          <w:szCs w:val="17"/>
          <w:color w:val="auto"/>
        </w:rPr>
      </w:pPr>
    </w:p>
    <w:p>
      <w:pPr>
        <w:ind w:firstLine="634"/>
        <w:spacing w:after="0" w:line="296" w:lineRule="auto"/>
        <w:tabs>
          <w:tab w:leader="none" w:pos="160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action taken or omitted to be taken by it in good faith and believed by it to be authorized or within the discretion or rights or powers conferred upon it by this Indenture;</w:t>
      </w:r>
    </w:p>
    <w:p>
      <w:pPr>
        <w:spacing w:after="0" w:line="146" w:lineRule="exact"/>
        <w:rPr>
          <w:rFonts w:ascii="Times New Roman" w:cs="Times New Roman" w:eastAsia="Times New Roman" w:hAnsi="Times New Roman"/>
          <w:sz w:val="17"/>
          <w:szCs w:val="17"/>
          <w:color w:val="auto"/>
        </w:rPr>
      </w:pPr>
    </w:p>
    <w:p>
      <w:pPr>
        <w:jc w:val="both"/>
        <w:ind w:firstLine="634"/>
        <w:spacing w:after="0" w:line="263" w:lineRule="auto"/>
        <w:tabs>
          <w:tab w:leader="none" w:pos="191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77" w:lineRule="exact"/>
        <w:rPr>
          <w:rFonts w:ascii="Times New Roman" w:cs="Times New Roman" w:eastAsia="Times New Roman" w:hAnsi="Times New Roman"/>
          <w:sz w:val="17"/>
          <w:szCs w:val="17"/>
          <w:color w:val="auto"/>
        </w:rPr>
      </w:pPr>
    </w:p>
    <w:p>
      <w:pPr>
        <w:jc w:val="both"/>
        <w:ind w:firstLine="634"/>
        <w:spacing w:after="0" w:line="296" w:lineRule="auto"/>
        <w:tabs>
          <w:tab w:leader="none" w:pos="158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7.3</w:t>
      </w:r>
      <w:r>
        <w:rPr>
          <w:sz w:val="20"/>
          <w:szCs w:val="20"/>
          <w:color w:val="auto"/>
        </w:rPr>
        <w:tab/>
      </w:r>
      <w:r>
        <w:rPr>
          <w:rFonts w:ascii="Times New Roman" w:cs="Times New Roman" w:eastAsia="Times New Roman" w:hAnsi="Times New Roman"/>
          <w:sz w:val="17"/>
          <w:szCs w:val="17"/>
          <w:u w:val="single" w:color="auto"/>
          <w:color w:val="auto"/>
        </w:rPr>
        <w:t>Trustee Not Responsible for Recitals or Issuance of Securities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firstLine="634"/>
        <w:spacing w:after="0" w:line="296" w:lineRule="auto"/>
        <w:tabs>
          <w:tab w:leader="none" w:pos="191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recitals contained herein and in the Securities shall be taken as the statements of the Company, and the Trustee assumes no responsibility for the correctness of the same.</w:t>
      </w:r>
    </w:p>
    <w:p>
      <w:pPr>
        <w:spacing w:after="0" w:line="146" w:lineRule="exact"/>
        <w:rPr>
          <w:rFonts w:ascii="Times New Roman" w:cs="Times New Roman" w:eastAsia="Times New Roman" w:hAnsi="Times New Roman"/>
          <w:sz w:val="17"/>
          <w:szCs w:val="17"/>
          <w:color w:val="auto"/>
        </w:rPr>
      </w:pPr>
    </w:p>
    <w:p>
      <w:pPr>
        <w:ind w:left="1540" w:hanging="906"/>
        <w:spacing w:after="0"/>
        <w:tabs>
          <w:tab w:leader="none" w:pos="15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makes no representations as to the validity or sufficiency of this Indenture or of the Securities.</w:t>
      </w:r>
    </w:p>
    <w:p>
      <w:pPr>
        <w:spacing w:after="0" w:line="223" w:lineRule="exact"/>
        <w:rPr>
          <w:rFonts w:ascii="Times New Roman" w:cs="Times New Roman" w:eastAsia="Times New Roman" w:hAnsi="Times New Roman"/>
          <w:sz w:val="17"/>
          <w:szCs w:val="17"/>
          <w:color w:val="auto"/>
        </w:rPr>
      </w:pPr>
    </w:p>
    <w:p>
      <w:pPr>
        <w:jc w:val="both"/>
        <w:ind w:firstLine="634"/>
        <w:spacing w:after="0" w:line="276" w:lineRule="auto"/>
        <w:tabs>
          <w:tab w:leader="none" w:pos="181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7.4 May Hold Securities</w:t>
      </w:r>
      <w:r>
        <w:rPr>
          <w:rFonts w:ascii="Times New Roman" w:cs="Times New Roman" w:eastAsia="Times New Roman" w:hAnsi="Times New Roman"/>
          <w:sz w:val="17"/>
          <w:szCs w:val="17"/>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7.5 Moneys Held in Trust</w:t>
      </w:r>
      <w:r>
        <w:rPr>
          <w:rFonts w:ascii="Times New Roman" w:cs="Times New Roman" w:eastAsia="Times New Roman" w:hAnsi="Times New Roman"/>
          <w:sz w:val="17"/>
          <w:szCs w:val="17"/>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7.6</w:t>
      </w:r>
      <w:r>
        <w:rPr>
          <w:sz w:val="20"/>
          <w:szCs w:val="20"/>
          <w:color w:val="auto"/>
        </w:rPr>
        <w:tab/>
      </w:r>
      <w:r>
        <w:rPr>
          <w:rFonts w:ascii="Times New Roman" w:cs="Times New Roman" w:eastAsia="Times New Roman" w:hAnsi="Times New Roman"/>
          <w:sz w:val="17"/>
          <w:szCs w:val="17"/>
          <w:u w:val="single" w:color="auto"/>
          <w:color w:val="auto"/>
        </w:rPr>
        <w:t>Compensation and Reimbursement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59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1" w:name="page112"/>
    <w:bookmarkEnd w:id="111"/>
    <w:p>
      <w:pPr>
        <w:jc w:val="both"/>
        <w:ind w:firstLine="634"/>
        <w:spacing w:after="0" w:line="274" w:lineRule="auto"/>
        <w:tabs>
          <w:tab w:leader="none" w:pos="17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3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7.7 Reliance on Officers’ Certificate</w:t>
      </w:r>
      <w:r>
        <w:rPr>
          <w:rFonts w:ascii="Times New Roman" w:cs="Times New Roman" w:eastAsia="Times New Roman" w:hAnsi="Times New Roman"/>
          <w:sz w:val="17"/>
          <w:szCs w:val="17"/>
          <w:color w:val="auto"/>
        </w:rPr>
        <w:t>. 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7.8 Disqualification; Conflicting Interests</w:t>
      </w:r>
      <w:r>
        <w:rPr>
          <w:rFonts w:ascii="Times New Roman" w:cs="Times New Roman" w:eastAsia="Times New Roman" w:hAnsi="Times New Roman"/>
          <w:sz w:val="17"/>
          <w:szCs w:val="17"/>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7.9 Corporate Trustee Required; Eligibility</w:t>
      </w:r>
      <w:r>
        <w:rPr>
          <w:rFonts w:ascii="Times New Roman" w:cs="Times New Roman" w:eastAsia="Times New Roman" w:hAnsi="Times New Roman"/>
          <w:sz w:val="17"/>
          <w:szCs w:val="17"/>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u w:val="single" w:color="auto"/>
          <w:color w:val="auto"/>
        </w:rPr>
        <w:t>SECTION 7.10</w:t>
      </w:r>
      <w:r>
        <w:rPr>
          <w:sz w:val="20"/>
          <w:szCs w:val="20"/>
          <w:color w:val="auto"/>
        </w:rPr>
        <w:tab/>
      </w:r>
      <w:r>
        <w:rPr>
          <w:rFonts w:ascii="Times New Roman" w:cs="Times New Roman" w:eastAsia="Times New Roman" w:hAnsi="Times New Roman"/>
          <w:sz w:val="17"/>
          <w:szCs w:val="17"/>
          <w:u w:val="single" w:color="auto"/>
          <w:color w:val="auto"/>
        </w:rPr>
        <w:t>Resignation and Removal; Appointment of Successor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2" w:lineRule="auto"/>
        <w:tabs>
          <w:tab w:leader="none" w:pos="168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2" w:name="page113"/>
    <w:bookmarkEnd w:id="112"/>
    <w:p>
      <w:pPr>
        <w:ind w:left="1540" w:hanging="906"/>
        <w:spacing w:after="0"/>
        <w:tabs>
          <w:tab w:leader="none" w:pos="15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at any time any one of the following shall occur:</w:t>
      </w:r>
    </w:p>
    <w:p>
      <w:pPr>
        <w:spacing w:after="0" w:line="223" w:lineRule="exact"/>
        <w:rPr>
          <w:rFonts w:ascii="Times New Roman" w:cs="Times New Roman" w:eastAsia="Times New Roman" w:hAnsi="Times New Roman"/>
          <w:sz w:val="17"/>
          <w:szCs w:val="17"/>
          <w:color w:val="auto"/>
        </w:rPr>
      </w:pPr>
    </w:p>
    <w:p>
      <w:pPr>
        <w:ind w:firstLine="1262"/>
        <w:spacing w:after="0" w:line="296" w:lineRule="auto"/>
        <w:tabs>
          <w:tab w:leader="none" w:pos="235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46" w:lineRule="exact"/>
        <w:rPr>
          <w:rFonts w:ascii="Times New Roman" w:cs="Times New Roman" w:eastAsia="Times New Roman" w:hAnsi="Times New Roman"/>
          <w:sz w:val="17"/>
          <w:szCs w:val="17"/>
          <w:color w:val="auto"/>
        </w:rPr>
      </w:pPr>
    </w:p>
    <w:p>
      <w:pPr>
        <w:ind w:firstLine="1262"/>
        <w:spacing w:after="0" w:line="296" w:lineRule="auto"/>
        <w:tabs>
          <w:tab w:leader="none" w:pos="215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cease to be eligible in accordance with the provisions of Section 7.09 and shall fail to resign after written request therefor by the Company or by any such Securityholder; or</w:t>
      </w:r>
    </w:p>
    <w:p>
      <w:pPr>
        <w:spacing w:after="0" w:line="146" w:lineRule="exact"/>
        <w:rPr>
          <w:rFonts w:ascii="Times New Roman" w:cs="Times New Roman" w:eastAsia="Times New Roman" w:hAnsi="Times New Roman"/>
          <w:sz w:val="17"/>
          <w:szCs w:val="17"/>
          <w:color w:val="auto"/>
        </w:rPr>
      </w:pPr>
    </w:p>
    <w:p>
      <w:pPr>
        <w:jc w:val="both"/>
        <w:ind w:firstLine="1262"/>
        <w:spacing w:after="0" w:line="262" w:lineRule="auto"/>
        <w:tabs>
          <w:tab w:leader="none" w:pos="2212"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8" w:lineRule="exact"/>
        <w:rPr>
          <w:rFonts w:ascii="Times New Roman" w:cs="Times New Roman" w:eastAsia="Times New Roman" w:hAnsi="Times New Roman"/>
          <w:sz w:val="17"/>
          <w:szCs w:val="17"/>
          <w:color w:val="auto"/>
        </w:rPr>
      </w:pPr>
    </w:p>
    <w:p>
      <w:pPr>
        <w:jc w:val="both"/>
        <w:ind w:firstLine="634"/>
        <w:spacing w:after="0" w:line="276" w:lineRule="auto"/>
        <w:tabs>
          <w:tab w:leader="none" w:pos="166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63" w:lineRule="exact"/>
        <w:rPr>
          <w:rFonts w:ascii="Times New Roman" w:cs="Times New Roman" w:eastAsia="Times New Roman" w:hAnsi="Times New Roman"/>
          <w:sz w:val="17"/>
          <w:szCs w:val="17"/>
          <w:color w:val="auto"/>
        </w:rPr>
      </w:pPr>
    </w:p>
    <w:p>
      <w:pPr>
        <w:ind w:firstLine="634"/>
        <w:spacing w:after="0" w:line="296" w:lineRule="auto"/>
        <w:tabs>
          <w:tab w:leader="none" w:pos="157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46" w:lineRule="exact"/>
        <w:rPr>
          <w:rFonts w:ascii="Times New Roman" w:cs="Times New Roman" w:eastAsia="Times New Roman" w:hAnsi="Times New Roman"/>
          <w:sz w:val="17"/>
          <w:szCs w:val="17"/>
          <w:color w:val="auto"/>
        </w:rPr>
      </w:pPr>
    </w:p>
    <w:p>
      <w:pPr>
        <w:ind w:firstLine="634"/>
        <w:spacing w:after="0" w:line="296" w:lineRule="auto"/>
        <w:tabs>
          <w:tab w:leader="none" w:pos="166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u w:val="single" w:color="auto"/>
          <w:color w:val="auto"/>
        </w:rPr>
        <w:t>SECTION 7.11</w:t>
      </w:r>
      <w:r>
        <w:rPr>
          <w:sz w:val="20"/>
          <w:szCs w:val="20"/>
          <w:color w:val="auto"/>
        </w:rPr>
        <w:tab/>
      </w:r>
      <w:r>
        <w:rPr>
          <w:rFonts w:ascii="Times New Roman" w:cs="Times New Roman" w:eastAsia="Times New Roman" w:hAnsi="Times New Roman"/>
          <w:sz w:val="17"/>
          <w:szCs w:val="17"/>
          <w:u w:val="single" w:color="auto"/>
          <w:color w:val="auto"/>
        </w:rPr>
        <w:t>Acceptance of Appointment By Successor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5" w:lineRule="auto"/>
        <w:tabs>
          <w:tab w:leader="none" w:pos="163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1" w:lineRule="exact"/>
        <w:rPr>
          <w:rFonts w:ascii="Times New Roman" w:cs="Times New Roman" w:eastAsia="Times New Roman" w:hAnsi="Times New Roman"/>
          <w:sz w:val="17"/>
          <w:szCs w:val="17"/>
          <w:color w:val="auto"/>
        </w:rPr>
      </w:pPr>
    </w:p>
    <w:p>
      <w:pPr>
        <w:jc w:val="both"/>
        <w:ind w:firstLine="634"/>
        <w:spacing w:after="0" w:line="259" w:lineRule="auto"/>
        <w:tabs>
          <w:tab w:leader="none" w:pos="155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3" w:name="page114"/>
    <w:bookmarkEnd w:id="113"/>
    <w:p>
      <w:pPr>
        <w:ind w:firstLine="634"/>
        <w:spacing w:after="0" w:line="296" w:lineRule="auto"/>
        <w:tabs>
          <w:tab w:leader="none" w:pos="157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6" w:lineRule="exact"/>
        <w:rPr>
          <w:rFonts w:ascii="Times New Roman" w:cs="Times New Roman" w:eastAsia="Times New Roman" w:hAnsi="Times New Roman"/>
          <w:sz w:val="17"/>
          <w:szCs w:val="17"/>
          <w:color w:val="auto"/>
        </w:rPr>
      </w:pPr>
    </w:p>
    <w:p>
      <w:pPr>
        <w:ind w:firstLine="634"/>
        <w:spacing w:after="0" w:line="296" w:lineRule="auto"/>
        <w:tabs>
          <w:tab w:leader="none" w:pos="176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successor trustee shall accept its appointment unless at the time of such acceptance such successor trustee shall be qualified and eligible under this Article.</w:t>
      </w:r>
    </w:p>
    <w:p>
      <w:pPr>
        <w:spacing w:after="0" w:line="146" w:lineRule="exact"/>
        <w:rPr>
          <w:rFonts w:ascii="Times New Roman" w:cs="Times New Roman" w:eastAsia="Times New Roman" w:hAnsi="Times New Roman"/>
          <w:sz w:val="17"/>
          <w:szCs w:val="17"/>
          <w:color w:val="auto"/>
        </w:rPr>
      </w:pPr>
    </w:p>
    <w:p>
      <w:pPr>
        <w:jc w:val="both"/>
        <w:ind w:firstLine="634"/>
        <w:spacing w:after="0" w:line="270" w:lineRule="auto"/>
        <w:tabs>
          <w:tab w:leader="none" w:pos="156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7.12 Merger, Conversion</w:t>
      </w:r>
      <w:r>
        <w:rPr>
          <w:rFonts w:ascii="Times New Roman" w:cs="Times New Roman" w:eastAsia="Times New Roman" w:hAnsi="Times New Roman"/>
          <w:sz w:val="17"/>
          <w:szCs w:val="17"/>
          <w:color w:val="auto"/>
        </w:rPr>
        <w:t>.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7.13 Preferential Collection of Claims Against the Company</w:t>
      </w:r>
      <w:r>
        <w:rPr>
          <w:rFonts w:ascii="Times New Roman" w:cs="Times New Roman" w:eastAsia="Times New Roman" w:hAnsi="Times New Roman"/>
          <w:sz w:val="17"/>
          <w:szCs w:val="17"/>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CONCERNING THE SECURITYHOLDERS</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8.1 Evidence of Action by Securityholders</w:t>
      </w:r>
      <w:r>
        <w:rPr>
          <w:rFonts w:ascii="Times New Roman" w:cs="Times New Roman" w:eastAsia="Times New Roman" w:hAnsi="Times New Roman"/>
          <w:sz w:val="17"/>
          <w:szCs w:val="17"/>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4" w:name="page115"/>
    <w:bookmarkEnd w:id="114"/>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8.2 Proof of Execution by Securityholders</w:t>
      </w:r>
      <w:r>
        <w:rPr>
          <w:rFonts w:ascii="Times New Roman" w:cs="Times New Roman" w:eastAsia="Times New Roman" w:hAnsi="Times New Roman"/>
          <w:sz w:val="17"/>
          <w:szCs w:val="17"/>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4" w:lineRule="exact"/>
        <w:rPr>
          <w:sz w:val="20"/>
          <w:szCs w:val="20"/>
          <w:color w:val="auto"/>
        </w:rPr>
      </w:pPr>
    </w:p>
    <w:p>
      <w:pPr>
        <w:ind w:left="1780" w:hanging="1146"/>
        <w:spacing w:after="0"/>
        <w:tabs>
          <w:tab w:leader="none" w:pos="17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and date of the execution by any such Person of any instrument may be proved in any reasonable manner acceptable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w:t>
      </w:r>
    </w:p>
    <w:p>
      <w:pPr>
        <w:spacing w:after="0" w:line="206" w:lineRule="exact"/>
        <w:rPr>
          <w:sz w:val="20"/>
          <w:szCs w:val="20"/>
          <w:color w:val="auto"/>
        </w:rPr>
      </w:pPr>
    </w:p>
    <w:p>
      <w:pPr>
        <w:ind w:left="1540" w:hanging="906"/>
        <w:spacing w:after="0"/>
        <w:tabs>
          <w:tab w:leader="none" w:pos="15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Securities shall be proved by the Security Register of such Securities or by a certificate of the Security Registrar thereof.</w:t>
      </w:r>
    </w:p>
    <w:p>
      <w:pPr>
        <w:spacing w:after="0" w:line="223" w:lineRule="exact"/>
        <w:rPr>
          <w:rFonts w:ascii="Times New Roman" w:cs="Times New Roman" w:eastAsia="Times New Roman" w:hAnsi="Times New Roman"/>
          <w:sz w:val="17"/>
          <w:szCs w:val="17"/>
          <w:color w:val="auto"/>
        </w:rPr>
      </w:pPr>
    </w:p>
    <w:p>
      <w:pPr>
        <w:ind w:left="1560" w:hanging="926"/>
        <w:spacing w:after="0"/>
        <w:tabs>
          <w:tab w:leader="none" w:pos="15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require such additional proof of any matter referred to in this Section as it shall deem necessary.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u w:val="single" w:color="auto"/>
          <w:color w:val="auto"/>
        </w:rPr>
        <w:t>SECTION 8.3 Who May be Deemed Owners</w:t>
      </w:r>
      <w:r>
        <w:rPr>
          <w:rFonts w:ascii="Times New Roman" w:cs="Times New Roman" w:eastAsia="Times New Roman" w:hAnsi="Times New Roman"/>
          <w:sz w:val="17"/>
          <w:szCs w:val="17"/>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8.4 Certain Securities Owned by Company Disregarded</w:t>
      </w:r>
      <w:r>
        <w:rPr>
          <w:rFonts w:ascii="Times New Roman" w:cs="Times New Roman" w:eastAsia="Times New Roman" w:hAnsi="Times New Roman"/>
          <w:sz w:val="17"/>
          <w:szCs w:val="17"/>
          <w:color w:val="auto"/>
        </w:rPr>
        <w:t>. 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8.5 Actions Binding on Future Securityholders</w:t>
      </w:r>
      <w:r>
        <w:rPr>
          <w:rFonts w:ascii="Times New Roman" w:cs="Times New Roman" w:eastAsia="Times New Roman" w:hAnsi="Times New Roman"/>
          <w:sz w:val="17"/>
          <w:szCs w:val="17"/>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8.6 Purposes for Which Meetings May Be Called</w:t>
      </w:r>
      <w:r>
        <w:rPr>
          <w:rFonts w:ascii="Times New Roman" w:cs="Times New Roman" w:eastAsia="Times New Roman" w:hAnsi="Times New Roman"/>
          <w:sz w:val="17"/>
          <w:szCs w:val="17"/>
          <w:color w:val="auto"/>
        </w:rPr>
        <w:t>. 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u w:val="single" w:color="auto"/>
          <w:color w:val="auto"/>
        </w:rPr>
        <w:t>SECTION 8.7</w:t>
      </w:r>
      <w:r>
        <w:rPr>
          <w:sz w:val="20"/>
          <w:szCs w:val="20"/>
          <w:color w:val="auto"/>
        </w:rPr>
        <w:tab/>
      </w:r>
      <w:r>
        <w:rPr>
          <w:rFonts w:ascii="Times New Roman" w:cs="Times New Roman" w:eastAsia="Times New Roman" w:hAnsi="Times New Roman"/>
          <w:sz w:val="17"/>
          <w:szCs w:val="17"/>
          <w:u w:val="single" w:color="auto"/>
          <w:color w:val="auto"/>
        </w:rPr>
        <w:t>Call Notice and Place of Meetings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7" w:lineRule="auto"/>
        <w:tabs>
          <w:tab w:leader="none" w:pos="165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5" w:name="page116"/>
    <w:bookmarkEnd w:id="115"/>
    <w:p>
      <w:pPr>
        <w:jc w:val="both"/>
        <w:ind w:firstLine="634"/>
        <w:spacing w:after="0" w:line="264" w:lineRule="auto"/>
        <w:tabs>
          <w:tab w:leader="none" w:pos="163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3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8.8 Persons Entitled To Vote at Meetings</w:t>
      </w:r>
      <w:r>
        <w:rPr>
          <w:rFonts w:ascii="Times New Roman" w:cs="Times New Roman" w:eastAsia="Times New Roman" w:hAnsi="Times New Roman"/>
          <w:sz w:val="17"/>
          <w:szCs w:val="17"/>
          <w:color w:val="auto"/>
        </w:rPr>
        <w:t>. 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3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8.9 Quorum; Action</w:t>
      </w:r>
      <w:r>
        <w:rPr>
          <w:rFonts w:ascii="Times New Roman" w:cs="Times New Roman" w:eastAsia="Times New Roman" w:hAnsi="Times New Roman"/>
          <w:sz w:val="17"/>
          <w:szCs w:val="17"/>
          <w:color w:val="auto"/>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4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u w:val="single" w:color="auto"/>
          <w:color w:val="auto"/>
        </w:rPr>
        <w:t>SECTION 8.10</w:t>
      </w:r>
      <w:r>
        <w:rPr>
          <w:sz w:val="20"/>
          <w:szCs w:val="20"/>
          <w:color w:val="auto"/>
        </w:rPr>
        <w:tab/>
      </w:r>
      <w:r>
        <w:rPr>
          <w:rFonts w:ascii="Times New Roman" w:cs="Times New Roman" w:eastAsia="Times New Roman" w:hAnsi="Times New Roman"/>
          <w:sz w:val="17"/>
          <w:szCs w:val="17"/>
          <w:u w:val="single" w:color="auto"/>
          <w:color w:val="auto"/>
        </w:rPr>
        <w:t>Determination of Voting Rights; Conduct and Adjournment of Meetings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70" w:lineRule="auto"/>
        <w:tabs>
          <w:tab w:leader="none" w:pos="165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68" w:lineRule="exact"/>
        <w:rPr>
          <w:rFonts w:ascii="Times New Roman" w:cs="Times New Roman" w:eastAsia="Times New Roman" w:hAnsi="Times New Roman"/>
          <w:sz w:val="17"/>
          <w:szCs w:val="17"/>
          <w:color w:val="auto"/>
        </w:rPr>
      </w:pPr>
    </w:p>
    <w:p>
      <w:pPr>
        <w:jc w:val="both"/>
        <w:ind w:firstLine="634"/>
        <w:spacing w:after="0" w:line="267" w:lineRule="auto"/>
        <w:tabs>
          <w:tab w:leader="none" w:pos="175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6" w:name="page117"/>
    <w:bookmarkEnd w:id="116"/>
    <w:p>
      <w:pPr>
        <w:jc w:val="both"/>
        <w:ind w:firstLine="634"/>
        <w:spacing w:after="0" w:line="270" w:lineRule="auto"/>
        <w:tabs>
          <w:tab w:leader="none" w:pos="169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68" w:lineRule="exact"/>
        <w:rPr>
          <w:rFonts w:ascii="Times New Roman" w:cs="Times New Roman" w:eastAsia="Times New Roman" w:hAnsi="Times New Roman"/>
          <w:sz w:val="17"/>
          <w:szCs w:val="17"/>
          <w:color w:val="auto"/>
        </w:rPr>
      </w:pPr>
    </w:p>
    <w:p>
      <w:pPr>
        <w:jc w:val="both"/>
        <w:ind w:firstLine="634"/>
        <w:spacing w:after="0" w:line="276" w:lineRule="auto"/>
        <w:tabs>
          <w:tab w:leader="none" w:pos="15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8.11 Counting Votes and Recording Action of Meetings</w:t>
      </w:r>
      <w:r>
        <w:rPr>
          <w:rFonts w:ascii="Times New Roman" w:cs="Times New Roman" w:eastAsia="Times New Roman" w:hAnsi="Times New Roman"/>
          <w:sz w:val="17"/>
          <w:szCs w:val="17"/>
          <w:color w:val="auto"/>
        </w:rPr>
        <w:t>. 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INDENTURES</w:t>
      </w:r>
    </w:p>
    <w:p>
      <w:pPr>
        <w:spacing w:after="0" w:line="2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9.1 Supplemental Indentures Without the Consent of Securityholders</w:t>
      </w:r>
      <w:r>
        <w:rPr>
          <w:rFonts w:ascii="Times New Roman" w:cs="Times New Roman" w:eastAsia="Times New Roman" w:hAnsi="Times New Roman"/>
          <w:sz w:val="17"/>
          <w:szCs w:val="17"/>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64" w:lineRule="exact"/>
        <w:rPr>
          <w:sz w:val="20"/>
          <w:szCs w:val="20"/>
          <w:color w:val="auto"/>
        </w:rPr>
      </w:pPr>
    </w:p>
    <w:p>
      <w:pPr>
        <w:jc w:val="both"/>
        <w:ind w:firstLine="634"/>
        <w:spacing w:after="0" w:line="276" w:lineRule="auto"/>
        <w:tabs>
          <w:tab w:leader="none" w:pos="169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63" w:lineRule="exact"/>
        <w:rPr>
          <w:rFonts w:ascii="Times New Roman" w:cs="Times New Roman" w:eastAsia="Times New Roman" w:hAnsi="Times New Roman"/>
          <w:sz w:val="17"/>
          <w:szCs w:val="17"/>
          <w:color w:val="auto"/>
        </w:rPr>
      </w:pPr>
    </w:p>
    <w:p>
      <w:pPr>
        <w:ind w:left="1540" w:hanging="906"/>
        <w:spacing w:after="0"/>
        <w:tabs>
          <w:tab w:leader="none" w:pos="15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Article X;</w:t>
      </w:r>
    </w:p>
    <w:p>
      <w:pPr>
        <w:spacing w:after="0" w:line="223" w:lineRule="exact"/>
        <w:rPr>
          <w:rFonts w:ascii="Times New Roman" w:cs="Times New Roman" w:eastAsia="Times New Roman" w:hAnsi="Times New Roman"/>
          <w:sz w:val="17"/>
          <w:szCs w:val="17"/>
          <w:color w:val="auto"/>
        </w:rPr>
      </w:pPr>
    </w:p>
    <w:p>
      <w:pPr>
        <w:ind w:left="1560" w:hanging="926"/>
        <w:spacing w:after="0"/>
        <w:tabs>
          <w:tab w:leader="none" w:pos="15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223" w:lineRule="exact"/>
        <w:rPr>
          <w:rFonts w:ascii="Times New Roman" w:cs="Times New Roman" w:eastAsia="Times New Roman" w:hAnsi="Times New Roman"/>
          <w:sz w:val="17"/>
          <w:szCs w:val="17"/>
          <w:color w:val="auto"/>
        </w:rPr>
      </w:pPr>
    </w:p>
    <w:p>
      <w:pPr>
        <w:jc w:val="both"/>
        <w:ind w:firstLine="634"/>
        <w:spacing w:after="0" w:line="276" w:lineRule="auto"/>
        <w:tabs>
          <w:tab w:leader="none" w:pos="157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63" w:lineRule="exact"/>
        <w:rPr>
          <w:rFonts w:ascii="Times New Roman" w:cs="Times New Roman" w:eastAsia="Times New Roman" w:hAnsi="Times New Roman"/>
          <w:sz w:val="17"/>
          <w:szCs w:val="17"/>
          <w:color w:val="auto"/>
        </w:rPr>
      </w:pPr>
    </w:p>
    <w:p>
      <w:pPr>
        <w:ind w:firstLine="634"/>
        <w:spacing w:after="0" w:line="296" w:lineRule="auto"/>
        <w:tabs>
          <w:tab w:leader="none" w:pos="185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Securities, as herein set forth;</w:t>
      </w:r>
    </w:p>
    <w:p>
      <w:pPr>
        <w:spacing w:after="0" w:line="146" w:lineRule="exact"/>
        <w:rPr>
          <w:rFonts w:ascii="Times New Roman" w:cs="Times New Roman" w:eastAsia="Times New Roman" w:hAnsi="Times New Roman"/>
          <w:sz w:val="17"/>
          <w:szCs w:val="17"/>
          <w:color w:val="auto"/>
        </w:rPr>
      </w:pPr>
    </w:p>
    <w:p>
      <w:pPr>
        <w:ind w:left="1600" w:hanging="966"/>
        <w:spacing w:after="0"/>
        <w:tabs>
          <w:tab w:leader="none" w:pos="1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Securityholder in any material respect;</w:t>
      </w:r>
    </w:p>
    <w:p>
      <w:pPr>
        <w:spacing w:after="0" w:line="223" w:lineRule="exact"/>
        <w:rPr>
          <w:rFonts w:ascii="Times New Roman" w:cs="Times New Roman" w:eastAsia="Times New Roman" w:hAnsi="Times New Roman"/>
          <w:sz w:val="17"/>
          <w:szCs w:val="17"/>
          <w:color w:val="auto"/>
        </w:rPr>
      </w:pPr>
    </w:p>
    <w:p>
      <w:pPr>
        <w:jc w:val="both"/>
        <w:ind w:firstLine="634"/>
        <w:spacing w:after="0" w:line="276" w:lineRule="auto"/>
        <w:tabs>
          <w:tab w:leader="none" w:pos="153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63" w:lineRule="exact"/>
        <w:rPr>
          <w:rFonts w:ascii="Times New Roman" w:cs="Times New Roman" w:eastAsia="Times New Roman" w:hAnsi="Times New Roman"/>
          <w:sz w:val="17"/>
          <w:szCs w:val="17"/>
          <w:color w:val="auto"/>
        </w:rPr>
      </w:pPr>
    </w:p>
    <w:p>
      <w:pPr>
        <w:ind w:left="1840" w:hanging="1206"/>
        <w:spacing w:after="0"/>
        <w:tabs>
          <w:tab w:leader="none" w:pos="18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the requirements of the Commission in order to effect or maintain the qualification of this Indenture under the Trust</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Indenture 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7" w:name="page118"/>
    <w:bookmarkEnd w:id="117"/>
    <w:p>
      <w:pPr>
        <w:jc w:val="both"/>
        <w:spacing w:after="0" w:line="276" w:lineRule="auto"/>
        <w:rPr>
          <w:sz w:val="20"/>
          <w:szCs w:val="20"/>
          <w:color w:val="auto"/>
        </w:rPr>
      </w:pPr>
      <w:r>
        <w:rPr>
          <w:rFonts w:ascii="Times New Roman" w:cs="Times New Roman" w:eastAsia="Times New Roman" w:hAnsi="Times New Roman"/>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9.2 Supplemental Indentures With Consent of Securityholders</w:t>
      </w:r>
      <w:r>
        <w:rPr>
          <w:rFonts w:ascii="Times New Roman" w:cs="Times New Roman" w:eastAsia="Times New Roman" w:hAnsi="Times New Roman"/>
          <w:sz w:val="17"/>
          <w:szCs w:val="17"/>
          <w:color w:val="auto"/>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9.3 Effect of Supplemental Indentures</w:t>
      </w:r>
      <w:r>
        <w:rPr>
          <w:rFonts w:ascii="Times New Roman" w:cs="Times New Roman" w:eastAsia="Times New Roman" w:hAnsi="Times New Roman"/>
          <w:sz w:val="17"/>
          <w:szCs w:val="17"/>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9.4 Securities Affected by Supplemental Indentures</w:t>
      </w:r>
      <w:r>
        <w:rPr>
          <w:rFonts w:ascii="Times New Roman" w:cs="Times New Roman" w:eastAsia="Times New Roman" w:hAnsi="Times New Roman"/>
          <w:sz w:val="17"/>
          <w:szCs w:val="17"/>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9.5 Execution of Supplemental Indentures</w:t>
      </w:r>
      <w:r>
        <w:rPr>
          <w:rFonts w:ascii="Times New Roman" w:cs="Times New Roman" w:eastAsia="Times New Roman" w:hAnsi="Times New Roman"/>
          <w:sz w:val="17"/>
          <w:szCs w:val="17"/>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8" w:name="page119"/>
    <w:bookmarkEnd w:id="118"/>
    <w:p>
      <w:pPr>
        <w:jc w:val="both"/>
        <w:spacing w:after="0" w:line="270" w:lineRule="auto"/>
        <w:rPr>
          <w:sz w:val="20"/>
          <w:szCs w:val="20"/>
          <w:color w:val="auto"/>
        </w:rPr>
      </w:pPr>
      <w:r>
        <w:rPr>
          <w:rFonts w:ascii="Times New Roman" w:cs="Times New Roman" w:eastAsia="Times New Roman" w:hAnsi="Times New Roman"/>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SUCCESSOR ENTITY</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10.1 Company May Consolidate, Etc</w:t>
      </w:r>
      <w:r>
        <w:rPr>
          <w:rFonts w:ascii="Times New Roman" w:cs="Times New Roman" w:eastAsia="Times New Roman" w:hAnsi="Times New Roman"/>
          <w:sz w:val="17"/>
          <w:szCs w:val="17"/>
          <w:color w:val="auto"/>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u w:val="single" w:color="auto"/>
          <w:color w:val="auto"/>
        </w:rPr>
        <w:t>SECTION 10.2</w:t>
      </w:r>
      <w:r>
        <w:rPr>
          <w:sz w:val="20"/>
          <w:szCs w:val="20"/>
          <w:color w:val="auto"/>
        </w:rPr>
        <w:tab/>
      </w:r>
      <w:r>
        <w:rPr>
          <w:rFonts w:ascii="Times New Roman" w:cs="Times New Roman" w:eastAsia="Times New Roman" w:hAnsi="Times New Roman"/>
          <w:sz w:val="17"/>
          <w:szCs w:val="17"/>
          <w:u w:val="single" w:color="auto"/>
          <w:color w:val="auto"/>
        </w:rPr>
        <w:t>Successor Entity Substituted</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5" w:lineRule="auto"/>
        <w:tabs>
          <w:tab w:leader="none" w:pos="159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71" w:lineRule="exact"/>
        <w:rPr>
          <w:rFonts w:ascii="Times New Roman" w:cs="Times New Roman" w:eastAsia="Times New Roman" w:hAnsi="Times New Roman"/>
          <w:sz w:val="17"/>
          <w:szCs w:val="17"/>
          <w:color w:val="auto"/>
        </w:rPr>
      </w:pPr>
    </w:p>
    <w:p>
      <w:pPr>
        <w:ind w:firstLine="634"/>
        <w:spacing w:after="0" w:line="296" w:lineRule="auto"/>
        <w:tabs>
          <w:tab w:leader="none" w:pos="153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46" w:lineRule="exact"/>
        <w:rPr>
          <w:rFonts w:ascii="Times New Roman" w:cs="Times New Roman" w:eastAsia="Times New Roman" w:hAnsi="Times New Roman"/>
          <w:sz w:val="17"/>
          <w:szCs w:val="17"/>
          <w:color w:val="auto"/>
        </w:rPr>
      </w:pPr>
    </w:p>
    <w:p>
      <w:pPr>
        <w:jc w:val="both"/>
        <w:ind w:firstLine="634"/>
        <w:spacing w:after="0" w:line="276" w:lineRule="auto"/>
        <w:tabs>
          <w:tab w:leader="none" w:pos="161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u w:val="single" w:color="auto"/>
          <w:color w:val="auto"/>
        </w:rPr>
        <w:t>SECTION 10.3 Evidence of Consolidation, Etc. to Trustee</w:t>
      </w:r>
      <w:r>
        <w:rPr>
          <w:rFonts w:ascii="Times New Roman" w:cs="Times New Roman" w:eastAsia="Times New Roman" w:hAnsi="Times New Roman"/>
          <w:sz w:val="17"/>
          <w:szCs w:val="17"/>
          <w:color w:val="auto"/>
        </w:rPr>
        <w:t>. 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SATISFACTION AND DISCHARGE</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SECTION 11.1 Satisfaction and Discharge of Indenture</w:t>
      </w:r>
      <w:r>
        <w:rPr>
          <w:rFonts w:ascii="Times New Roman" w:cs="Times New Roman" w:eastAsia="Times New Roman" w:hAnsi="Times New Roman"/>
          <w:sz w:val="17"/>
          <w:szCs w:val="17"/>
          <w:color w:val="auto"/>
        </w:rPr>
        <w:t>. 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9" w:name="page120"/>
    <w:bookmarkEnd w:id="119"/>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11.2 Discharge of Obligations</w:t>
      </w:r>
      <w:r>
        <w:rPr>
          <w:rFonts w:ascii="Times New Roman" w:cs="Times New Roman" w:eastAsia="Times New Roman" w:hAnsi="Times New Roman"/>
          <w:sz w:val="17"/>
          <w:szCs w:val="17"/>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11.3 Deposited Moneys to be Held in Trust</w:t>
      </w:r>
      <w:r>
        <w:rPr>
          <w:rFonts w:ascii="Times New Roman" w:cs="Times New Roman" w:eastAsia="Times New Roman" w:hAnsi="Times New Roman"/>
          <w:sz w:val="17"/>
          <w:szCs w:val="17"/>
          <w:color w:val="auto"/>
        </w:rPr>
        <w:t>. 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11.4 Payment of Moneys Held by Paying Agents</w:t>
      </w:r>
      <w:r>
        <w:rPr>
          <w:rFonts w:ascii="Times New Roman" w:cs="Times New Roman" w:eastAsia="Times New Roman" w:hAnsi="Times New Roman"/>
          <w:sz w:val="17"/>
          <w:szCs w:val="17"/>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11.5 Repayment to Company</w:t>
      </w:r>
      <w:r>
        <w:rPr>
          <w:rFonts w:ascii="Times New Roman" w:cs="Times New Roman" w:eastAsia="Times New Roman" w:hAnsi="Times New Roman"/>
          <w:sz w:val="17"/>
          <w:szCs w:val="17"/>
          <w:color w:val="auto"/>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IMMUNITY OF INCORPORATORS, SHAREHOLDERS, OFFICERS AND DIRECTORS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12.1 No Recourse</w:t>
      </w:r>
      <w:r>
        <w:rPr>
          <w:rFonts w:ascii="Times New Roman" w:cs="Times New Roman" w:eastAsia="Times New Roman" w:hAnsi="Times New Roman"/>
          <w:sz w:val="17"/>
          <w:szCs w:val="17"/>
          <w:color w:val="auto"/>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ARTICLE XIII.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 PROVISIONS</w:t>
      </w:r>
    </w:p>
    <w:p>
      <w:pPr>
        <w:spacing w:after="0" w:line="2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13.1 Effect on Successors and Assigns</w:t>
      </w:r>
      <w:r>
        <w:rPr>
          <w:rFonts w:ascii="Times New Roman" w:cs="Times New Roman" w:eastAsia="Times New Roman" w:hAnsi="Times New Roman"/>
          <w:sz w:val="17"/>
          <w:szCs w:val="17"/>
          <w:color w:val="auto"/>
        </w:rPr>
        <w:t>. All the covenants, stipulations, promises and agreements in this Indenture contained by or on behalf of the Company shall bind its successors and assigns, whether so expressed or not.</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13.2 Actions by Successor</w:t>
      </w:r>
      <w:r>
        <w:rPr>
          <w:rFonts w:ascii="Times New Roman" w:cs="Times New Roman" w:eastAsia="Times New Roman" w:hAnsi="Times New Roman"/>
          <w:sz w:val="17"/>
          <w:szCs w:val="17"/>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13.3 Surrender of Company Powers</w:t>
      </w:r>
      <w:r>
        <w:rPr>
          <w:rFonts w:ascii="Times New Roman" w:cs="Times New Roman" w:eastAsia="Times New Roman" w:hAnsi="Times New Roman"/>
          <w:sz w:val="17"/>
          <w:szCs w:val="17"/>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SECTION 13.4 Notices</w:t>
      </w:r>
      <w:r>
        <w:rPr>
          <w:rFonts w:ascii="Times New Roman" w:cs="Times New Roman" w:eastAsia="Times New Roman" w:hAnsi="Times New Roman"/>
          <w:sz w:val="17"/>
          <w:szCs w:val="17"/>
          <w:color w:val="auto"/>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w:t>
      </w:r>
    </w:p>
    <w:p>
      <w:pPr>
        <w:spacing w:after="0" w:line="2" w:lineRule="exact"/>
        <w:rPr>
          <w:sz w:val="20"/>
          <w:szCs w:val="20"/>
          <w:color w:val="auto"/>
        </w:rPr>
      </w:pPr>
    </w:p>
    <w:p>
      <w:pPr>
        <w:jc w:val="both"/>
        <w:ind w:firstLine="5"/>
        <w:spacing w:after="0" w:line="260" w:lineRule="auto"/>
        <w:tabs>
          <w:tab w:leader="none" w:pos="14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595 Howe Street, 10th Floor, Vancouver, British Columbia, Canada V6C 2T5.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7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13.5 Governing Law</w:t>
      </w:r>
      <w:r>
        <w:rPr>
          <w:rFonts w:ascii="Times New Roman" w:cs="Times New Roman" w:eastAsia="Times New Roman" w:hAnsi="Times New Roman"/>
          <w:sz w:val="17"/>
          <w:szCs w:val="17"/>
          <w:color w:val="auto"/>
        </w:rPr>
        <w:t>. This Indenture and each Security shall be deemed to be a contract made under the internal laws of the State of New York, and for all purposes shall be construed in accordance with the laws of said State.</w:t>
      </w:r>
    </w:p>
    <w:p>
      <w:pPr>
        <w:spacing w:after="0" w:line="14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13.6 Treatment of Securities as Debt</w:t>
      </w:r>
      <w:r>
        <w:rPr>
          <w:rFonts w:ascii="Times New Roman" w:cs="Times New Roman" w:eastAsia="Times New Roman" w:hAnsi="Times New Roman"/>
          <w:sz w:val="17"/>
          <w:szCs w:val="17"/>
          <w:color w:val="auto"/>
        </w:rPr>
        <w:t>. It is intended that the Securities will be treated as indebtedness and not as equity for federal income tax purposes. The provisions of this Indenture shall be interpreted to further this intention.</w:t>
      </w:r>
    </w:p>
    <w:p>
      <w:pPr>
        <w:spacing w:after="0" w:line="14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u w:val="single" w:color="auto"/>
          <w:color w:val="auto"/>
        </w:rPr>
        <w:t>SECTION 13.7</w:t>
      </w:r>
      <w:r>
        <w:rPr>
          <w:sz w:val="20"/>
          <w:szCs w:val="20"/>
          <w:color w:val="auto"/>
        </w:rPr>
        <w:tab/>
      </w:r>
      <w:r>
        <w:rPr>
          <w:rFonts w:ascii="Times New Roman" w:cs="Times New Roman" w:eastAsia="Times New Roman" w:hAnsi="Times New Roman"/>
          <w:sz w:val="17"/>
          <w:szCs w:val="17"/>
          <w:u w:val="single" w:color="auto"/>
          <w:color w:val="auto"/>
        </w:rPr>
        <w:t>Compliance Certificates and Opinions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634"/>
        <w:spacing w:after="0" w:line="267" w:lineRule="auto"/>
        <w:tabs>
          <w:tab w:leader="none" w:pos="174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70" w:lineRule="exact"/>
        <w:rPr>
          <w:rFonts w:ascii="Times New Roman" w:cs="Times New Roman" w:eastAsia="Times New Roman" w:hAnsi="Times New Roman"/>
          <w:sz w:val="17"/>
          <w:szCs w:val="17"/>
          <w:color w:val="auto"/>
        </w:rPr>
      </w:pPr>
    </w:p>
    <w:p>
      <w:pPr>
        <w:jc w:val="both"/>
        <w:ind w:firstLine="634"/>
        <w:spacing w:after="0" w:line="265" w:lineRule="auto"/>
        <w:tabs>
          <w:tab w:leader="none" w:pos="172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1" w:name="page122"/>
    <w:bookmarkEnd w:id="121"/>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13.8 Payments on Business Days</w:t>
      </w:r>
      <w:r>
        <w:rPr>
          <w:rFonts w:ascii="Times New Roman" w:cs="Times New Roman" w:eastAsia="Times New Roman" w:hAnsi="Times New Roman"/>
          <w:sz w:val="17"/>
          <w:szCs w:val="17"/>
          <w:color w:val="auto"/>
        </w:rPr>
        <w:t>. 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8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13.9 Conflict with Trust Indenture Act</w:t>
      </w:r>
      <w:r>
        <w:rPr>
          <w:rFonts w:ascii="Times New Roman" w:cs="Times New Roman" w:eastAsia="Times New Roman" w:hAnsi="Times New Roman"/>
          <w:sz w:val="17"/>
          <w:szCs w:val="17"/>
          <w:color w:val="auto"/>
        </w:rPr>
        <w:t>. If and to the extent that any provision of this Indenture limits, qualifies or conflicts with the duties imposed by Sections 310 to 317, inclusive, of the Trust Indenture Act, such imposed duties shall control.</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13.10 Counterparts</w:t>
      </w:r>
      <w:r>
        <w:rPr>
          <w:rFonts w:ascii="Times New Roman" w:cs="Times New Roman" w:eastAsia="Times New Roman" w:hAnsi="Times New Roman"/>
          <w:sz w:val="17"/>
          <w:szCs w:val="17"/>
          <w:color w:val="auto"/>
        </w:rPr>
        <w:t>. This Indenture may be executed in any number of counterparts, each of which shall be an original, but such counterparts shall together constitute but one and the same instrument.</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13.11 Separability</w:t>
      </w:r>
      <w:r>
        <w:rPr>
          <w:rFonts w:ascii="Times New Roman" w:cs="Times New Roman" w:eastAsia="Times New Roman" w:hAnsi="Times New Roman"/>
          <w:sz w:val="17"/>
          <w:szCs w:val="17"/>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13.12 Assignment</w:t>
      </w:r>
      <w:r>
        <w:rPr>
          <w:rFonts w:ascii="Times New Roman" w:cs="Times New Roman" w:eastAsia="Times New Roman" w:hAnsi="Times New Roman"/>
          <w:sz w:val="17"/>
          <w:szCs w:val="17"/>
          <w:color w:val="auto"/>
        </w:rPr>
        <w:t>. 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ARTICLE XIV.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SUBORDINATION OF SECURITIES</w:t>
      </w:r>
    </w:p>
    <w:p>
      <w:pPr>
        <w:spacing w:after="0" w:line="20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14.1 Subordination Terms</w:t>
      </w:r>
      <w:r>
        <w:rPr>
          <w:rFonts w:ascii="Times New Roman" w:cs="Times New Roman" w:eastAsia="Times New Roman" w:hAnsi="Times New Roman"/>
          <w:sz w:val="17"/>
          <w:szCs w:val="17"/>
          <w:color w:val="auto"/>
        </w:rPr>
        <w:t>. 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By:</w:t>
            </w:r>
          </w:p>
        </w:tc>
        <w:tc>
          <w:tcPr>
            <w:tcW w:w="5280" w:type="dxa"/>
            <w:vAlign w:val="bottom"/>
            <w:tcBorders>
              <w:bottom w:val="single" w:sz="8" w:color="auto"/>
            </w:tcBorders>
          </w:tcPr>
          <w:p>
            <w:pPr>
              <w:spacing w:after="0"/>
              <w:rPr>
                <w:sz w:val="19"/>
                <w:szCs w:val="19"/>
                <w:color w:val="auto"/>
              </w:rPr>
            </w:pPr>
          </w:p>
        </w:tc>
      </w:tr>
      <w:tr>
        <w:trPr>
          <w:trHeight w:val="184"/>
        </w:trPr>
        <w:tc>
          <w:tcPr>
            <w:tcW w:w="2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r>
      <w:tr>
        <w:trPr>
          <w:trHeight w:val="228"/>
        </w:trPr>
        <w:tc>
          <w:tcPr>
            <w:tcW w:w="28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42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24"/>
                <w:szCs w:val="24"/>
                <w:color w:val="auto"/>
              </w:rPr>
            </w:pPr>
          </w:p>
        </w:tc>
      </w:tr>
      <w:tr>
        <w:trPr>
          <w:trHeight w:val="210"/>
        </w:trPr>
        <w:tc>
          <w:tcPr>
            <w:tcW w:w="2800" w:type="dxa"/>
            <w:vAlign w:val="bottom"/>
          </w:tcPr>
          <w:p>
            <w:pPr>
              <w:spacing w:after="0"/>
              <w:rPr>
                <w:sz w:val="18"/>
                <w:szCs w:val="18"/>
                <w:color w:val="auto"/>
              </w:rPr>
            </w:pP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As Trustee</w:t>
            </w: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18"/>
                <w:szCs w:val="18"/>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8440" w:type="dxa"/>
            <w:vAlign w:val="bottom"/>
            <w:gridSpan w:val="2"/>
          </w:tcPr>
          <w:p>
            <w:pPr>
              <w:ind w:left="2840"/>
              <w:spacing w:after="0"/>
              <w:rPr>
                <w:sz w:val="20"/>
                <w:szCs w:val="20"/>
                <w:color w:val="auto"/>
              </w:rPr>
            </w:pPr>
            <w:r>
              <w:rPr>
                <w:rFonts w:ascii="Times New Roman" w:cs="Times New Roman" w:eastAsia="Times New Roman" w:hAnsi="Times New Roman"/>
                <w:sz w:val="17"/>
                <w:szCs w:val="17"/>
                <w:color w:val="auto"/>
              </w:rPr>
              <w:t>By:  </w:t>
            </w:r>
          </w:p>
        </w:tc>
      </w:tr>
      <w:tr>
        <w:trPr>
          <w:trHeight w:val="185"/>
        </w:trPr>
        <w:tc>
          <w:tcPr>
            <w:tcW w:w="2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160" w:type="dxa"/>
            <w:vAlign w:val="bottom"/>
          </w:tcPr>
          <w:p>
            <w:pPr>
              <w:ind w:left="2840"/>
              <w:spacing w:after="0"/>
              <w:rPr>
                <w:sz w:val="20"/>
                <w:szCs w:val="20"/>
                <w:color w:val="auto"/>
              </w:rPr>
            </w:pPr>
            <w:r>
              <w:rPr>
                <w:rFonts w:ascii="Times New Roman" w:cs="Times New Roman" w:eastAsia="Times New Roman" w:hAnsi="Times New Roman"/>
                <w:sz w:val="17"/>
                <w:szCs w:val="17"/>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655"/>
        </w:trPr>
        <w:tc>
          <w:tcPr>
            <w:tcW w:w="2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7"/>
                <w:szCs w:val="17"/>
                <w:color w:val="auto"/>
              </w:rPr>
              <w:t>30</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288290</wp:posOffset>
            </wp:positionV>
            <wp:extent cx="5240020" cy="823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2400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203" w:lineRule="auto"/>
        <w:rPr>
          <w:sz w:val="20"/>
          <w:szCs w:val="20"/>
          <w:color w:val="auto"/>
        </w:rPr>
      </w:pPr>
      <w:r>
        <w:rPr>
          <w:rFonts w:ascii="Times New Roman" w:cs="Times New Roman" w:eastAsia="Times New Roman" w:hAnsi="Times New Roman"/>
          <w:sz w:val="17"/>
          <w:szCs w:val="17"/>
          <w:color w:val="auto"/>
        </w:rPr>
        <w:t>595 Howe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British Columbia, V6C 2T5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 TMC the metals company Inc. – Form S-3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2"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We have acted as British Columbia counsel to TMC the metals company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in connection with the preparation and filing of a Registration Statement on Form S-3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under the United States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relating to the potential issuance and sale by the Corporation of up to an aggregate of US $100 million of securities of the Corporation (collectively,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pursuant to one or more prospectus supplements (each a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to the Registration Statement to be filed by the Corporation from time to time. We have examined and relied upon (a) the Registration Statement, (b) the Corporation’s Certificate of Continuation, Notice of Articles and Articles, as currently in effect, and (c) originals or copies certified to our satisfaction of such records, documents, certificates, memoranda and other instruments as in our judgment are necessary or appropriate to enable us to render the opinion expressed below. 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 In our capacity as counsel to the Corporation in connection with the registration of the Registration Statement, we are familiar with the authorizations or proceedings made or taken and proposed to be made or taken by the Corporation in connection with the authorization and issuance of the Securities. For purposes of this opinion, we have assumed that such proceedings will be timely and properly completed, in accordance with all requirements of the Applicable Law (as defined below) and the constating documents of the Corporation (as then in effect), in the manner presently proposed. As to questions of fact material to our opinions, we have relied upon certificates of officers of the Corporation and of public officials.</w:t>
      </w:r>
    </w:p>
    <w:p>
      <w:pPr>
        <w:spacing w:after="0" w:line="18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Securities of the Corporation which may be offered under the Registration Statement include Common shares without par value and with special rights or restrictions attached (the “</w:t>
      </w:r>
      <w:r>
        <w:rPr>
          <w:rFonts w:ascii="Times New Roman" w:cs="Times New Roman" w:eastAsia="Times New Roman" w:hAnsi="Times New Roman"/>
          <w:sz w:val="17"/>
          <w:szCs w:val="17"/>
          <w:b w:val="1"/>
          <w:bCs w:val="1"/>
          <w:color w:val="auto"/>
        </w:rPr>
        <w:t>Offered Common Shares</w:t>
      </w:r>
      <w:r>
        <w:rPr>
          <w:rFonts w:ascii="Times New Roman" w:cs="Times New Roman" w:eastAsia="Times New Roman" w:hAnsi="Times New Roman"/>
          <w:sz w:val="17"/>
          <w:szCs w:val="17"/>
          <w:color w:val="auto"/>
        </w:rPr>
        <w:t>”) and Preferred shares without par value and with special rights or restrictions attached (the “</w:t>
      </w:r>
      <w:r>
        <w:rPr>
          <w:rFonts w:ascii="Times New Roman" w:cs="Times New Roman" w:eastAsia="Times New Roman" w:hAnsi="Times New Roman"/>
          <w:sz w:val="17"/>
          <w:szCs w:val="17"/>
          <w:b w:val="1"/>
          <w:bCs w:val="1"/>
          <w:color w:val="auto"/>
        </w:rPr>
        <w:t>Offered Preferred Shares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Our opinion herein is limited to the laws of the Province of British Columbia and the federal laws of Canada applicable therein now in effect (the “</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1361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ind w:left="10780"/>
        <w:spacing w:after="0"/>
        <w:rPr>
          <w:sz w:val="20"/>
          <w:szCs w:val="20"/>
          <w:color w:val="auto"/>
        </w:rPr>
      </w:pPr>
      <w:r>
        <w:rPr>
          <w:rFonts w:ascii="Times New Roman" w:cs="Times New Roman" w:eastAsia="Times New Roman" w:hAnsi="Times New Roman"/>
          <w:sz w:val="17"/>
          <w:szCs w:val="17"/>
          <w:color w:val="auto"/>
        </w:rPr>
        <w:t>Page 2</w:t>
      </w:r>
    </w:p>
    <w:p>
      <w:pPr>
        <w:spacing w:after="0" w:line="22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w:t>
      </w:r>
    </w:p>
    <w:p>
      <w:pPr>
        <w:spacing w:after="0" w:line="1" w:lineRule="exact"/>
        <w:rPr>
          <w:sz w:val="20"/>
          <w:szCs w:val="20"/>
          <w:color w:val="auto"/>
        </w:rPr>
      </w:pPr>
    </w:p>
    <w:p>
      <w:pPr>
        <w:jc w:val="both"/>
        <w:ind w:firstLine="5"/>
        <w:spacing w:after="0" w:line="258" w:lineRule="auto"/>
        <w:tabs>
          <w:tab w:leader="none" w:pos="28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has complied and will comply with the laws of all relevant jurisdictions in connection with the transactions contemplated by, and the performance of its obligations under, the Registration Statement; (iii) the Registration Statement and any amendments thereto (including any post-effective amendments thereto) has become effective under the Act; (iv) that an appropriate Prospectus Supplement or term sheet with respect to the Securities offered thereby has been prepared, delivered and filed in compliance with the Act and the applicable rules and regulations thereunder; (v) that a definitive purchase, underwriting or similar agreement (a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with respect to any offered Securities will have been duly authorized and validly executed and delivered by the Corporation and the other parties thereto and will be filed with the United States Securities and Exchange Commission on a Current Report on Form 8-K or other applicable periodic report in the manner contemplated in the Registration Statement or applicable Prospectus Supplement; (vi) that the Securities will be issued and sold in compliance with applicable U.S. and Canadian federal, state, and provincial securities laws, as applicable, and in the manner stated in the Registration Statement and the applicable Prospectus Supplement; (vii) that any Securities issuable upon conversion, exchange, redemption or exercise of any Securities being offered, or any Securities being offered that are convertible, exchangeable, redeemable or exercisable for any Securities, will be duly authorized, created and, if appropriate, reserved for issuance upon such conversion, exchange, redemption or exercise; (viii) with respect to our opinion as to the Offered Common Shares, we have assumed that, at the time of issuance and sale, a sufficient number of shares of Common shares in the capital of the Corporation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are authorized and available for issuance under the maximum number of Common Shares the Corporation is authorized to issue and that the consideration for the issuance and sale of the Offered Common Shares is in an amount that is not less than the par value of the Common Shares, if any; and (ix) with respect to our opinion as to the Offered Preferred Shares, we have assumed that, at the time of issuance and sale, a sufficient number of shares of Preferred shares in the capital of the Corporation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are authorized and available for issuance under the maximum number of Preferred Shares the Corporation is authorized to issue and that the consideration for the issuance and sale of the Offered Preferred Shares is in an amount that is not less than the par value of the Preferred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advice previously received from the Corporation, that the applicable agreements relating to any of the Securities will be governed by the laws of a jurisdiction outside of Canada.</w:t>
      </w:r>
    </w:p>
    <w:p>
      <w:pPr>
        <w:spacing w:after="0" w:line="3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Based on and subject to the foregoing assumptions and qualifications we are of the opinion that:</w:t>
      </w:r>
    </w:p>
    <w:p>
      <w:pPr>
        <w:spacing w:after="0" w:line="224" w:lineRule="exact"/>
        <w:rPr>
          <w:sz w:val="20"/>
          <w:szCs w:val="20"/>
          <w:color w:val="auto"/>
        </w:rPr>
      </w:pPr>
    </w:p>
    <w:p>
      <w:pPr>
        <w:jc w:val="both"/>
        <w:ind w:firstLine="1262"/>
        <w:spacing w:after="0" w:line="259" w:lineRule="auto"/>
        <w:tabs>
          <w:tab w:leader="none" w:pos="171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issuance of any Offered Common Shares which may be offered pursuant to the Registration Statement, when (a) the issuance of the Offered Common Shares as fully-paid and non-assessable Common Shares, and the sale of Offered Common Shares, and, if certificated, the certificates representing the Offered Common Shares have been duly authorized and approved by all necessary corporate action in conformity with the constating documents (as then in effect), and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color w:val="auto"/>
        </w:rPr>
        <w:t>BCBCA</w:t>
      </w:r>
      <w:r>
        <w:rPr>
          <w:rFonts w:ascii="Times New Roman" w:cs="Times New Roman" w:eastAsia="Times New Roman" w:hAnsi="Times New Roman"/>
          <w:sz w:val="17"/>
          <w:szCs w:val="17"/>
          <w:color w:val="auto"/>
        </w:rPr>
        <w:t>”) (as then in effect), and does not violate any Applicable Law or the constating documents (as then in effect)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Common Shares, has been received by the Corporation; (c) the terms of the issuance and sale of the Offered Common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and (d) if certificated, the certificates representing the Offered Common Shares have been duly executed and delivered by the proper directors or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central securities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Common Shares), the Offered Common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1361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color w:val="auto"/>
        </w:rPr>
        <w:t>Page 3</w:t>
      </w:r>
    </w:p>
    <w:p>
      <w:pPr>
        <w:spacing w:after="0" w:line="224" w:lineRule="exact"/>
        <w:rPr>
          <w:sz w:val="20"/>
          <w:szCs w:val="20"/>
          <w:color w:val="auto"/>
        </w:rPr>
      </w:pPr>
    </w:p>
    <w:p>
      <w:pPr>
        <w:jc w:val="both"/>
        <w:ind w:firstLine="1262"/>
        <w:spacing w:after="0" w:line="259" w:lineRule="auto"/>
        <w:tabs>
          <w:tab w:leader="none" w:pos="171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issuance of any Offered Preferred Shares which may be offered pursuant to the Registration Statement, when (a) the alteration of the authorized share structure of the Corporation to create the Preferred Shares, including attaching any special rights and restrictions, and the issuance of the Offered Preferred Shares as fully-paid and non-assessable Preferred Shares, and the sale of Offered Preferred Shares, and, if certificated, the certificates representing the Offered Preferred Shares have been duly authorized and approved by all necessary corporate action in conformity with the constating documents (as then in effect), and the BCBCA (as then in effect), and does not violate any Applicable Law or the constating documents (as then in effect)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Preferred Shares, has been received by the Corporation; (c) the terms of the issuance and sale of the Offered Preferred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(d) an appropriate notice of alteration relating to a class or series of the Preferred Shares to be sold under the Registration Statement has been duly authorized and adopted and filed with the registrar under the BCBCA and the registrar has furnished to the Corporation a copy of the notice of articles as altered prior to the issuance of the Offered Preferred Shares and the Preferred Shares, including the attachment of an special rights and restrictions, have been duly and validly been authorized, created and approved pursuant to the constating documents (as then in effect), and the BCBCA (as then in effect), and the creation of such Preferred Shares does not violate any Applicable Law or result in a default under or breach of any agreement or instrument binding upon the Corporation and complies with any requirement or restriction imposed by any court or governmental body of Canada or British Columbia having jurisdiction over the Corporation; and (e) if certificated, the certificates representing the Offered Preferred Shares have been duly executed and delivered by the proper directors or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central securities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Preferred Shares), the Offered Preferred Shares will be validly issued, fully paid, and non-assessable.</w:t>
      </w:r>
    </w:p>
    <w:p>
      <w:pPr>
        <w:spacing w:after="0" w:line="17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We hereby consent to the use of our name in, and the filing of this opinion as an exhibit to, the Registration Statement.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spacing w:after="0" w:line="1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Yours truly,</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173990</wp:posOffset>
            </wp:positionV>
            <wp:extent cx="698500" cy="890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698500" cy="890270"/>
                    </a:xfrm>
                    <a:prstGeom prst="rect">
                      <a:avLst/>
                    </a:prstGeom>
                    <a:noFill/>
                  </pic:spPr>
                </pic:pic>
              </a:graphicData>
            </a:graphic>
          </wp:anchor>
        </w:drawing>
      </w:r>
    </w:p>
    <w:p>
      <w:pPr>
        <w:spacing w:after="0" w:line="26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One Financial Center</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Boston, MA 02111</w:t>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617 542 6000</w:t>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595 Howe Street, 10th Floor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British Columbia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V6C 2T5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acted as legal counsel to TMC the metals company Inc., a corporation existing under the laws of British Columbia, Canada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164" w:lineRule="exact"/>
        <w:rPr>
          <w:sz w:val="20"/>
          <w:szCs w:val="20"/>
          <w:color w:val="auto"/>
        </w:rPr>
      </w:pPr>
    </w:p>
    <w:p>
      <w:pPr>
        <w:ind w:left="1000" w:hanging="546"/>
        <w:spacing w:after="0"/>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no par value (the “Common Shares”);</w:t>
      </w:r>
    </w:p>
    <w:p>
      <w:pPr>
        <w:spacing w:after="0" w:line="223" w:lineRule="exact"/>
        <w:rPr>
          <w:rFonts w:ascii="Times New Roman" w:cs="Times New Roman" w:eastAsia="Times New Roman" w:hAnsi="Times New Roman"/>
          <w:sz w:val="17"/>
          <w:szCs w:val="17"/>
          <w:color w:val="auto"/>
        </w:rPr>
      </w:pPr>
    </w:p>
    <w:p>
      <w:pPr>
        <w:ind w:left="1000" w:hanging="546"/>
        <w:spacing w:after="0"/>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no par value (the “Preferred Shares”);</w:t>
      </w:r>
    </w:p>
    <w:p>
      <w:pPr>
        <w:spacing w:after="0" w:line="223" w:lineRule="exact"/>
        <w:rPr>
          <w:rFonts w:ascii="Times New Roman" w:cs="Times New Roman" w:eastAsia="Times New Roman" w:hAnsi="Times New Roman"/>
          <w:sz w:val="17"/>
          <w:szCs w:val="17"/>
          <w:color w:val="auto"/>
        </w:rPr>
      </w:pPr>
    </w:p>
    <w:p>
      <w:pPr>
        <w:jc w:val="both"/>
        <w:ind w:left="1000" w:hanging="546"/>
        <w:spacing w:after="0" w:line="274"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4.7 to the Registration Statement, as such indenture may be amended or supplemented from time to time (the “Senior Indenture”);</w:t>
      </w:r>
    </w:p>
    <w:p>
      <w:pPr>
        <w:spacing w:after="0" w:line="378" w:lineRule="exact"/>
        <w:rPr>
          <w:rFonts w:ascii="Times New Roman" w:cs="Times New Roman" w:eastAsia="Times New Roman" w:hAnsi="Times New Roman"/>
          <w:sz w:val="17"/>
          <w:szCs w:val="17"/>
          <w:color w:val="auto"/>
        </w:rPr>
      </w:pPr>
    </w:p>
    <w:p>
      <w:pPr>
        <w:jc w:val="both"/>
        <w:ind w:left="1000" w:hanging="546"/>
        <w:spacing w:after="0" w:line="270"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4.8 to the Registration Statement, as such indenture may be amended or supplemented from time to time (the “Subordinated Indenture”);</w:t>
      </w:r>
    </w:p>
    <w:p>
      <w:pPr>
        <w:spacing w:after="0" w:line="168" w:lineRule="exact"/>
        <w:rPr>
          <w:rFonts w:ascii="Times New Roman" w:cs="Times New Roman" w:eastAsia="Times New Roman" w:hAnsi="Times New Roman"/>
          <w:sz w:val="17"/>
          <w:szCs w:val="17"/>
          <w:color w:val="auto"/>
        </w:rPr>
      </w:pPr>
    </w:p>
    <w:p>
      <w:pPr>
        <w:jc w:val="both"/>
        <w:ind w:left="1000" w:hanging="546"/>
        <w:spacing w:after="0" w:line="276"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to purchase Common Shares, Preferred Shares, and/or Debt Securities (the “Warrants”), which may be issued under warrant agreements, to be dated on or about the date of the first issuance of the applicable Warrants thereunder, by and between the Company and a warrant agent to be selected by the Company (each, a “Warrant Agreement”); and</w:t>
      </w:r>
    </w:p>
    <w:p>
      <w:pPr>
        <w:spacing w:after="0" w:line="163" w:lineRule="exact"/>
        <w:rPr>
          <w:rFonts w:ascii="Times New Roman" w:cs="Times New Roman" w:eastAsia="Times New Roman" w:hAnsi="Times New Roman"/>
          <w:sz w:val="17"/>
          <w:szCs w:val="17"/>
          <w:color w:val="auto"/>
        </w:rPr>
      </w:pPr>
    </w:p>
    <w:p>
      <w:pPr>
        <w:jc w:val="both"/>
        <w:ind w:left="1000" w:hanging="546"/>
        <w:spacing w:after="0" w:line="276"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comprised of one or more Common Shares, Preferred Shares, Debt Securities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Common Shares, the Preferred Shares, the Debt Securities, the Warrants and the Units are collectively referred to herein as the “Securities.” The Registration Statement relates to the registration of the Securities to be offered and sold by the Company from time to time on a delayed or continuous basis pursuant to Rule 415 under the Securities Act.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79" w:lineRule="exact"/>
        <w:rPr>
          <w:sz w:val="20"/>
          <w:szCs w:val="20"/>
          <w:color w:val="auto"/>
        </w:rPr>
      </w:pPr>
    </w:p>
    <w:p>
      <w:pPr>
        <w:jc w:val="center"/>
        <w:ind w:right="-19"/>
        <w:spacing w:after="0"/>
        <w:tabs>
          <w:tab w:leader="none" w:pos="160" w:val="left"/>
          <w:tab w:leader="none" w:pos="160" w:val="left"/>
          <w:tab w:leader="none" w:pos="180" w:val="left"/>
          <w:tab w:leader="none" w:pos="160" w:val="left"/>
          <w:tab w:leader="none" w:pos="140" w:val="left"/>
          <w:tab w:leader="none" w:pos="160" w:val="left"/>
          <w:tab w:leader="none" w:pos="160" w:val="left"/>
        </w:tabs>
        <w:rPr>
          <w:sz w:val="20"/>
          <w:szCs w:val="20"/>
          <w:color w:val="auto"/>
        </w:rPr>
      </w:pPr>
      <w:r>
        <w:rPr>
          <w:rFonts w:ascii="Times New Roman" w:cs="Times New Roman" w:eastAsia="Times New Roman" w:hAnsi="Times New Roman"/>
          <w:sz w:val="17"/>
          <w:szCs w:val="17"/>
          <w:color w:val="auto"/>
        </w:rPr>
        <w:t>BOSTON</w:t>
        <w:tab/>
        <w:t>LOS ANGELES</w:t>
        <w:tab/>
        <w:t>MIAMI</w:t>
        <w:tab/>
        <w:t>NEW YORK</w:t>
        <w:tab/>
        <w:t>SAN DIEGO</w:t>
        <w:tab/>
        <w:t>SAN FRANCISCO</w:t>
        <w:tab/>
        <w:t>TORONTO</w:t>
        <w:tab/>
        <w:t>WASHINGTON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1361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-110490</wp:posOffset>
            </wp:positionV>
            <wp:extent cx="448945" cy="565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448945" cy="5657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this opinion, we have examined the Company’s certificate of continuation, the notice of articles and articles, each as currently in effect; such other records of the corporate proceedings of the Company and certificates of the Company’s officers as we have deemed relevant; and the Registration Statement and the exhibits thereto.</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the truth and correctness of any representations and warranties contained therein, and that the Warrant Agreements and the Unit Agreements shall be governed by the laws of the State of New York.</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laws, in the manner presently proposed.</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Company and the respective trustees thereunder and the Warrant Agreement and Unit Agreement will be duly authorized, executed, and delivered by the Company and the warrant agent and unit agent, respectively, thereunder. With respect to our opinion as to the Securities convertible into or exercisable for Common Shares, we have assumed that, at the time of issuance and sale, a sufficient number of Common Shares are authorized and available for issuance under the Company’s notice of articles and articles as then in effect and that the consideration for the issuance and sale of the Debt Securities convertible into Common Shares or Warrants or any Units of such Securities is in an amount that is not less than an amount required by applicable law. With respect to our opinion as to the Securities convertible into or exercisable for Preferred Shares, we have assumed that, at the time of issuance and sale, a sufficient number of Preferred Shares are authorized, designated and available for issuance and that the consideration for the issuance and sale of the Debt Securities convertible into Preferred Shares or Warrants or any Units of such Securities is in an amount that is not less than an amount required by applicable law. We have also assumed that any Warrants and Units offered under the Registration Statement, and the related Warrant Agreement and Unit Agreement, as applicable, will be executed in the forms to be filed as exhibits to the Registration Statement or incorporated by reference therein. We have not independently verified any of the foregoing assumptions.</w:t>
      </w:r>
    </w:p>
    <w:p>
      <w:pPr>
        <w:spacing w:after="0" w:line="1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It is understood that this opinion is to be used only in connection with the offer and sale of Debt Securities, the Warrants and the Units while the Registration Statement is effective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1361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-110490</wp:posOffset>
            </wp:positionV>
            <wp:extent cx="448945" cy="565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448945" cy="5657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opinion is limited to the Federal laws of the United States of America and the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 With respect to all matters of the laws of the Province of British Columbia and the federal laws of Canada applicable therein, we understand that you are relying upon the opinion, dated the date hereof, of Canadian counsel to the Company, and our opinion is subject to the same assumptions, qualifications and limitations with respect to such matters as are contained in such opinion of Canadian counsel.</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the foregoing, and in reliance thereon, and subject to the qualifications herein stated, we are of the opinion that:</w:t>
      </w:r>
    </w:p>
    <w:p>
      <w:pPr>
        <w:spacing w:after="0" w:line="224" w:lineRule="exact"/>
        <w:rPr>
          <w:sz w:val="20"/>
          <w:szCs w:val="20"/>
          <w:color w:val="auto"/>
        </w:rPr>
      </w:pPr>
    </w:p>
    <w:p>
      <w:pPr>
        <w:jc w:val="both"/>
        <w:ind w:firstLine="5"/>
        <w:spacing w:after="0" w:line="260" w:lineRule="auto"/>
        <w:tabs>
          <w:tab w:leader="none" w:pos="56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Debt Securities, when (i) specifically authorized for issuance by the Company’s Board of Directors or an authorized Committee thereof and, if applicable, the requisite securityholders of the Company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spacing w:after="0" w:line="176" w:lineRule="exact"/>
        <w:rPr>
          <w:rFonts w:ascii="Times New Roman" w:cs="Times New Roman" w:eastAsia="Times New Roman" w:hAnsi="Times New Roman"/>
          <w:sz w:val="17"/>
          <w:szCs w:val="17"/>
          <w:color w:val="auto"/>
        </w:rPr>
      </w:pPr>
    </w:p>
    <w:p>
      <w:pPr>
        <w:jc w:val="both"/>
        <w:ind w:firstLine="5"/>
        <w:spacing w:after="0" w:line="260" w:lineRule="auto"/>
        <w:tabs>
          <w:tab w:leader="none" w:pos="59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1361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6690360</wp:posOffset>
            </wp:positionH>
            <wp:positionV relativeFrom="paragraph">
              <wp:posOffset>-110490</wp:posOffset>
            </wp:positionV>
            <wp:extent cx="448945" cy="5657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448945" cy="56578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30,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258" w:lineRule="exact"/>
        <w:rPr>
          <w:sz w:val="20"/>
          <w:szCs w:val="20"/>
          <w:color w:val="auto"/>
        </w:rPr>
      </w:pPr>
    </w:p>
    <w:p>
      <w:pPr>
        <w:jc w:val="both"/>
        <w:ind w:firstLine="5"/>
        <w:spacing w:after="0" w:line="261" w:lineRule="auto"/>
        <w:tabs>
          <w:tab w:leader="none" w:pos="4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spacing w:after="0" w:line="3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Mintz, Levin, Cohn, Ferris, Glovsky and Popeo, P.C.</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1361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3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1"/>
          <w:szCs w:val="21"/>
          <w:color w:val="auto"/>
        </w:rPr>
        <w:t>We consent to the reference to our firm under the caption "Experts" in this Registration Statement (Form S-3) and related prospectus of TMC the metals company Inc. for the registration of common shares, preferred shares, debt securities, warrants, and units and to the incorporation by reference therein of our report dated March 27, 2023 with respect to the consolidated financial statements of TMC the metals company Inc. included in its Annual Report (Form 10-K) for the year ended December 31, 2022, filed with the Securities and Exchange Commission.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Chartered Professional Accountants, Licensed Public Accountants</w:t>
      </w:r>
    </w:p>
    <w:p>
      <w:pPr>
        <w:spacing w:after="0" w:line="234" w:lineRule="auto"/>
        <w:rPr>
          <w:sz w:val="20"/>
          <w:szCs w:val="20"/>
          <w:color w:val="auto"/>
        </w:rPr>
      </w:pPr>
      <w:r>
        <w:rPr>
          <w:rFonts w:ascii="Times New Roman" w:cs="Times New Roman" w:eastAsia="Times New Roman" w:hAnsi="Times New Roman"/>
          <w:sz w:val="21"/>
          <w:szCs w:val="21"/>
          <w:color w:val="auto"/>
        </w:rPr>
        <w:t>Vancouver, Canada</w:t>
      </w:r>
    </w:p>
    <w:p>
      <w:pPr>
        <w:spacing w:after="0"/>
        <w:rPr>
          <w:sz w:val="20"/>
          <w:szCs w:val="20"/>
          <w:color w:val="auto"/>
        </w:rPr>
      </w:pPr>
      <w:r>
        <w:rPr>
          <w:rFonts w:ascii="Times New Roman" w:cs="Times New Roman" w:eastAsia="Times New Roman" w:hAnsi="Times New Roman"/>
          <w:sz w:val="21"/>
          <w:szCs w:val="21"/>
          <w:color w:val="auto"/>
        </w:rPr>
        <w:t>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1361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179 Turbot Street, Brisbane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Queensland, 4060, Australia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AMC Consultants Pty Ltd (“AMC”), in connection with the Registration Statement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140" w:hanging="321"/>
        <w:spacing w:after="0" w:line="264"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NORI Property, Clarion-Clipperton Zone, for Deep Green Metals Inc.” (the “NORI Technical Report”), with an effective date of March 17,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840" w:hanging="321"/>
        <w:spacing w:after="0" w:line="257"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ind w:left="640" w:right="420" w:hanging="321"/>
        <w:spacing w:after="0" w:line="274"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is responsible for authoring, and this consent pertains to, the following Sections of the NORI Technical Report:</w:t>
      </w:r>
    </w:p>
    <w:p>
      <w:pPr>
        <w:spacing w:after="0" w:line="224" w:lineRule="exact"/>
        <w:rPr>
          <w:sz w:val="20"/>
          <w:szCs w:val="20"/>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 Summary</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 Introduction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 Property description and location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 Accessibility, climate, local resources, infrastructure, and physiography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 History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8.2: Sample preparation and assaying</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8.3: Quality assurance and quality control procedures 2018</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8.4: Quality assurance and quality control procedures 2019</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8.5: Moisture Content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9: Data verification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 Mineral Resource estimates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12: Mineral Reserve estimates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13.3: Geotechnical considerations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13.7: Life of Mine nodule production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14.2: Project Zero</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15.1: On-shore infrastructure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Market studies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17: Environmental studies, permitting and social or community impact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 (except 18.3.1, 18.3.2, 18.6.1, 18.6.6): Capital and operating costs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19: Economic analysis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20: Adjacent properties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21: Other relevant data and information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Roderick David Carlson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Manager, Brisbane Office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61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23.5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179 Turbot Street, Brisbane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Queensland, 4060, Australia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AMC Consultants Pty Ltd (“AMC”), in connection with the Registration Statement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60" w:hanging="321"/>
        <w:spacing w:after="0" w:line="264"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840" w:hanging="321"/>
        <w:spacing w:after="0" w:line="257"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TOML Technical Report; and</w:t>
      </w:r>
    </w:p>
    <w:p>
      <w:pPr>
        <w:ind w:left="640" w:right="360" w:hanging="321"/>
        <w:spacing w:after="0" w:line="274"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is responsible for authoring, and this consent pertains to, the following Sections of the TOML Technical Report:</w:t>
      </w:r>
    </w:p>
    <w:p>
      <w:pPr>
        <w:spacing w:after="0" w:line="224" w:lineRule="exact"/>
        <w:rPr>
          <w:sz w:val="20"/>
          <w:szCs w:val="20"/>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 Executive Summary</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 Introduction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 Property Description and Location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 Sample preparation, analyses and security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9: Data verification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11.1 – 11.8: Mineral Resources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11.9.1: Geological setting and mineralisation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11.9.2: Exploration methods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11.9.3: Sample preparation analysis and security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11.9.4: Mineral Resources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11.9.8: Market studies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11.9.9: Environmental studies, permitting and social or community impact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12: Mineral Reserve Estimates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Market Studies and Contracts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17: Environmental Studies, Permitting, and Social or Community Impact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 Capital and Operating Cost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19: Economic Analysis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20: Adjacent Properties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21: Other Relevant Data and Information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Roderick David Carlson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Manager, Brisbane Office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6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Exhibit 23.6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104-3300 Highway 7, Unit 384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Concord, ON L4K 0G2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Canadian Engineering Associates Ltd (“CEA”), in connection with the Registration Statement Amendment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180" w:hanging="321"/>
        <w:spacing w:after="0" w:line="264" w:lineRule="auto"/>
        <w:tabs>
          <w:tab w:leader="none" w:pos="6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60" w:hanging="321"/>
        <w:spacing w:after="0" w:line="257" w:lineRule="auto"/>
        <w:tabs>
          <w:tab w:leader="none" w:pos="6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ind w:left="640" w:right="660" w:hanging="321"/>
        <w:spacing w:after="0" w:line="257" w:lineRule="auto"/>
        <w:tabs>
          <w:tab w:leader="none" w:pos="6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ind w:left="640" w:right="20" w:hanging="321"/>
        <w:spacing w:after="0" w:line="265" w:lineRule="auto"/>
        <w:tabs>
          <w:tab w:leader="none" w:pos="6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CEA is responsible for, and this consent pertains to, the following Sections of the NORI Technical Report:</w:t>
      </w:r>
    </w:p>
    <w:p>
      <w:pPr>
        <w:spacing w:after="0" w:line="224" w:lineRule="exact"/>
        <w:rPr>
          <w:sz w:val="20"/>
          <w:szCs w:val="20"/>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 Mineral processing and metallurgical testing</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14.1: Process design basis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14.3: Project One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18.3.2: On-shore capital cost for Project One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18.6.6: On-shore operating costs – Project One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CEA is responsible for, and this consent pertains to, the following Sections of the TOML Technical Report:</w:t>
      </w:r>
    </w:p>
    <w:p>
      <w:pPr>
        <w:spacing w:after="0" w:line="224" w:lineRule="exact"/>
        <w:rPr>
          <w:sz w:val="20"/>
          <w:szCs w:val="20"/>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 Mineral processing and metallurgical testing</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11.9.6: Mineral processing and metallurgical testing</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 Recovery Methods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231"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Cameron Harris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6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23.7</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Deep Reach Technology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10050 Cash Road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Stafford, TX 77477 USA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880"/>
        <w:spacing w:after="0" w:line="296" w:lineRule="auto"/>
        <w:rPr>
          <w:sz w:val="20"/>
          <w:szCs w:val="20"/>
          <w:color w:val="auto"/>
        </w:rPr>
      </w:pPr>
      <w:r>
        <w:rPr>
          <w:rFonts w:ascii="Times New Roman" w:cs="Times New Roman" w:eastAsia="Times New Roman" w:hAnsi="Times New Roman"/>
          <w:sz w:val="17"/>
          <w:szCs w:val="17"/>
          <w:color w:val="auto"/>
        </w:rPr>
        <w:t>Deep Reach Technology Inc. (“DRT”), in connection with the Registration Statement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180" w:hanging="321"/>
        <w:spacing w:after="0" w:line="264" w:lineRule="auto"/>
        <w:tabs>
          <w:tab w:leader="none" w:pos="6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60" w:hanging="321"/>
        <w:spacing w:after="0" w:line="257" w:lineRule="auto"/>
        <w:tabs>
          <w:tab w:leader="none" w:pos="6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ind w:left="640" w:right="660" w:hanging="321"/>
        <w:spacing w:after="0" w:line="257" w:lineRule="auto"/>
        <w:tabs>
          <w:tab w:leader="none" w:pos="6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ind w:left="640" w:right="20" w:hanging="321"/>
        <w:spacing w:after="0" w:line="265" w:lineRule="auto"/>
        <w:tabs>
          <w:tab w:leader="none" w:pos="6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DRT is responsible for authoring, and this consent pertains to, the following Sections of the NORI Technical Report:</w:t>
      </w:r>
    </w:p>
    <w:p>
      <w:pPr>
        <w:spacing w:after="0" w:line="224" w:lineRule="exact"/>
        <w:rPr>
          <w:sz w:val="20"/>
          <w:szCs w:val="20"/>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13.1: Development plan</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13.2: Off-shore system concept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13.4: Collector Test and Hidden Gem conversion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13.5: Project Zero</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13.6: Project One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15.2: Nodule transport</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18.3.1: Off-shore capital costs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18.6.1: Off-shore operating costs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DRT is responsible for authoring, and this consent pertains to, the following Sections of the TOML Technical Report:</w:t>
      </w:r>
    </w:p>
    <w:p>
      <w:pPr>
        <w:spacing w:after="0" w:line="224" w:lineRule="exact"/>
        <w:rPr>
          <w:sz w:val="20"/>
          <w:szCs w:val="20"/>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11.9.5: Mining Methods</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11.9.7: Infrastructure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 Mining Methods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15: Project Infrastructure</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Edwin Halkyard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Deep Reach Technology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36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Exhibit 23.8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 - Marine Geoscience Innovation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Kalang Circuit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Coffs Harbour, 2450, NSW, Australia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Margin - Marine Geoscience Innovation (“MMGI”), in connection with the Registration Statement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180" w:hanging="321"/>
        <w:spacing w:after="0" w:line="264" w:lineRule="auto"/>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840" w:hanging="321"/>
        <w:spacing w:after="0" w:line="257" w:lineRule="auto"/>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ind w:left="640" w:right="420" w:hanging="321"/>
        <w:spacing w:after="0" w:line="274" w:lineRule="auto"/>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MMGI is responsible for authoring, and this consent pertains to, the following Sections of the NORI Technical Report:</w:t>
      </w:r>
    </w:p>
    <w:p>
      <w:pPr>
        <w:spacing w:after="0" w:line="224" w:lineRule="exact"/>
        <w:rPr>
          <w:sz w:val="20"/>
          <w:szCs w:val="20"/>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 Geological setting and mineralisation</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 Exploration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8.1: Security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Ian Robert Stevenson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 - Marine Geoscience Innovation,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1361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23.9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Michael Parianos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1/108 River Terrace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Kangaroo Point 4169, Australia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6" w:lineRule="exact"/>
        <w:rPr>
          <w:sz w:val="20"/>
          <w:szCs w:val="20"/>
          <w:color w:val="auto"/>
        </w:rPr>
      </w:pPr>
    </w:p>
    <w:p>
      <w:pPr>
        <w:ind w:right="840"/>
        <w:spacing w:after="0" w:line="296" w:lineRule="auto"/>
        <w:rPr>
          <w:sz w:val="20"/>
          <w:szCs w:val="20"/>
          <w:color w:val="auto"/>
        </w:rPr>
      </w:pPr>
      <w:r>
        <w:rPr>
          <w:rFonts w:ascii="Times New Roman" w:cs="Times New Roman" w:eastAsia="Times New Roman" w:hAnsi="Times New Roman"/>
          <w:sz w:val="17"/>
          <w:szCs w:val="17"/>
          <w:color w:val="auto"/>
        </w:rPr>
        <w:t>John Michael Parianos, in connection with the Registration Statement on Form S-3 of TMC the metals company Inc. and any further amendments or supplements and/or exhibits thereto (collectively, the “Form S-3”), consent to:</w:t>
      </w:r>
    </w:p>
    <w:p>
      <w:pPr>
        <w:spacing w:after="0" w:line="147" w:lineRule="exact"/>
        <w:rPr>
          <w:sz w:val="20"/>
          <w:szCs w:val="20"/>
          <w:color w:val="auto"/>
        </w:rPr>
      </w:pPr>
    </w:p>
    <w:p>
      <w:pPr>
        <w:ind w:left="640" w:right="60" w:hanging="321"/>
        <w:spacing w:after="0" w:line="264" w:lineRule="auto"/>
        <w:tabs>
          <w:tab w:leader="none" w:pos="6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spacing w:after="0" w:line="1" w:lineRule="exact"/>
        <w:rPr>
          <w:rFonts w:ascii="Times New Roman" w:cs="Times New Roman" w:eastAsia="Times New Roman" w:hAnsi="Times New Roman"/>
          <w:sz w:val="17"/>
          <w:szCs w:val="17"/>
          <w:color w:val="auto"/>
        </w:rPr>
      </w:pPr>
    </w:p>
    <w:p>
      <w:pPr>
        <w:ind w:left="640" w:right="860" w:hanging="321"/>
        <w:spacing w:after="0" w:line="257" w:lineRule="auto"/>
        <w:tabs>
          <w:tab w:leader="none" w:pos="6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my name, including my status as an expert or “qualified person” (as defined in Subpart 1300 of Regulation S-K promulgated by the Securities and Exchange Commission), in connection with the Form S-3 and any such TOML Technical Report; and</w:t>
      </w:r>
    </w:p>
    <w:p>
      <w:pPr>
        <w:ind w:left="640" w:right="440" w:hanging="321"/>
        <w:spacing w:after="0" w:line="274" w:lineRule="auto"/>
        <w:tabs>
          <w:tab w:leader="none" w:pos="6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am a qualified person responsible for authoring, and this consent pertains to, the following Sections of the TOML Technical Report:</w:t>
      </w:r>
    </w:p>
    <w:p>
      <w:pPr>
        <w:spacing w:after="0" w:line="224" w:lineRule="exact"/>
        <w:rPr>
          <w:sz w:val="20"/>
          <w:szCs w:val="20"/>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 Accessibility, Climate, Local Resources, Infrastructure and Physiography</w:t>
      </w:r>
    </w:p>
    <w:p>
      <w:pPr>
        <w:spacing w:after="0" w:line="3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 History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 Geological Setting and Mineralisation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 Exploration</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1: Summary</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22: Interpretation and conclusions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23: Recommendations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24: References</w:t>
      </w:r>
    </w:p>
    <w:p>
      <w:pPr>
        <w:spacing w:after="0" w:line="14"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Corresponding Subsections of Section 25: Reliance on information provided by the registrant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November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Michael Parianos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3568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61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7" w:name="page138"/>
    <w:bookmarkEnd w:id="137"/>
    <w:p>
      <w:pPr>
        <w:ind w:left="1038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Form S-3</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TMC the metal company Inc.</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Table I: Newly Registered and Carry Forward Securities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840" w:type="dxa"/>
            <w:vAlign w:val="bottom"/>
            <w:tcBorders>
              <w:top w:val="single" w:sz="8" w:color="auto"/>
              <w:left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Proposed</w:t>
            </w:r>
          </w:p>
        </w:tc>
        <w:tc>
          <w:tcPr>
            <w:tcW w:w="10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1140" w:type="dxa"/>
            <w:vAlign w:val="bottom"/>
            <w:tcBorders>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Previously Paid</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Maximum</w:t>
            </w: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In Connection</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Security</w:t>
            </w: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Calculation</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Maximum</w:t>
            </w:r>
          </w:p>
        </w:tc>
        <w:tc>
          <w:tcPr>
            <w:tcW w:w="10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Forward</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with Unsold</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80" w:type="dxa"/>
            <w:vAlign w:val="bottom"/>
            <w:tcBorders>
              <w:right w:val="single" w:sz="8" w:color="auto"/>
            </w:tcBorders>
            <w:vMerge w:val="continue"/>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or Carry</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Offering</w:t>
            </w:r>
          </w:p>
        </w:tc>
        <w:tc>
          <w:tcPr>
            <w:tcW w:w="10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Aggregate</w:t>
            </w:r>
          </w:p>
        </w:tc>
        <w:tc>
          <w:tcPr>
            <w:tcW w:w="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Forward</w:t>
            </w:r>
          </w:p>
        </w:tc>
        <w:tc>
          <w:tcPr>
            <w:tcW w:w="7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Initial</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Securities to be</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Class Title</w:t>
            </w: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6"/>
              </w:rPr>
              <w:t>Forward</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Price Per</w:t>
            </w:r>
          </w:p>
        </w:tc>
        <w:tc>
          <w:tcPr>
            <w:tcW w:w="10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Offering Price</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Fee Rate</w:t>
            </w:r>
          </w:p>
        </w:tc>
        <w:tc>
          <w:tcPr>
            <w:tcW w:w="9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Registration</w:t>
            </w:r>
          </w:p>
        </w:tc>
        <w:tc>
          <w:tcPr>
            <w:tcW w:w="6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8"/>
              </w:rPr>
              <w:t>Form</w:t>
            </w:r>
          </w:p>
        </w:tc>
        <w:tc>
          <w:tcPr>
            <w:tcW w:w="7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1"/>
              </w:rPr>
              <w:t>File</w:t>
            </w:r>
          </w:p>
        </w:tc>
        <w:tc>
          <w:tcPr>
            <w:tcW w:w="7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7"/>
              </w:rPr>
              <w:t>Effective</w:t>
            </w:r>
          </w:p>
        </w:tc>
        <w:tc>
          <w:tcPr>
            <w:tcW w:w="11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Carried</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Registered (2)</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Unit (3)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Forward</w:t>
            </w: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jc w:val="center"/>
              <w:ind w:right="250"/>
              <w:spacing w:after="0" w:line="137" w:lineRule="exact"/>
              <w:rPr>
                <w:sz w:val="20"/>
                <w:szCs w:val="20"/>
                <w:color w:val="auto"/>
              </w:rPr>
            </w:pPr>
            <w:r>
              <w:rPr>
                <w:rFonts w:ascii="Times New Roman" w:cs="Times New Roman" w:eastAsia="Times New Roman" w:hAnsi="Times New Roman"/>
                <w:sz w:val="14"/>
                <w:szCs w:val="14"/>
                <w:color w:val="auto"/>
              </w:rPr>
              <w:t>Newly Registered Securities</w:t>
            </w:r>
          </w:p>
        </w:tc>
        <w:tc>
          <w:tcPr>
            <w:tcW w:w="9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Common</w:t>
            </w: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8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Shares, no</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par value</w:t>
            </w: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Preferred</w:t>
            </w: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88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Shares, no</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par value</w:t>
            </w: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Debt</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Securities</w:t>
            </w: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Units (5)</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Unallocated</w:t>
            </w:r>
          </w:p>
        </w:tc>
        <w:tc>
          <w:tcPr>
            <w:tcW w:w="88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(Universal)</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$100,000,000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w w:val="99"/>
              </w:rPr>
              <w:t>0.00014760</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$14,760.00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Shelf</w:t>
            </w: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w:t>
            </w: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Previously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center"/>
              <w:ind w:left="410"/>
              <w:spacing w:after="0" w:line="137" w:lineRule="exact"/>
              <w:rPr>
                <w:sz w:val="20"/>
                <w:szCs w:val="20"/>
                <w:color w:val="auto"/>
              </w:rPr>
            </w:pPr>
            <w:r>
              <w:rPr>
                <w:rFonts w:ascii="Times New Roman" w:cs="Times New Roman" w:eastAsia="Times New Roman" w:hAnsi="Times New Roman"/>
                <w:sz w:val="14"/>
                <w:szCs w:val="14"/>
                <w:color w:val="auto"/>
                <w:w w:val="98"/>
              </w:rPr>
              <w:t>Carry Forward Securities</w:t>
            </w: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w:t>
            </w: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Previously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gridSpan w:val="3"/>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Total Offering Amount</w:t>
            </w:r>
          </w:p>
        </w:tc>
        <w:tc>
          <w:tcPr>
            <w:tcW w:w="7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$14,760.00</w:t>
            </w:r>
          </w:p>
        </w:tc>
        <w:tc>
          <w:tcPr>
            <w:tcW w:w="6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gridSpan w:val="3"/>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Total Fees Previously Paid</w:t>
            </w:r>
          </w:p>
        </w:tc>
        <w:tc>
          <w:tcPr>
            <w:tcW w:w="7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gridSpan w:val="2"/>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Total Fee Offsets</w:t>
            </w:r>
          </w:p>
        </w:tc>
        <w:tc>
          <w:tcPr>
            <w:tcW w:w="7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rPr>
              <w:t>Net Fee Due</w:t>
            </w:r>
          </w:p>
        </w:tc>
        <w:tc>
          <w:tcPr>
            <w:tcW w:w="7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$14,760.00</w:t>
            </w:r>
          </w:p>
        </w:tc>
        <w:tc>
          <w:tcPr>
            <w:tcW w:w="6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5"/>
        <w:spacing w:after="0"/>
        <w:tabs>
          <w:tab w:leader="none" w:pos="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registered hereunder may be sold separately or as units with other securities registered hereunder.</w:t>
      </w:r>
    </w:p>
    <w:p>
      <w:pPr>
        <w:spacing w:after="0" w:line="223" w:lineRule="exact"/>
        <w:rPr>
          <w:rFonts w:ascii="Times New Roman" w:cs="Times New Roman" w:eastAsia="Times New Roman" w:hAnsi="Times New Roman"/>
          <w:sz w:val="17"/>
          <w:szCs w:val="17"/>
          <w:color w:val="auto"/>
        </w:rPr>
      </w:pPr>
    </w:p>
    <w:p>
      <w:pPr>
        <w:ind w:right="100" w:firstLine="5"/>
        <w:spacing w:after="0" w:line="261" w:lineRule="auto"/>
        <w:tabs>
          <w:tab w:leader="none" w:pos="24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being registered hereunder such indeterminate number of common shares and preferred shares, such indeterminate principal amount of debt securities, such indeterminate number of warrants to purchase common shares, preferred shares or debt securities, and such indeterminate number of units,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common shares and preferred shares and amount of debt securities as may be issued upon conversion of or exchange for preferred shares 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common shares and preferred shares as may be issuable with respect to the shares being registered hereunder as a result of stock splits, stock dividends or similar transactions.</w:t>
      </w:r>
    </w:p>
    <w:p>
      <w:pPr>
        <w:spacing w:after="0" w:line="176" w:lineRule="exact"/>
        <w:rPr>
          <w:rFonts w:ascii="Times New Roman" w:cs="Times New Roman" w:eastAsia="Times New Roman" w:hAnsi="Times New Roman"/>
          <w:sz w:val="17"/>
          <w:szCs w:val="17"/>
          <w:color w:val="auto"/>
        </w:rPr>
      </w:pPr>
    </w:p>
    <w:p>
      <w:pPr>
        <w:ind w:right="200" w:firstLine="5"/>
        <w:spacing w:after="0" w:line="276" w:lineRule="auto"/>
        <w:tabs>
          <w:tab w:leader="none" w:pos="24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16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 457(o) under the Securities Act of 1933, as amended.</w:t>
      </w:r>
    </w:p>
    <w:p>
      <w:pPr>
        <w:spacing w:after="0" w:line="223"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Consisting of some or all of the securities listed above, in any combination, including common shares, preferred shares, warrants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sectPr>
      <w:pgSz w:w="11900" w:h="16838" w:orient="portrait"/>
      <w:cols w:equalWidth="0" w:num="1">
        <w:col w:w="11340"/>
      </w:cols>
      <w:pgMar w:left="32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1)"/>
      <w:numFmt w:val="lowerRoman"/>
      <w:start w:val="10"/>
    </w:lvl>
  </w:abstractNum>
  <w:abstractNum w:abstractNumId="7">
    <w:nsid w:val="354FE9F9"/>
    <w:multiLevelType w:val="hybridMultilevel"/>
    <w:lvl w:ilvl="0">
      <w:lvlJc w:val="left"/>
      <w:lvlText w:val="·"/>
      <w:numFmt w:val="bullet"/>
      <w:start w:val="1"/>
    </w:lvl>
    <w:lvl w:ilvl="1">
      <w:lvlJc w:val="left"/>
      <w:lvlText w:val="(%2)"/>
      <w:numFmt w:val="lowerLetter"/>
      <w:start w:val="2"/>
    </w:lvl>
  </w:abstractNum>
  <w:abstractNum w:abstractNumId="8">
    <w:nsid w:val="15B5AF5C"/>
    <w:multiLevelType w:val="hybridMultilevel"/>
    <w:lvl w:ilvl="0">
      <w:lvlJc w:val="left"/>
      <w:lvlText w:val="·"/>
      <w:numFmt w:val="bullet"/>
      <w:start w:val="1"/>
    </w:lvl>
    <w:lvl w:ilvl="1">
      <w:lvlJc w:val="left"/>
      <w:lvlText w:val="(%2)"/>
      <w:numFmt w:val="lowerLetter"/>
      <w:start w:val="2"/>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1)"/>
      <w:numFmt w:val="lowerRoman"/>
      <w:start w:val="10"/>
    </w:lvl>
  </w:abstractNum>
  <w:abstractNum w:abstractNumId="24">
    <w:nsid w:val="1381823A"/>
    <w:multiLevelType w:val="hybridMultilevel"/>
    <w:lvl w:ilvl="0">
      <w:lvlJc w:val="left"/>
      <w:lvlText w:val="(%1)"/>
      <w:numFmt w:val="decimal"/>
      <w:start w:val="30"/>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1)"/>
      <w:numFmt w:val="lowerRoman"/>
      <w:start w:val="1"/>
    </w:lvl>
  </w:abstractNum>
  <w:abstractNum w:abstractNumId="27">
    <w:nsid w:val="6590700B"/>
    <w:multiLevelType w:val="hybridMultilevel"/>
    <w:lvl w:ilvl="0">
      <w:lvlJc w:val="left"/>
      <w:lvlText w:val="(%1)"/>
      <w:numFmt w:val="lowerRoman"/>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lowerRoman"/>
      <w:start w:val="2"/>
    </w:lvl>
  </w:abstractNum>
  <w:abstractNum w:abstractNumId="41">
    <w:nsid w:val="613EFDC5"/>
    <w:multiLevelType w:val="hybridMultilevel"/>
    <w:lvl w:ilvl="0">
      <w:lvlJc w:val="left"/>
      <w:lvlText w:val="(%1)"/>
      <w:numFmt w:val="decimal"/>
      <w:start w:val="2"/>
    </w:lvl>
  </w:abstractNum>
  <w:abstractNum w:abstractNumId="42">
    <w:nsid w:val="BF72B14"/>
    <w:multiLevelType w:val="hybridMultilevel"/>
    <w:lvl w:ilvl="0">
      <w:lvlJc w:val="left"/>
      <w:lvlText w:val="(%1)"/>
      <w:numFmt w:val="lowerRoman"/>
      <w:start w:val="1"/>
    </w:lvl>
  </w:abstractNum>
  <w:abstractNum w:abstractNumId="43">
    <w:nsid w:val="11447B73"/>
    <w:multiLevelType w:val="hybridMultilevel"/>
    <w:lvl w:ilvl="0">
      <w:lvlJc w:val="left"/>
      <w:lvlText w:val="(%1)"/>
      <w:numFmt w:val="decimal"/>
      <w:start w:val="5"/>
    </w:lvl>
  </w:abstractNum>
  <w:abstractNum w:abstractNumId="44">
    <w:nsid w:val="42963E5A"/>
    <w:multiLevelType w:val="hybridMultilevel"/>
    <w:lvl w:ilvl="0">
      <w:lvlJc w:val="left"/>
      <w:lvlText w:val="(%1)"/>
      <w:numFmt w:val="lowerRoman"/>
      <w:start w:val="1"/>
    </w:lvl>
  </w:abstractNum>
  <w:abstractNum w:abstractNumId="45">
    <w:nsid w:val="A0382C5"/>
    <w:multiLevelType w:val="hybridMultilevel"/>
    <w:lvl w:ilvl="0">
      <w:lvlJc w:val="left"/>
      <w:lvlText w:val="(%1)"/>
      <w:numFmt w:val="lowerRoman"/>
      <w:start w:val="1"/>
    </w:lvl>
  </w:abstractNum>
  <w:abstractNum w:abstractNumId="46">
    <w:nsid w:val="8F2B15E"/>
    <w:multiLevelType w:val="hybridMultilevel"/>
    <w:lvl w:ilvl="0">
      <w:lvlJc w:val="left"/>
      <w:lvlText w:val="(%1)"/>
      <w:numFmt w:val="lowerLetter"/>
      <w:start w:val="3"/>
    </w:lvl>
  </w:abstractNum>
  <w:abstractNum w:abstractNumId="47">
    <w:nsid w:val="1A32234B"/>
    <w:multiLevelType w:val="hybridMultilevel"/>
    <w:lvl w:ilvl="0">
      <w:lvlJc w:val="left"/>
      <w:lvlText w:val="(%1)"/>
      <w:numFmt w:val="decimal"/>
      <w:start w:val="2"/>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1)"/>
      <w:numFmt w:val="lowerLetter"/>
      <w:start w:val="1"/>
    </w:lvl>
    <w:lvl w:ilvl="1">
      <w:lvlJc w:val="left"/>
      <w:lvlText w:val="(%2)"/>
      <w:numFmt w:val="decimal"/>
      <w:start w:val="1"/>
    </w:lvl>
  </w:abstractNum>
  <w:abstractNum w:abstractNumId="50">
    <w:nsid w:val="4962813B"/>
    <w:multiLevelType w:val="hybridMultilevel"/>
    <w:lvl w:ilvl="0">
      <w:lvlJc w:val="left"/>
      <w:lvlText w:val="(%1)"/>
      <w:numFmt w:val="decimal"/>
      <w:start w:val="3"/>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3"/>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lowerLetter"/>
      <w:start w:val="2"/>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lowerLetter"/>
      <w:start w:val="2"/>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1"/>
    </w:lvl>
    <w:lvl w:ilvl="1">
      <w:lvlJc w:val="left"/>
      <w:lvlText w:val="(%2)"/>
      <w:numFmt w:val="decimal"/>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3"/>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lvl w:ilvl="1">
      <w:lvlJc w:val="left"/>
      <w:lvlText w:val="(%2)"/>
      <w:numFmt w:val="decimal"/>
      <w:start w:val="1"/>
    </w:lvl>
  </w:abstractNum>
  <w:abstractNum w:abstractNumId="65">
    <w:nsid w:val="1716703B"/>
    <w:multiLevelType w:val="hybridMultilevel"/>
    <w:lvl w:ilvl="0">
      <w:lvlJc w:val="left"/>
      <w:lvlText w:val="(%1)"/>
      <w:numFmt w:val="lowerLetter"/>
      <w:start w:val="3"/>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lowerLetter"/>
      <w:start w:val="4"/>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1)"/>
      <w:numFmt w:val="lowerLetter"/>
      <w:start w:val="3"/>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2"/>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2"/>
    </w:lvl>
    <w:lvl w:ilvl="1">
      <w:lvlJc w:val="left"/>
      <w:lvlText w:val="(%2)"/>
      <w:numFmt w:val="decimal"/>
      <w:start w:val="1"/>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3"/>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2"/>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lowerLetter"/>
      <w:start w:val="3"/>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Roman"/>
      <w:start w:val="2"/>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decimal"/>
      <w:start w:val="2"/>
    </w:lvl>
  </w:abstractNum>
  <w:abstractNum w:abstractNumId="92">
    <w:nsid w:val="73A1821B"/>
    <w:multiLevelType w:val="hybridMultilevel"/>
    <w:lvl w:ilvl="0">
      <w:lvlJc w:val="left"/>
      <w:lvlText w:val="(%1)"/>
      <w:numFmt w:val="lowerRoman"/>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3"/>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
      <w:numFmt w:val="bullet"/>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jpeg"/><Relationship Id="rId78" Type="http://schemas.openxmlformats.org/officeDocument/2006/relationships/image" Target="media/image57.png"/><Relationship Id="rId79" Type="http://schemas.openxmlformats.org/officeDocument/2006/relationships/image" Target="media/image58.png"/><Relationship Id="rId85"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jpe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jpe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jpeg"/><Relationship Id="rId175" Type="http://schemas.openxmlformats.org/officeDocument/2006/relationships/image" Target="media/image147.png"/><Relationship Id="rId176" Type="http://schemas.openxmlformats.org/officeDocument/2006/relationships/image" Target="media/image148.jpeg"/><Relationship Id="rId177" Type="http://schemas.openxmlformats.org/officeDocument/2006/relationships/image" Target="media/image149.png"/><Relationship Id="rId178" Type="http://schemas.openxmlformats.org/officeDocument/2006/relationships/image" Target="media/image150.jpe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61" Type="http://schemas.openxmlformats.org/officeDocument/2006/relationships/hyperlink" Target="https://www.sec.gov/ix?doc=/Archives/edgar/data/1798562/000110465923037110/tmc-20221231x10k.htm" TargetMode="External"/><Relationship Id="rId62" Type="http://schemas.openxmlformats.org/officeDocument/2006/relationships/hyperlink" Target="https://www.sec.gov/ix?doc=/Archives/edgar/data/1798562/000110465923059123/tmc-20230331x10q.htm" TargetMode="External"/><Relationship Id="rId63" Type="http://schemas.openxmlformats.org/officeDocument/2006/relationships/hyperlink" Target="https://www.sec.gov/ix?doc=/Archives/edgar/data/1798562/000110465923091509/tmc-20230630x10q.htm" TargetMode="External"/><Relationship Id="rId64" Type="http://schemas.openxmlformats.org/officeDocument/2006/relationships/hyperlink" Target="https://www.sec.gov/ix?doc=/Archives/edgar/data/1798562/000110465923116306/tmc-20230930x10q.htm" TargetMode="External"/><Relationship Id="rId65" Type="http://schemas.openxmlformats.org/officeDocument/2006/relationships/hyperlink" Target="https://www.sec.gov/ix?doc=/Archives/edgar/data/1798562/000110465923022723/tm237104d2_8k.htm" TargetMode="External"/><Relationship Id="rId66" Type="http://schemas.openxmlformats.org/officeDocument/2006/relationships/hyperlink" Target="https://www.sec.gov/ix?doc=/Archives/edgar/data/1798562/000110465923023295/tm237199d2_8k.htm" TargetMode="External"/><Relationship Id="rId67" Type="http://schemas.openxmlformats.org/officeDocument/2006/relationships/hyperlink" Target="https://www.sec.gov/ix?doc=/Archives/edgar/data/1798562/000110465923024088/tm237472d2_8k.htm" TargetMode="External"/><Relationship Id="rId68" Type="http://schemas.openxmlformats.org/officeDocument/2006/relationships/hyperlink" Target="https://www.sec.gov/ix?doc=/Archives/edgar/data/1798562/000110465923047863/tm2312599d5_8k.htm" TargetMode="External"/><Relationship Id="rId69" Type="http://schemas.openxmlformats.org/officeDocument/2006/relationships/hyperlink" Target="https://www.sec.gov/ix?doc=/Archives/edgar/data/1798562/000110465923066190/tm2317310d1_8k.htm" TargetMode="External"/><Relationship Id="rId70" Type="http://schemas.openxmlformats.org/officeDocument/2006/relationships/hyperlink" Target="https://www.sec.gov/ix?doc=/Archives/edgar/data/1798562/000110465923069479/tm2318023d1_8k.htm" TargetMode="External"/><Relationship Id="rId71" Type="http://schemas.openxmlformats.org/officeDocument/2006/relationships/hyperlink" Target="https://www.sec.gov/ix?doc=/Archives/edgar/data/1798562/000110465923076976/tm2320351d1_8k.htm" TargetMode="External"/><Relationship Id="rId72" Type="http://schemas.openxmlformats.org/officeDocument/2006/relationships/hyperlink" Target="https://www.sec.gov/ix?doc=/Archives/edgar/data/1798562/000110465923086437/tm2322494d1_8k.htm" TargetMode="External"/><Relationship Id="rId73" Type="http://schemas.openxmlformats.org/officeDocument/2006/relationships/hyperlink" Target="https://www.sec.gov/ix?doc=/Archives/edgar/data/1798562/000110465923091027/tm2323509d2_8k.htm" TargetMode="External"/><Relationship Id="rId75" Type="http://schemas.openxmlformats.org/officeDocument/2006/relationships/hyperlink" Target="https://www.sec.gov/Archives/edgar/data/1798562/000121390021047279/ea146988-8a12b_tmcthemetals.htm" TargetMode="External"/><Relationship Id="rId80" Type="http://schemas.openxmlformats.org/officeDocument/2006/relationships/hyperlink" Target="https://www.sec.gov/Archives/edgar/data/1798562/000121390021048261/ea147253ex3-1_tmcthemet.htm" TargetMode="External"/><Relationship Id="rId81" Type="http://schemas.openxmlformats.org/officeDocument/2006/relationships/hyperlink" Target="https://www.sec.gov/Archives/edgar/data/1798562/000121390021048261/ea147253ex3-2_tmcthemet.htm" TargetMode="External"/><Relationship Id="rId82" Type="http://schemas.openxmlformats.org/officeDocument/2006/relationships/hyperlink" Target="https://www.sec.gov/Archives/edgar/data/1798562/000121390021048261/ea147253ex4-1_tmcthemet.htm" TargetMode="External"/><Relationship Id="rId83" Type="http://schemas.openxmlformats.org/officeDocument/2006/relationships/hyperlink" Target="https://www.sec.gov/Archives/edgar/data/1798562/000121390020011491/ea121545ex4-1_sustainable.htm" TargetMode="External"/><Relationship Id="rId84" Type="http://schemas.openxmlformats.org/officeDocument/2006/relationships/hyperlink" Target="https://www.sec.gov/Archives/edgar/data/1798562/000110465923091027/tm2323509d2_ex4-1.htm" TargetMode="External"/><Relationship Id="rId86" Type="http://schemas.openxmlformats.org/officeDocument/2006/relationships/hyperlink" Target="http://www.sec.gov/Archives/edgar/data/1798562/000121390021033645/fs42021a2ex96-1_sustainable.htm" TargetMode="External"/><Relationship Id="rId87" Type="http://schemas.openxmlformats.org/officeDocument/2006/relationships/hyperlink" Target="http://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2023-11-30T16:31:55Z</dcterms:created>
  <dcterms:modified xsi:type="dcterms:W3CDTF">2023-11-30T16:31:55Z</dcterms:modified>
</cp:coreProperties>
</file>