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30, 2023, TMC the metals company Inc. (the “Company”) filed a “universal shelf” registration statement on Form S-3 with the Securities and Exchange Commission (the "SEC"). The registration statement would allow the Company to raise up to an aggregate of $100 million through the issuance and sale of its common shares, preferred shares, debt, convertibles, warrants and units in one or more offerings over the three years after the registration statement is declared effective by the SEC, a period during which the Company anticipates adoption of the Mining Code by the International Seabed Authority (the "ISA") and first commercial production. If the Company decides to raise capital in a future offering using the shelf registration statement, it will describe the specific details of that future offering in a prospectus supplement that is filed with the SEC. The Company believes that the shelf registration statement on Form S-3 is a prudent corporate housekeeping measure that will provide greater financial flexibility in the coming years. In addition to the new shelf registration statement, the Company has access to a $25 million unsecured credit facility with an affiliate of Allseas Group S.A., as well as a $30 million at-the-market offering program, both of which remain unused as of today. In addition, the Company's discussions to raise asset-level funding with strategic parties continue.</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the Company previously disclosed, the Company launched a post collector test monitoring campaign in Area D of its “NORI” project area in the Clarion Clipperton Zone (“CCZ”) of the Pacific Ocean in which the Company’s subsidiary, Nauru Ocean Resources Inc. (“NORI”), currently holds exclusive exploration rights for polymetallic nodules from the ISA to assess the benthic impact of the 2022 collector test for the period of approximately 12 months post the collector test activities, which the Company expected to take approximately three months to complete in two parts. The Legal and Technical Commission (“LTC”) of the ISA recommended that the Company conduct this campaign and the Company believes that the information from this campaign will strengthen the quality of NORI’s Environmental Impact Statement and Environmental Management &amp; Monitoring Plan to be included as part of NORI’s expected application to the ISA for an exploitation contract in NORI Area 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by the Company, on November 23, 2023, Greenpeace International (“Greenpeace”) began actively disrupting the Company’s scientific operations being conducted in the CCZ as part one of the post collector test monitoring campaign, including boarding the Company’s research vessel without permission. On November 27, 2023, the Company filed a lawsuit in Amsterdam District Court (the “Court”) seeking an injunction to stop Greenpeace’s illegal activities in the CCZ. A hearing was held on November 28, 2023 by the Court on the injunction and on November 30, 2023, the Court ordered Greenpeace to disembark from the research vessel, with immediate effect.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the Company anticipates that Greenpeace will comply with the order of the Court, there can be no assurances that Greenpeace will stop its activities to disrupt the Company’s post collector test monitoring campaign. If Greenpeace does not promptly stop its illegal activities in the CCZ, its actions could physically impact the Company’s ongoing operations and the Company will incur additional costs for the post collector test monitoring campaign, which may be significant. The Company is currently assessing the scope of the post collector test monitoring campaign given the delays that have already occurred and determining which elements of part one of the scientific campaign might be re-ordered or included within part two, expected to occur in the coming months.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of the Company’s securities registered pursuant to the shelf registration statement, nor shall there be any offer, solicitation or sale of any of the Company’s securities in any state or jurisdiction in which such offer, solicitation or sale would be unlawful prior to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Certain statements made in this Current Report on Form 8-K are not historical facts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the Company’s expectations with respect to filing an application for an exploitation contract with the ISA and the timing and content thereof and the actions of Greenpeace and the potential impact these actions may have on the Company.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risk that Greenpeace does not promptly comply with the order of the Court and the emergency order of the ISA; the risk that Greenpeace’s, or any other group’s, activities continue to disrupt the Company’s operations; the Company’s strategies and future financial performance; the ISA’s ability to timely adopt the final mining regulations and/or willingness to review and/or approve a plan of work for exploitation under the United Nations Convention on the Laws of the Sea (“UNCLOS”); the Company’s ability to obtain exploitation contracts or approved plans of work for exploitation for its areas in the CCZ; regulatory uncertainties and the impact of government regulation and political instability on the Company’s resource activities; changes to any of the laws, rules, regulations or policies to which the Company is subject, including the terms of the final mining regulations, if any, adopted by ISA and the potential timing thereof; the impact of extensive and costly environmental requirements on the Company’s operations; environmental liabilities; the impact of polymetallic nodule collection on biodiversity in the CCZ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including those under Item 1A “Risk Factors” in the Company’s Annual Report on Form 10-K for the year ended December 31, 2022, filed by the Company with the SEC on March 27, 2023, as updated and/or supplemented by the Company’s Quarterly Report on Form 10-Q for the quarter ended June 30, 2023, filed with the SEC on August 14, 2023, the Company’s Quarterly Report on Form 10-Q for the quarter ended September 30, 2023, filed with the SEC on November 9, 2023, this Current Report on Form 8-K and in the Company’s other future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30, 2023</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2023-11-30T16:32:46Z</dcterms:created>
  <dcterms:modified xsi:type="dcterms:W3CDTF">2023-11-30T16:32:46Z</dcterms:modified>
</cp:coreProperties>
</file>