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ilename1.htm"/>
      <w:bookmarkStart w:id="1" w:name="ksfilename1"/>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595 Howe Street, 10</w:t>
      </w:r>
      <w:r>
        <w:rPr>
          <w:rFonts w:ascii="Times New Roman;Times;Serif" w:hAnsi="Times New Roman;Times;Serif"/>
          <w:b/>
          <w:i w:val="false"/>
          <w:caps w:val="false"/>
          <w:smallCaps w:val="false"/>
          <w:position w:val="7"/>
          <w:sz w:val="16"/>
          <w:sz w:val="20"/>
          <w:shd w:fill="FFFFFF" w:val="clear"/>
        </w:rPr>
        <w:t>th</w:t>
      </w:r>
      <w:r>
        <w:rPr>
          <w:rFonts w:ascii="Times New Roman;Times;Serif" w:hAnsi="Times New Roman;Times;Serif"/>
          <w:b/>
          <w:i w:val="false"/>
          <w:caps w:val="false"/>
          <w:smallCaps w:val="false"/>
          <w:sz w:val="20"/>
          <w:shd w:fill="FFFFFF" w:val="clear"/>
        </w:rPr>
        <w:t> Floor</w:t>
        <w:br/>
        <w:t>Vancouver, British Columbia</w:t>
        <w:br/>
        <w:t>V6C 2T5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6,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VIA EDGAR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Cheryl Brown</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365"/>
        <w:gridCol w:w="2570"/>
      </w:tblGrid>
      <w:tr>
        <w:trPr/>
        <w:tc>
          <w:tcPr>
            <w:tcW w:w="3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w:t>
            </w:r>
          </w:p>
        </w:tc>
        <w:tc>
          <w:tcPr>
            <w:tcW w:w="25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TMC the metals company Inc.</w:t>
            </w:r>
          </w:p>
        </w:tc>
      </w:tr>
    </w:tbl>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on Form S-3</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 333-275822</w:t>
      </w:r>
    </w:p>
    <w:p>
      <w:pPr>
        <w:pStyle w:val="TextBody"/>
        <w:bidi w:val="0"/>
        <w:spacing w:before="0" w:after="0"/>
        <w:ind w:left="0" w:right="0" w:firstLine="72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Acceleration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Ms. Brown: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above-referenced Registration Statement on Form S-3 (the “Registration Statement”), and pursuant to Rule 461 of Regulation C promulgated under the Securities Act of 1933, as amended, the undersigned hereby respectfully requests, on behalf of TMC the metals company Inc. (the “Company”), that the Securities and Exchange Commission accelerate the effective date of the Registration Statement to Friday, December 8, 2023 at 4:30 p.m. Eastern Time, or as soon as practicable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cooperation of the staff in meeting the timetable described above is very much appreciated.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call Michael L. Fantozzi or Daniel T. Kajunski, of Mintz, Levin, Cohn, Ferris, Glovsky and Popeo, P.C., counsel to the Company, at (617) 542-6000, with any comments or questions regarding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3215" w:type="dxa"/>
        <w:jc w:val="left"/>
        <w:tblInd w:w="0" w:type="dxa"/>
        <w:tblLayout w:type="fixed"/>
        <w:tblCellMar>
          <w:top w:w="0" w:type="dxa"/>
          <w:left w:w="0" w:type="dxa"/>
          <w:bottom w:w="0" w:type="dxa"/>
          <w:right w:w="0" w:type="dxa"/>
        </w:tblCellMar>
      </w:tblPr>
      <w:tblGrid>
        <w:gridCol w:w="75"/>
        <w:gridCol w:w="3140"/>
      </w:tblGrid>
      <w:tr>
        <w:trPr/>
        <w:tc>
          <w:tcPr>
            <w:tcW w:w="7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TMC the metals company Inc.</w:t>
            </w:r>
          </w:p>
        </w:tc>
      </w:tr>
      <w:tr>
        <w:trPr/>
        <w:tc>
          <w:tcPr>
            <w:tcW w:w="7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40" w:type="dxa"/>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 xml:space="preserve">/s/ </w:t>
            </w:r>
            <w:r>
              <w:rPr>
                <w:sz w:val="20"/>
                <w:shd w:fill="FFFFFF" w:val="clear"/>
              </w:rPr>
              <w:t>Craig Shesky</w:t>
            </w:r>
          </w:p>
        </w:tc>
      </w:tr>
      <w:tr>
        <w:trPr/>
        <w:tc>
          <w:tcPr>
            <w:tcW w:w="7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Craig Shesky</w:t>
            </w:r>
          </w:p>
        </w:tc>
      </w:tr>
      <w:tr>
        <w:trPr/>
        <w:tc>
          <w:tcPr>
            <w:tcW w:w="7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rFonts w:ascii="Times New Roman;Times;Serif" w:hAnsi="Times New Roman;Times;Serif"/>
                <w:sz w:val="20"/>
              </w:rPr>
              <w:t xml:space="preserve">Chief </w:t>
            </w:r>
            <w:r>
              <w:rPr>
                <w:sz w:val="20"/>
              </w:rPr>
              <w:t>Financial Officer</w:t>
            </w:r>
          </w:p>
        </w:tc>
      </w:tr>
    </w:tbl>
    <w:p>
      <w:pPr>
        <w:pStyle w:val="TextBody"/>
        <w:bidi w:val="0"/>
        <w:spacing w:before="0" w:after="0"/>
        <w:ind w:left="3600" w:right="0" w:firstLine="72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275"/>
        <w:gridCol w:w="566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w:t>
            </w:r>
          </w:p>
        </w:tc>
        <w:tc>
          <w:tcPr>
            <w:tcW w:w="5660" w:type="dxa"/>
            <w:tcBorders/>
            <w:vAlign w:val="center"/>
          </w:tcPr>
          <w:p>
            <w:pPr>
              <w:pStyle w:val="TableContents"/>
              <w:bidi w:val="0"/>
              <w:spacing w:before="0" w:after="283"/>
              <w:jc w:val="both"/>
              <w:rPr/>
            </w:pPr>
            <w:r>
              <w:rPr>
                <w:rFonts w:ascii="Times New Roman;Times;Serif" w:hAnsi="Times New Roman;Times;Serif"/>
                <w:sz w:val="20"/>
                <w:shd w:fill="FFFFFF" w:val="clear"/>
              </w:rPr>
              <w:t>Gerard Barron</w:t>
            </w:r>
            <w:r>
              <w:rPr>
                <w:sz w:val="20"/>
              </w:rPr>
              <w:t xml:space="preserve">, </w:t>
            </w:r>
            <w:r>
              <w:rPr>
                <w:i/>
                <w:sz w:val="20"/>
              </w:rPr>
              <w:t>Chief Executive Officer, TMC the metals company Inc.</w:t>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Ryan Coombes, General Counsel and Corporate Secretary</w:t>
      </w:r>
      <w:r>
        <w:rPr>
          <w:rFonts w:ascii="Times New Roman;Times;Serif" w:hAnsi="Times New Roman;Times;Serif"/>
          <w:b w:val="false"/>
          <w:i/>
          <w:caps w:val="false"/>
          <w:smallCaps w:val="false"/>
          <w:sz w:val="20"/>
        </w:rPr>
        <w:t>, TMC the metals company Inc.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Michael L. Fantozzi, Esq., </w:t>
      </w:r>
      <w:r>
        <w:rPr>
          <w:rFonts w:ascii="Times New Roman;Times;Serif" w:hAnsi="Times New Roman;Times;Serif"/>
          <w:b w:val="false"/>
          <w:i/>
          <w:caps w:val="false"/>
          <w:smallCaps w:val="false"/>
          <w:sz w:val="20"/>
        </w:rPr>
        <w:t>Mintz, Levin, Cohn, Ferris, Glovsky and Popeo, P.C.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Daniel T. Kajunski, Esq., </w:t>
      </w:r>
      <w:r>
        <w:rPr>
          <w:rFonts w:ascii="Times New Roman;Times;Serif" w:hAnsi="Times New Roman;Times;Serif"/>
          <w:b w:val="false"/>
          <w:i/>
          <w:caps w:val="false"/>
          <w:smallCaps w:val="false"/>
          <w:sz w:val="20"/>
        </w:rPr>
        <w:t>Mintz, Levin, Cohn, Ferris, Glovsky and Popeo,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246</Words>
  <Characters>1374</Characters>
  <CharactersWithSpaces>1616</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