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82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10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8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incorporation)</w:t>
            </w:r>
          </w:p>
        </w:tc>
        <w:tc>
          <w:tcPr>
            <w:tcW w:w="382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82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82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16"/>
        </w:trPr>
        <w:tc>
          <w:tcPr>
            <w:tcW w:w="310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82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4"/>
        </w:trPr>
        <w:tc>
          <w:tcPr>
            <w:tcW w:w="31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offices)</w:t>
            </w:r>
          </w:p>
        </w:tc>
        <w:tc>
          <w:tcPr>
            <w:tcW w:w="382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21, 2023, TMC the metals company Inc. (the “Company”) entered into an Amendment No. 1 (the “Amendment”) to the At-The-Market Equity Distribution Agreement, dated December 22, 2022, among the Company, and Stifel, Nicolaus &amp; Company, Incorporated and Wedbush Securities Inc., as sales agents (the “Agents”), pursuant to which the Company may, from time to time, issue and sell its common shares, without par value, with an aggregate offering price of up to $30 million (the “Shares”) through the Agents. The purpose of the Amendment is to remove Stifel, Nicolaus &amp; Company, Incorporated as an Agent.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text of the Amendment, which is filed herewith as Exhibit 10.1 to this Current Report on Form 8-K and is incorporated herein by reference.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the Shares, nor shall there be any offer, solicitation or sale of the Shares in any state or jurisdiction in which such offer, solicitation or sale would be unlawful prior to registration or qualification under the securities laws of any such state or other jurisdiction.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62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 No. 1 to At-The-Market Equity Distribution Agreement dated December 21, 2023, by and by and among TMC the metals</w:t>
            </w:r>
          </w:p>
        </w:tc>
      </w:tr>
      <w:tr>
        <w:trPr>
          <w:trHeight w:val="196"/>
        </w:trPr>
        <w:tc>
          <w:tcPr>
            <w:tcW w:w="320" w:type="dxa"/>
            <w:vAlign w:val="bottom"/>
            <w:tcBorders>
              <w:top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company Inc., Stifel, Nicolaus &amp; Company, Incorporated and Wedbush Securities Inc.</w:t>
            </w:r>
          </w:p>
        </w:tc>
        <w:tc>
          <w:tcPr>
            <w:tcW w:w="2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0" w:type="dxa"/>
            <w:vAlign w:val="bottom"/>
          </w:tcPr>
          <w:p>
            <w:pPr>
              <w:spacing w:after="0"/>
              <w:rPr>
                <w:sz w:val="20"/>
                <w:szCs w:val="20"/>
                <w:color w:val="auto"/>
              </w:rPr>
            </w:pPr>
          </w:p>
        </w:tc>
        <w:tc>
          <w:tcPr>
            <w:tcW w:w="6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40" w:type="dxa"/>
            <w:vAlign w:val="bottom"/>
            <w:gridSpan w:val="2"/>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21, 2023</w:t>
            </w: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740" w:type="dxa"/>
            <w:vAlign w:val="bottom"/>
          </w:tcPr>
          <w:p>
            <w:pPr>
              <w:spacing w:after="0"/>
              <w:rPr>
                <w:sz w:val="16"/>
                <w:szCs w:val="16"/>
                <w:color w:val="auto"/>
              </w:rPr>
            </w:pPr>
          </w:p>
        </w:tc>
        <w:tc>
          <w:tcPr>
            <w:tcW w:w="2460" w:type="dxa"/>
            <w:vAlign w:val="bottom"/>
          </w:tcPr>
          <w:p>
            <w:pPr>
              <w:ind w:left="19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740" w:type="dxa"/>
            <w:vAlign w:val="bottom"/>
          </w:tcPr>
          <w:p>
            <w:pPr>
              <w:spacing w:after="0"/>
              <w:rPr>
                <w:sz w:val="20"/>
                <w:szCs w:val="20"/>
                <w:color w:val="auto"/>
              </w:rPr>
            </w:pPr>
          </w:p>
        </w:tc>
        <w:tc>
          <w:tcPr>
            <w:tcW w:w="24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1 TO AT-THE-MARKET EQUITY DISTRIBUTION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p>
      <w:pPr>
        <w:spacing w:after="0" w:line="205" w:lineRule="auto"/>
        <w:rPr>
          <w:sz w:val="20"/>
          <w:szCs w:val="20"/>
          <w:color w:val="auto"/>
        </w:rPr>
      </w:pPr>
      <w:r>
        <w:rPr>
          <w:rFonts w:ascii="Times New Roman" w:cs="Times New Roman" w:eastAsia="Times New Roman" w:hAnsi="Times New Roman"/>
          <w:sz w:val="18"/>
          <w:szCs w:val="18"/>
          <w:color w:val="auto"/>
        </w:rPr>
        <w:t>One South Street,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 21202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WEDBUSH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Montgomery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 94111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TMC the metals company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together with Wedbush Securities Inc. (“</w:t>
      </w:r>
      <w:r>
        <w:rPr>
          <w:rFonts w:ascii="Times New Roman" w:cs="Times New Roman" w:eastAsia="Times New Roman" w:hAnsi="Times New Roman"/>
          <w:sz w:val="18"/>
          <w:szCs w:val="18"/>
          <w:u w:val="single" w:color="auto"/>
          <w:color w:val="auto"/>
        </w:rPr>
        <w:t>WS</w:t>
      </w:r>
      <w:r>
        <w:rPr>
          <w:rFonts w:ascii="Times New Roman" w:cs="Times New Roman" w:eastAsia="Times New Roman" w:hAnsi="Times New Roman"/>
          <w:sz w:val="18"/>
          <w:szCs w:val="18"/>
          <w:color w:val="auto"/>
        </w:rPr>
        <w:t>”) and Stifel, Nicolaus &amp; Company, Incorporated (“</w:t>
      </w:r>
      <w:r>
        <w:rPr>
          <w:rFonts w:ascii="Times New Roman" w:cs="Times New Roman" w:eastAsia="Times New Roman" w:hAnsi="Times New Roman"/>
          <w:sz w:val="18"/>
          <w:szCs w:val="18"/>
          <w:u w:val="single" w:color="auto"/>
          <w:color w:val="auto"/>
        </w:rPr>
        <w:t>Stifel</w:t>
      </w:r>
      <w:r>
        <w:rPr>
          <w:rFonts w:ascii="Times New Roman" w:cs="Times New Roman" w:eastAsia="Times New Roman" w:hAnsi="Times New Roman"/>
          <w:sz w:val="18"/>
          <w:szCs w:val="18"/>
          <w:color w:val="auto"/>
        </w:rPr>
        <w:t>”), are parties to that certain At-The-Market Equity Distribution Agreement, dated December 22, 2022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All capitalized terms not defined herein shall have the meanings ascribed to them in the Agreement.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foregoing, the parties desire to amend the Agreement as set forth in this Amendment No. 1 thereto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terminate the participation of Stifel as an agent (the “</w:t>
      </w:r>
      <w:r>
        <w:rPr>
          <w:rFonts w:ascii="Times New Roman" w:cs="Times New Roman" w:eastAsia="Times New Roman" w:hAnsi="Times New Roman"/>
          <w:sz w:val="18"/>
          <w:szCs w:val="18"/>
          <w:u w:val="single" w:color="auto"/>
          <w:color w:val="auto"/>
        </w:rPr>
        <w:t>Prior Agent</w:t>
      </w:r>
      <w:r>
        <w:rPr>
          <w:rFonts w:ascii="Times New Roman" w:cs="Times New Roman" w:eastAsia="Times New Roman" w:hAnsi="Times New Roman"/>
          <w:sz w:val="18"/>
          <w:szCs w:val="18"/>
          <w:color w:val="auto"/>
        </w:rPr>
        <w:t>”) in the offering of Common Shares under the Agreement as follows:</w:t>
      </w:r>
    </w:p>
    <w:p>
      <w:pPr>
        <w:spacing w:after="0" w:line="162" w:lineRule="exact"/>
        <w:rPr>
          <w:sz w:val="20"/>
          <w:szCs w:val="20"/>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“Agents” in the first paragraph of the Agreement is hereby amended to delete Stifel and all references to “Agents” in the Agreement are intended to reference solely the single remaining Agent unless and until the Agreement is further amended to add any additional Agent(s).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 on the first page of the Agreement is hereby amended to delete the name and address of the Prior Agent.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Agreement is hereby amended to delete the name and address of the Prior Agent.</w:t>
      </w:r>
    </w:p>
    <w:p>
      <w:pPr>
        <w:spacing w:after="0" w:line="225"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Schedule 1 to the Agreement and Annex 1 to the Agreement are hereby amended to delete all references to the Prior Agent.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set forth herein, all other provisions of the Agreement shall remain in full force and effect.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Amendment, the parties agree that the Prior Agent shall no longer be considered to be an Agent under the Agreement, and all of its rights and obligations under the Agreement are hereby terminated, except that except that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(Termination),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(Governing Law; Jurisdiction) hereof shall remain in full force and effect notwithstanding such termination as to the Prior Agent; provided, however, that the consent of the Prior Agent shall not be required for any amendment or modification to or waiver of any provision of the Agreement except for any amendment or modification to or waiver of any of the provisions of the Agreement that remain in full force and effect with regard to the Prior Agent that would adversely affect the rights of the Prior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ind w:left="980" w:hanging="324"/>
        <w:spacing w:after="0" w:line="253"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Amendment together with the Agreement (including all exhibits attached hereto) constitutes the entire agreement and supersedes all other prior and contemporaneous agreements and undertakings, both written and oral, among the parties hereto with regard to the subject matter hereof. Neither this Amendment nor any term hereof may be amended except pursuant to a written instrument executed by the Company, WS and Stifel.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Amendment. All references in the Agreement to the “Agreement” shall mean the Agreement as amended by this Amendment;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all references to “date of this Agreement” in the Agreement shall continue to refer to the date of the Agreement.</w:t>
      </w:r>
    </w:p>
    <w:p>
      <w:pPr>
        <w:spacing w:after="0" w:line="194"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WS, and Stifel hereby irrevocably waive any right either may have to a trial by jury in respect of any claim based upon or arising out of this agreement or any transaction contemplated hereby.</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Amendment and agrees that such service shall constitute good and sufficient service of process and notice thereof. Nothing contained herein shall be deemed to limit in any way any right to serve process in any manner permitted by law.</w:t>
      </w:r>
    </w:p>
    <w:p>
      <w:pPr>
        <w:spacing w:after="0" w:line="19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two or more counterparts, each of which shall be deemed an original, but all of which together shall constitute one and the same instrument. Delivery of an executed Amendment by one party to the other may be made by facsimile or email transmission.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parties, please so indicate in the space provided below for that purpose, whereupon this Amendment shall constitute a binding amendment to the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5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TMC THE METALS COMPANY INC.</w:t>
      </w:r>
    </w:p>
    <w:p>
      <w:pPr>
        <w:spacing w:after="0" w:line="24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Craig Shesky</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hereof: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WEDBUSH SECURITIES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Burke Dempsey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Burke Dempsey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EVP Head of Investment Banking &amp; Capital Markets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STIFEL, NICOLAUS &amp; COMPANY, INCORPORATED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Justin P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28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Justin P Bowman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2023-12-21T16:07:55Z</dcterms:created>
  <dcterms:modified xsi:type="dcterms:W3CDTF">2023-12-21T16:07:55Z</dcterms:modified>
</cp:coreProperties>
</file>