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Barron Gerard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03/20/2024</w:t>
            </w:r>
          </w:p>
        </w:tc>
        <w:tc>
          <w:tcPr>
            <w:tcW w:w="1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14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right"/>
              <w:ind w:righ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03/20/2024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350,690</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17,770,306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03/20/2024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1,276,936</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19,047,242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the right to receive one common share upon vesting. The RSUs were granted and vested upon issuance as part of the Issuer's short-term incentive plan.</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as part of the Issuer's long-term incentive plan and vest over a three year period as follows, subject to continued service through each vesting date: 1/3 on the first anniversary of March 20, 2024 (the "Grant Date"), 1/3 on the second anniversary of the Grant Date and 1/3 on the third anniversary of the Grant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Coombes, General</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03/22/2024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Counsel</w:t>
            </w:r>
          </w:p>
        </w:tc>
        <w:tc>
          <w:tcPr>
            <w:tcW w:w="132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72"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2024-03-22T20:33:59Z</dcterms:created>
  <dcterms:modified xsi:type="dcterms:W3CDTF">2024-03-22T20:33:59Z</dcterms:modified>
</cp:coreProperties>
</file>