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ILVES Erika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Strategy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224,138</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1,590,594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499,505</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2,090,099</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30,682</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as part of the Issuer's long-term incentive plan and vest over a three year period as follows, subject to continued service through each vesting date: 1/3 on the first anniversary of March 20, 2024 (the "Grant Date"), 1/3 on the second anniversary of the Grant Date and 1/3 on the third anniversary of the Grant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Coombes, General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03/22/2024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Counsel</w:t>
            </w:r>
          </w:p>
        </w:tc>
        <w:tc>
          <w:tcPr>
            <w:tcW w:w="13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7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2024-03-22T20:34:07Z</dcterms:created>
  <dcterms:modified xsi:type="dcterms:W3CDTF">2024-03-22T20:34:07Z</dcterms:modified>
</cp:coreProperties>
</file>