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414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414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O'Sullivan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03/20/2024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139,224</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652,001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03/20/2024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344,828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996,829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JOZEM</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385,110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O'Sullivan</w:t>
      </w:r>
    </w:p>
    <w:p>
      <w:pPr>
        <w:spacing w:after="0" w:line="1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 No.</w:t>
      </w:r>
    </w:p>
    <w:p>
      <w:pPr>
        <w:ind w:left="10140"/>
        <w:spacing w:after="0" w:line="185" w:lineRule="auto"/>
        <w:rPr>
          <w:sz w:val="20"/>
          <w:szCs w:val="20"/>
          <w:color w:val="auto"/>
        </w:rPr>
      </w:pP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0"/>
          <w:szCs w:val="10"/>
          <w:color w:val="008000"/>
        </w:rPr>
        <w:t>(3)</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7"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as part of the Issuer's long-term incentive plan and vest over a three year period as follows, subject to continued service through each vesting date: 1/3 on the first anniversary of March 20, 2024 (the "Grant Date"), 1/3 on the second anniversary of the Grant Date and 1/3 on the third anniversary of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JOZEM Pty Ltd., which is the trustee of The O'Sullivan Family Trust No. 1.</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03/22/2024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419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2024-03-22T20:35:57Z</dcterms:created>
  <dcterms:modified xsi:type="dcterms:W3CDTF">2024-03-22T20:35:57Z</dcterms:modified>
</cp:coreProperties>
</file>