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53066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Shesky Craig</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140"/>
        <w:spacing w:after="0" w:line="359" w:lineRule="auto"/>
        <w:rPr>
          <w:sz w:val="20"/>
          <w:szCs w:val="20"/>
          <w:color w:val="auto"/>
        </w:rPr>
      </w:pPr>
      <w:r>
        <w:rPr>
          <w:rFonts w:ascii="Times New Roman" w:cs="Times New Roman" w:eastAsia="Times New Roman" w:hAnsi="Times New Roman"/>
          <w:sz w:val="16"/>
          <w:szCs w:val="16"/>
          <w:color w:val="0000FF"/>
        </w:rPr>
        <w:t>C/O TMC THE METALS COMPANY INC., 595 HOWE STREET, 10TH FLOOR</w:t>
      </w:r>
    </w:p>
    <w:p>
      <w:pPr>
        <w:spacing w:after="0" w:line="15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VANCOUVER</w:t>
        <w:tab/>
        <w:t>A1</w:t>
      </w:r>
      <w:r>
        <w:rPr>
          <w:sz w:val="20"/>
          <w:szCs w:val="20"/>
          <w:color w:val="auto"/>
        </w:rPr>
        <w:tab/>
      </w:r>
      <w:r>
        <w:rPr>
          <w:rFonts w:ascii="Times New Roman" w:cs="Times New Roman" w:eastAsia="Times New Roman" w:hAnsi="Times New Roman"/>
          <w:sz w:val="16"/>
          <w:szCs w:val="16"/>
          <w:color w:val="0000FF"/>
        </w:rPr>
        <w:t>V6C 2T5</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3"/>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800" w:type="dxa"/>
            <w:vAlign w:val="bottom"/>
            <w:tcBorders>
              <w:top w:val="single" w:sz="8" w:color="0000EE"/>
            </w:tcBorders>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0"/>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03/20/2024</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3"/>
          </w:tcPr>
          <w:p>
            <w:pPr>
              <w:ind w:left="20"/>
              <w:spacing w:after="0"/>
              <w:rPr>
                <w:sz w:val="20"/>
                <w:szCs w:val="20"/>
                <w:color w:val="auto"/>
              </w:rPr>
            </w:pPr>
            <w:r>
              <w:rPr>
                <w:rFonts w:ascii="Arial" w:cs="Arial" w:eastAsia="Arial" w:hAnsi="Arial"/>
                <w:sz w:val="12"/>
                <w:szCs w:val="12"/>
                <w:color w:val="auto"/>
              </w:rPr>
              <w:t>Individual or Joint/Group Filing (Check Applicable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color w:val="auto"/>
              </w:rPr>
              <w:t>Line)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00"/>
        <w:spacing w:after="0" w:line="22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85"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4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80" w:space="66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ind w:left="74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03/20/2024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187,663</w:t>
            </w:r>
            <w:r>
              <w:rPr>
                <w:rFonts w:ascii="Times New Roman" w:cs="Times New Roman" w:eastAsia="Times New Roman" w:hAnsi="Times New Roman"/>
                <w:sz w:val="20"/>
                <w:szCs w:val="20"/>
                <w:color w:val="008000"/>
                <w:vertAlign w:val="superscript"/>
              </w:rPr>
              <w:t>(1)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967,304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03/20/2024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213,362</w:t>
            </w:r>
            <w:r>
              <w:rPr>
                <w:rFonts w:ascii="Times New Roman" w:cs="Times New Roman" w:eastAsia="Times New Roman" w:hAnsi="Times New Roman"/>
                <w:sz w:val="20"/>
                <w:szCs w:val="20"/>
                <w:color w:val="008000"/>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1,180,666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03/22/2024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233,424</w:t>
            </w:r>
            <w:r>
              <w:rPr>
                <w:rFonts w:ascii="Times New Roman" w:cs="Times New Roman" w:eastAsia="Times New Roman" w:hAnsi="Times New Roman"/>
                <w:sz w:val="20"/>
                <w:szCs w:val="20"/>
                <w:color w:val="008000"/>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1.6087</w:t>
            </w:r>
            <w:r>
              <w:rPr>
                <w:rFonts w:ascii="Times New Roman" w:cs="Times New Roman" w:eastAsia="Times New Roman" w:hAnsi="Times New Roman"/>
                <w:sz w:val="20"/>
                <w:szCs w:val="20"/>
                <w:color w:val="008000"/>
                <w:w w:val="96"/>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947,242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4"/>
              </w:rPr>
              <w:t>Securities</w:t>
            </w:r>
          </w:p>
        </w:tc>
        <w:tc>
          <w:tcPr>
            <w:tcW w:w="3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187,663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60" w:type="dxa"/>
            <w:vAlign w:val="bottom"/>
          </w:tcPr>
          <w:p>
            <w:pPr>
              <w:jc w:val="right"/>
              <w:ind w:right="181"/>
              <w:spacing w:after="0" w:line="125" w:lineRule="exact"/>
              <w:rPr>
                <w:sz w:val="20"/>
                <w:szCs w:val="20"/>
                <w:color w:val="auto"/>
              </w:rPr>
            </w:pPr>
            <w:r>
              <w:rPr>
                <w:rFonts w:ascii="Times New Roman" w:cs="Times New Roman" w:eastAsia="Times New Roman" w:hAnsi="Times New Roman"/>
                <w:sz w:val="12"/>
                <w:szCs w:val="12"/>
                <w:color w:val="0000FF"/>
              </w:rPr>
              <w:t>03/20/2024</w:t>
            </w:r>
          </w:p>
        </w:tc>
        <w:tc>
          <w:tcPr>
            <w:tcW w:w="10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660" w:type="dxa"/>
            <w:vAlign w:val="bottom"/>
          </w:tcPr>
          <w:p>
            <w:pPr>
              <w:spacing w:after="0"/>
              <w:rPr>
                <w:sz w:val="10"/>
                <w:szCs w:val="10"/>
                <w:color w:val="auto"/>
              </w:rPr>
            </w:pPr>
          </w:p>
        </w:tc>
        <w:tc>
          <w:tcPr>
            <w:tcW w:w="42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0000FF"/>
              </w:rPr>
              <w:t>187,663</w:t>
            </w:r>
          </w:p>
        </w:tc>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16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line="125" w:lineRule="exact"/>
              <w:rPr>
                <w:sz w:val="20"/>
                <w:szCs w:val="20"/>
                <w:color w:val="auto"/>
              </w:rPr>
            </w:pPr>
            <w:r>
              <w:rPr>
                <w:rFonts w:ascii="Times New Roman" w:cs="Times New Roman" w:eastAsia="Times New Roman" w:hAnsi="Times New Roman"/>
                <w:sz w:val="12"/>
                <w:szCs w:val="12"/>
                <w:color w:val="0000FF"/>
              </w:rPr>
              <w:t>375,324</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Shares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499,505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60" w:type="dxa"/>
            <w:vAlign w:val="bottom"/>
          </w:tcPr>
          <w:p>
            <w:pPr>
              <w:jc w:val="right"/>
              <w:ind w:right="181"/>
              <w:spacing w:after="0" w:line="125" w:lineRule="exact"/>
              <w:rPr>
                <w:sz w:val="20"/>
                <w:szCs w:val="20"/>
                <w:color w:val="auto"/>
              </w:rPr>
            </w:pPr>
            <w:r>
              <w:rPr>
                <w:rFonts w:ascii="Times New Roman" w:cs="Times New Roman" w:eastAsia="Times New Roman" w:hAnsi="Times New Roman"/>
                <w:sz w:val="12"/>
                <w:szCs w:val="12"/>
                <w:color w:val="0000FF"/>
              </w:rPr>
              <w:t>03/20/2024</w:t>
            </w:r>
          </w:p>
        </w:tc>
        <w:tc>
          <w:tcPr>
            <w:tcW w:w="10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A</w:t>
            </w:r>
          </w:p>
        </w:tc>
        <w:tc>
          <w:tcPr>
            <w:tcW w:w="66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499,505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16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line="125" w:lineRule="exact"/>
              <w:rPr>
                <w:sz w:val="20"/>
                <w:szCs w:val="20"/>
                <w:color w:val="auto"/>
              </w:rPr>
            </w:pPr>
            <w:r>
              <w:rPr>
                <w:rFonts w:ascii="Times New Roman" w:cs="Times New Roman" w:eastAsia="Times New Roman" w:hAnsi="Times New Roman"/>
                <w:sz w:val="12"/>
                <w:szCs w:val="12"/>
                <w:color w:val="0000FF"/>
              </w:rPr>
              <w:t>499,505</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Shares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restricted stock units ("RSUs") that converted to common shares on a one-to-one basis. The RSUs were granted on March 20, 2023 and 1/3 vested on March 20, 2024. The remaining RSUs will vest as follows, subject to continued service through each vesting date: 1/3 of the total award on March 20, 2025 and the remaining amount on March 20, 2026.</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common share upon vesting. The RSUs were granted and vested upon issuance as part of the Issuer's short-term incentive plan.</w:t>
      </w:r>
    </w:p>
    <w:p>
      <w:pPr>
        <w:spacing w:after="0" w:line="48"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sales reported in this Form 4 were effected to cover tax withholding obligations in connection with the vesting of RSUs that were granted on March 20, 2023 and March 20, 2024 pursuant to an automatic "sell to cover" provision under which the Reporting Person did not have discretion included in the RSU Agreement.</w:t>
      </w:r>
    </w:p>
    <w:p>
      <w:pPr>
        <w:ind w:left="40" w:right="5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reflects the average selling price of the common shares sold. These common shares were sold in multiple transactions at prices ranging from $1.58 to $1.65 per common share. The Reporting Person undertakes to provide, upon request by the SEC staff, the Issuer or a security holder of the Issuer, full information regarding the number of common shares sold at each price.</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common share upon vesting.</w:t>
      </w:r>
    </w:p>
    <w:p>
      <w:pPr>
        <w:spacing w:after="0" w:line="48" w:lineRule="exact"/>
        <w:rPr>
          <w:rFonts w:ascii="Times New Roman" w:cs="Times New Roman" w:eastAsia="Times New Roman" w:hAnsi="Times New Roman"/>
          <w:sz w:val="12"/>
          <w:szCs w:val="12"/>
          <w:color w:val="008000"/>
        </w:rPr>
      </w:pPr>
    </w:p>
    <w:p>
      <w:pPr>
        <w:ind w:left="40" w:right="3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granted as part of the Issuer's long-term incentive plan and vest over a three year period as follows, subject to continued service through each vesting date: 1/3 on the first anniversary of March 20, 2023 (the "Grant Date"), 1/3 on the second anniversary of the Grant Date and 1/3 on the third anniversary of the Grant Date. 1/3 of the RSUs have granted as of the date hereof.</w:t>
      </w:r>
    </w:p>
    <w:p>
      <w:pPr>
        <w:ind w:left="40" w:right="3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granted as part of the Issuer's long-term incentive plan and vest over a three year period as follows, subject to continued service through each vesting date: 1/3 on the first anniversary of March 20, 2024 (the "Grant Date"), 1/3 on the second anniversary of the Grant Date and 1/3 on the third anniversary of the Grant Date.</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Ryan Coombes, General</w:t>
            </w:r>
          </w:p>
        </w:tc>
        <w:tc>
          <w:tcPr>
            <w:tcW w:w="220" w:type="dxa"/>
            <w:vAlign w:val="bottom"/>
          </w:tcPr>
          <w:p>
            <w:pPr>
              <w:spacing w:after="0"/>
              <w:rPr>
                <w:sz w:val="16"/>
                <w:szCs w:val="16"/>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03/22/2024</w:t>
            </w:r>
          </w:p>
        </w:tc>
        <w:tc>
          <w:tcPr>
            <w:tcW w:w="0" w:type="dxa"/>
            <w:vAlign w:val="bottom"/>
          </w:tcPr>
          <w:p>
            <w:pPr>
              <w:spacing w:after="0"/>
              <w:rPr>
                <w:sz w:val="1"/>
                <w:szCs w:val="1"/>
                <w:color w:val="auto"/>
              </w:rPr>
            </w:pPr>
          </w:p>
        </w:tc>
      </w:tr>
      <w:tr>
        <w:trPr>
          <w:trHeight w:val="80"/>
        </w:trPr>
        <w:tc>
          <w:tcPr>
            <w:tcW w:w="20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Counsel</w:t>
            </w: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2024-03-22T20:35:51Z</dcterms:created>
  <dcterms:modified xsi:type="dcterms:W3CDTF">2024-03-22T20:35:51Z</dcterms:modified>
</cp:coreProperties>
</file>