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9497d1_s8.htm"/>
      <w:bookmarkStart w:id="1" w:name="kstm249497d1_s8"/>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March 25,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 –</w:t>
      </w:r>
      <w:r>
        <w:rPr>
          <w:rFonts w:ascii="Times New Roman;Times;Serif" w:hAnsi="Times New Roman;Times;Serif"/>
          <w:b w:val="false"/>
          <w:i w:val="false"/>
          <w:caps w:val="false"/>
          <w:smallCaps w:val="false"/>
          <w:sz w:val="20"/>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495"/>
        <w:gridCol w:w="1535"/>
      </w:tblGrid>
      <w:tr>
        <w:trPr/>
        <w:tc>
          <w:tcPr>
            <w:tcW w:w="24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British Columbia, Canada</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4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595 Howe Street, 10th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Vancouver, British Columbia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V6C 2T5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(574) 252-9333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Incentive Equity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122 East 42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Street, 18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(800) 221-0102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L. Fantozzi,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T. Kajunski, Esq.</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 Levin, Cohn, Ferris, Glovsky and Popeo, P.C.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Financial Center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(617) 542-6000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registers additional securities of the same class as other securities for which the registration statements filed on Form S-8 (SEC File Nos. 333-261221, 333-265319 and 333-270875) of TMC the metals company Inc. (the “Registrant”) are effective. The additional securities are 12,262,348 additional Common Shares of the Registrant reserved for issuance under the 2021 Incentive Equity Plan as a result of the automatic increase in the number of shares reserved under this plan on January 1, 2024. The information contained in the Registrant’s registration statements on Form S-8 (SEC File Nos. 333-261221, 333-265319 and 333-270875) is hereby incorporated by reference pursuant to General Instruction E of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620"/>
        <w:gridCol w:w="78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w:t>
            </w:r>
          </w:p>
        </w:tc>
        <w:tc>
          <w:tcPr>
            <w:tcW w:w="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5152"/>
        <w:gridCol w:w="60"/>
        <w:gridCol w:w="800"/>
        <w:gridCol w:w="60"/>
        <w:gridCol w:w="1614"/>
        <w:gridCol w:w="60"/>
        <w:gridCol w:w="740"/>
        <w:gridCol w:w="60"/>
        <w:gridCol w:w="874"/>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center"/>
              <w:rPr/>
            </w:pPr>
            <w:r>
              <w:rPr/>
              <w:t> </w:t>
            </w:r>
          </w:p>
        </w:tc>
        <w:tc>
          <w:tcPr>
            <w:tcW w:w="5152"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tcMar>
              <w:bottom w:w="0" w:type="dxa"/>
            </w:tcMar>
            <w:vAlign w:val="center"/>
          </w:tcPr>
          <w:p>
            <w:pPr>
              <w:pStyle w:val="TableContents"/>
              <w:bidi w:val="0"/>
              <w:spacing w:before="0" w:after="283"/>
              <w:jc w:val="center"/>
              <w:rPr/>
            </w:pPr>
            <w:r>
              <w:rPr/>
              <w:t> </w:t>
            </w:r>
          </w:p>
        </w:tc>
        <w:tc>
          <w:tcPr>
            <w:tcW w:w="8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Filed</w:t>
              <w:br/>
              <w:t>Herewith</w:t>
            </w:r>
          </w:p>
        </w:tc>
        <w:tc>
          <w:tcPr>
            <w:tcW w:w="60" w:type="dxa"/>
            <w:tcBorders/>
            <w:tcMar>
              <w:bottom w:w="0" w:type="dxa"/>
            </w:tcMar>
            <w:vAlign w:val="center"/>
          </w:tcPr>
          <w:p>
            <w:pPr>
              <w:pStyle w:val="TableContents"/>
              <w:bidi w:val="0"/>
              <w:spacing w:before="0" w:after="283"/>
              <w:jc w:val="center"/>
              <w:rPr/>
            </w:pPr>
            <w:r>
              <w:rPr/>
              <w:t> </w:t>
            </w:r>
          </w:p>
        </w:tc>
        <w:tc>
          <w:tcPr>
            <w:tcW w:w="161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Incorporated by</w:t>
              <w:br/>
              <w:t>Reference herein from</w:t>
              <w:br/>
              <w:t>Form or Schedule</w:t>
            </w:r>
          </w:p>
        </w:tc>
        <w:tc>
          <w:tcPr>
            <w:tcW w:w="60" w:type="dxa"/>
            <w:tcBorders/>
            <w:tcMar>
              <w:bottom w:w="0" w:type="dxa"/>
            </w:tcMar>
            <w:vAlign w:val="center"/>
          </w:tcPr>
          <w:p>
            <w:pPr>
              <w:pStyle w:val="TableContents"/>
              <w:bidi w:val="0"/>
              <w:spacing w:before="0" w:after="283"/>
              <w:jc w:val="center"/>
              <w:rPr/>
            </w:pPr>
            <w:r>
              <w:rPr/>
              <w:t> </w:t>
            </w:r>
          </w:p>
        </w:tc>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w:t>
              <w:br/>
              <w:t>Date</w:t>
            </w:r>
          </w:p>
        </w:tc>
        <w:tc>
          <w:tcPr>
            <w:tcW w:w="60" w:type="dxa"/>
            <w:tcBorders/>
            <w:tcMar>
              <w:bottom w:w="0" w:type="dxa"/>
            </w:tcMar>
            <w:vAlign w:val="center"/>
          </w:tcPr>
          <w:p>
            <w:pPr>
              <w:pStyle w:val="TableContents"/>
              <w:bidi w:val="0"/>
              <w:spacing w:before="0" w:after="283"/>
              <w:jc w:val="center"/>
              <w:rPr/>
            </w:pPr>
            <w:r>
              <w:rPr/>
              <w:t> </w:t>
            </w:r>
          </w:p>
        </w:tc>
        <w:tc>
          <w:tcPr>
            <w:tcW w:w="87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w:t>
              <w:br/>
              <w:t>File/</w:t>
              <w:br/>
              <w:t>Reg.</w:t>
              <w:br/>
              <w:t>Number</w:t>
            </w:r>
          </w:p>
        </w:tc>
      </w:tr>
      <w:tr>
        <w:trPr/>
        <w:tc>
          <w:tcPr>
            <w:tcW w:w="7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74"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r:id="rId2">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5152"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Notice of Articles of TMC the metals company Inc.</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14" w:type="dxa"/>
            <w:tcBorders/>
            <w:tcMar>
              <w:bottom w:w="0" w:type="dxa"/>
            </w:tcMar>
            <w:vAlign w:val="center"/>
          </w:tcPr>
          <w:p>
            <w:pPr>
              <w:pStyle w:val="TableContents"/>
              <w:bidi w:val="0"/>
              <w:spacing w:before="0" w:after="283"/>
              <w:jc w:val="center"/>
              <w:rPr/>
            </w:pPr>
            <w:hyperlink r:id="rId4">
              <w:r>
                <w:rPr>
                  <w:rStyle w:val="InternetLink"/>
                  <w:rFonts w:ascii="Times New Roman;Times;Serif" w:hAnsi="Times New Roman;Times;Serif"/>
                  <w:sz w:val="20"/>
                </w:rPr>
                <w:t>Form 8-K</w:t>
                <w:br/>
                <w:t>(Exhibit 3.1)</w:t>
              </w:r>
            </w:hyperlink>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pPr>
            <w:hyperlink r:id="rId5">
              <w:r>
                <w:rPr>
                  <w:rStyle w:val="InternetLink"/>
                  <w:rFonts w:ascii="Times New Roman;Times;Serif" w:hAnsi="Times New Roman;Times;Serif"/>
                  <w:sz w:val="20"/>
                </w:rPr>
                <w:t>9/15/2021</w:t>
              </w:r>
            </w:hyperlink>
          </w:p>
        </w:tc>
        <w:tc>
          <w:tcPr>
            <w:tcW w:w="60" w:type="dxa"/>
            <w:tcBorders/>
            <w:tcMar>
              <w:bottom w:w="0" w:type="dxa"/>
            </w:tcMar>
            <w:vAlign w:val="center"/>
          </w:tcPr>
          <w:p>
            <w:pPr>
              <w:pStyle w:val="TableContents"/>
              <w:bidi w:val="0"/>
              <w:spacing w:before="0" w:after="283"/>
              <w:jc w:val="center"/>
              <w:rPr/>
            </w:pPr>
            <w:r>
              <w:rPr/>
              <w:t> </w:t>
            </w:r>
          </w:p>
        </w:tc>
        <w:tc>
          <w:tcPr>
            <w:tcW w:w="874" w:type="dxa"/>
            <w:tcBorders/>
            <w:tcMar>
              <w:bottom w:w="0" w:type="dxa"/>
            </w:tcMar>
            <w:vAlign w:val="center"/>
          </w:tcPr>
          <w:p>
            <w:pPr>
              <w:pStyle w:val="TableContents"/>
              <w:bidi w:val="0"/>
              <w:spacing w:before="0" w:after="283"/>
              <w:jc w:val="center"/>
              <w:rPr/>
            </w:pPr>
            <w:hyperlink r:id="rId6">
              <w:r>
                <w:rPr>
                  <w:rStyle w:val="InternetLink"/>
                  <w:rFonts w:ascii="Times New Roman;Times;Serif" w:hAnsi="Times New Roman;Times;Serif"/>
                  <w:sz w:val="20"/>
                </w:rPr>
                <w:t>001-39281</w:t>
              </w:r>
            </w:hyperlink>
          </w:p>
        </w:tc>
      </w:tr>
      <w:tr>
        <w:trPr/>
        <w:tc>
          <w:tcPr>
            <w:tcW w:w="725" w:type="dxa"/>
            <w:tcBorders/>
            <w:tcMar>
              <w:bottom w:w="0" w:type="dxa"/>
            </w:tcMar>
            <w:vAlign w:val="center"/>
          </w:tcPr>
          <w:p>
            <w:pPr>
              <w:pStyle w:val="TableContents"/>
              <w:bidi w:val="0"/>
              <w:spacing w:before="0" w:after="283"/>
              <w:jc w:val="center"/>
              <w:rPr/>
            </w:pPr>
            <w:hyperlink r:id="rId7">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5152" w:type="dxa"/>
            <w:tcBorders/>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Articles of TMC the metals company Inc.</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14" w:type="dxa"/>
            <w:tcBorders/>
            <w:tcMar>
              <w:bottom w:w="0" w:type="dxa"/>
            </w:tcMar>
            <w:vAlign w:val="center"/>
          </w:tcPr>
          <w:p>
            <w:pPr>
              <w:pStyle w:val="TableContents"/>
              <w:bidi w:val="0"/>
              <w:spacing w:before="0" w:after="283"/>
              <w:jc w:val="center"/>
              <w:rPr/>
            </w:pPr>
            <w:hyperlink r:id="rId9">
              <w:r>
                <w:rPr>
                  <w:rStyle w:val="InternetLink"/>
                  <w:rFonts w:ascii="Times New Roman;Times;Serif" w:hAnsi="Times New Roman;Times;Serif"/>
                  <w:sz w:val="20"/>
                </w:rPr>
                <w:t>Form 8-K</w:t>
                <w:br/>
                <w:t>(Exhibit 3.2)</w:t>
              </w:r>
            </w:hyperlink>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pPr>
            <w:hyperlink r:id="rId10">
              <w:r>
                <w:rPr>
                  <w:rStyle w:val="InternetLink"/>
                  <w:rFonts w:ascii="Times New Roman;Times;Serif" w:hAnsi="Times New Roman;Times;Serif"/>
                  <w:sz w:val="20"/>
                </w:rPr>
                <w:t>9/15/2021</w:t>
              </w:r>
            </w:hyperlink>
          </w:p>
        </w:tc>
        <w:tc>
          <w:tcPr>
            <w:tcW w:w="60" w:type="dxa"/>
            <w:tcBorders/>
            <w:tcMar>
              <w:bottom w:w="0" w:type="dxa"/>
            </w:tcMar>
            <w:vAlign w:val="center"/>
          </w:tcPr>
          <w:p>
            <w:pPr>
              <w:pStyle w:val="TableContents"/>
              <w:bidi w:val="0"/>
              <w:spacing w:before="0" w:after="283"/>
              <w:jc w:val="center"/>
              <w:rPr/>
            </w:pPr>
            <w:r>
              <w:rPr/>
              <w:t> </w:t>
            </w:r>
          </w:p>
        </w:tc>
        <w:tc>
          <w:tcPr>
            <w:tcW w:w="874" w:type="dxa"/>
            <w:tcBorders/>
            <w:tcMar>
              <w:bottom w:w="0" w:type="dxa"/>
            </w:tcMar>
            <w:vAlign w:val="center"/>
          </w:tcPr>
          <w:p>
            <w:pPr>
              <w:pStyle w:val="TableContents"/>
              <w:bidi w:val="0"/>
              <w:spacing w:before="0" w:after="283"/>
              <w:jc w:val="center"/>
              <w:rPr/>
            </w:pPr>
            <w:hyperlink r:id="rId11">
              <w:r>
                <w:rPr>
                  <w:rStyle w:val="InternetLink"/>
                  <w:rFonts w:ascii="Times New Roman;Times;Serif" w:hAnsi="Times New Roman;Times;Serif"/>
                  <w:sz w:val="20"/>
                </w:rPr>
                <w:t>001-39281</w:t>
              </w:r>
            </w:hyperlink>
          </w:p>
        </w:tc>
      </w:tr>
      <w:tr>
        <w:trPr/>
        <w:tc>
          <w:tcPr>
            <w:tcW w:w="725" w:type="dxa"/>
            <w:tcBorders/>
            <w:tcMar>
              <w:bottom w:w="0" w:type="dxa"/>
            </w:tcMar>
            <w:vAlign w:val="center"/>
          </w:tcPr>
          <w:p>
            <w:pPr>
              <w:pStyle w:val="TableContents"/>
              <w:bidi w:val="0"/>
              <w:spacing w:before="0" w:after="283"/>
              <w:jc w:val="center"/>
              <w:rPr/>
            </w:pPr>
            <w:hyperlink r:id="rId12">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5152" w:type="dxa"/>
            <w:tcBorders/>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sz w:val="20"/>
                </w:rPr>
                <w:t>TMC the metals company Inc. Common Share Certificate</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14" w:type="dxa"/>
            <w:tcBorders/>
            <w:tcMar>
              <w:bottom w:w="0" w:type="dxa"/>
            </w:tcMar>
            <w:vAlign w:val="center"/>
          </w:tcPr>
          <w:p>
            <w:pPr>
              <w:pStyle w:val="TableContents"/>
              <w:bidi w:val="0"/>
              <w:spacing w:before="0" w:after="283"/>
              <w:jc w:val="center"/>
              <w:rPr/>
            </w:pPr>
            <w:hyperlink r:id="rId14">
              <w:r>
                <w:rPr>
                  <w:rStyle w:val="InternetLink"/>
                  <w:rFonts w:ascii="Times New Roman;Times;Serif" w:hAnsi="Times New Roman;Times;Serif"/>
                  <w:sz w:val="20"/>
                </w:rPr>
                <w:t>Form 8-K</w:t>
                <w:br/>
                <w:t>(Exhibit 4.1)</w:t>
              </w:r>
            </w:hyperlink>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pPr>
            <w:hyperlink r:id="rId15">
              <w:r>
                <w:rPr>
                  <w:rStyle w:val="InternetLink"/>
                  <w:rFonts w:ascii="Times New Roman;Times;Serif" w:hAnsi="Times New Roman;Times;Serif"/>
                  <w:sz w:val="20"/>
                </w:rPr>
                <w:t>9/15/2021</w:t>
              </w:r>
            </w:hyperlink>
          </w:p>
        </w:tc>
        <w:tc>
          <w:tcPr>
            <w:tcW w:w="60" w:type="dxa"/>
            <w:tcBorders/>
            <w:tcMar>
              <w:bottom w:w="0" w:type="dxa"/>
            </w:tcMar>
            <w:vAlign w:val="center"/>
          </w:tcPr>
          <w:p>
            <w:pPr>
              <w:pStyle w:val="TableContents"/>
              <w:bidi w:val="0"/>
              <w:spacing w:before="0" w:after="283"/>
              <w:jc w:val="center"/>
              <w:rPr/>
            </w:pPr>
            <w:r>
              <w:rPr/>
              <w:t> </w:t>
            </w:r>
          </w:p>
        </w:tc>
        <w:tc>
          <w:tcPr>
            <w:tcW w:w="874" w:type="dxa"/>
            <w:tcBorders/>
            <w:tcMar>
              <w:bottom w:w="0" w:type="dxa"/>
            </w:tcMar>
            <w:vAlign w:val="center"/>
          </w:tcPr>
          <w:p>
            <w:pPr>
              <w:pStyle w:val="TableContents"/>
              <w:bidi w:val="0"/>
              <w:spacing w:before="0" w:after="283"/>
              <w:jc w:val="center"/>
              <w:rPr/>
            </w:pPr>
            <w:hyperlink r:id="rId16">
              <w:r>
                <w:rPr>
                  <w:rStyle w:val="InternetLink"/>
                  <w:rFonts w:ascii="Times New Roman;Times;Serif" w:hAnsi="Times New Roman;Times;Serif"/>
                  <w:sz w:val="20"/>
                </w:rPr>
                <w:t>001-39281</w:t>
              </w:r>
            </w:hyperlink>
          </w:p>
        </w:tc>
      </w:tr>
      <w:tr>
        <w:trPr/>
        <w:tc>
          <w:tcPr>
            <w:tcW w:w="725" w:type="dxa"/>
            <w:tcBorders/>
            <w:tcMar>
              <w:bottom w:w="0" w:type="dxa"/>
            </w:tcMar>
            <w:vAlign w:val="center"/>
          </w:tcPr>
          <w:p>
            <w:pPr>
              <w:pStyle w:val="TableContents"/>
              <w:bidi w:val="0"/>
              <w:spacing w:before="0" w:after="283"/>
              <w:jc w:val="center"/>
              <w:rPr/>
            </w:pPr>
            <w:hyperlink w:anchor="tm249497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5152" w:type="dxa"/>
            <w:tcBorders/>
            <w:tcMar>
              <w:bottom w:w="0" w:type="dxa"/>
            </w:tcMar>
            <w:vAlign w:val="center"/>
          </w:tcPr>
          <w:p>
            <w:pPr>
              <w:pStyle w:val="TableContents"/>
              <w:bidi w:val="0"/>
              <w:spacing w:before="0" w:after="283"/>
              <w:jc w:val="left"/>
              <w:rPr/>
            </w:pPr>
            <w:hyperlink w:anchor="tm249497d1_ex5-1.htm">
              <w:r>
                <w:rPr>
                  <w:rStyle w:val="InternetLink"/>
                  <w:rFonts w:ascii="Times New Roman;Times;Serif" w:hAnsi="Times New Roman;Times;Serif"/>
                  <w:sz w:val="20"/>
                </w:rPr>
                <w:t xml:space="preserve">Opinion of </w:t>
              </w:r>
            </w:hyperlink>
            <w:hyperlink w:anchor="tm249497d1_ex5-1.htm">
              <w:r>
                <w:rPr>
                  <w:rStyle w:val="InternetLink"/>
                  <w:rFonts w:ascii="Times New Roman;Times;Serif" w:hAnsi="Times New Roman;Times;Serif"/>
                  <w:sz w:val="20"/>
                  <w:shd w:fill="FFFFFF" w:val="clear"/>
                </w:rPr>
                <w:t>Fasken Martineau DuMoulin LLP</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49497d1_ex5-1.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6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74"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49497d1_ex23-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5152" w:type="dxa"/>
            <w:tcBorders/>
            <w:tcMar>
              <w:bottom w:w="0" w:type="dxa"/>
            </w:tcMar>
            <w:vAlign w:val="center"/>
          </w:tcPr>
          <w:p>
            <w:pPr>
              <w:pStyle w:val="TableContents"/>
              <w:bidi w:val="0"/>
              <w:spacing w:before="0" w:after="283"/>
              <w:jc w:val="both"/>
              <w:rPr/>
            </w:pPr>
            <w:hyperlink w:anchor="tm249497d1_ex23-1.htm">
              <w:r>
                <w:rPr>
                  <w:rStyle w:val="InternetLink"/>
                  <w:rFonts w:ascii="Times New Roman;Times;Serif" w:hAnsi="Times New Roman;Times;Serif"/>
                  <w:sz w:val="20"/>
                </w:rPr>
                <w:t xml:space="preserve">Consent of Ernst &amp; Young LLP independent registered public accounting firm of TMC the metals company Inc. </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49497d1_ex23-1.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6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74"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49497d1_ex5-1.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5152" w:type="dxa"/>
            <w:tcBorders/>
            <w:tcMar>
              <w:bottom w:w="0" w:type="dxa"/>
            </w:tcMar>
            <w:vAlign w:val="center"/>
          </w:tcPr>
          <w:p>
            <w:pPr>
              <w:pStyle w:val="TableContents"/>
              <w:bidi w:val="0"/>
              <w:spacing w:before="0" w:after="283"/>
              <w:jc w:val="both"/>
              <w:rPr/>
            </w:pPr>
            <w:hyperlink w:anchor="tm249497d1_ex5-1.htm">
              <w:r>
                <w:rPr>
                  <w:rStyle w:val="InternetLink"/>
                  <w:rFonts w:ascii="Times New Roman;Times;Serif" w:hAnsi="Times New Roman;Times;Serif"/>
                  <w:sz w:val="20"/>
                </w:rPr>
                <w:t xml:space="preserve">Consent of </w:t>
              </w:r>
            </w:hyperlink>
            <w:hyperlink w:anchor="tm249497d1_ex5-1.htm">
              <w:r>
                <w:rPr>
                  <w:rStyle w:val="InternetLink"/>
                  <w:rFonts w:ascii="Times New Roman;Times;Serif" w:hAnsi="Times New Roman;Times;Serif"/>
                  <w:sz w:val="20"/>
                  <w:shd w:fill="FFFFFF" w:val="clear"/>
                </w:rPr>
                <w:t>Fasken Martineau DuMoulin LLP</w:t>
              </w:r>
            </w:hyperlink>
            <w:hyperlink w:anchor="tm249497d1_ex5-1.htm">
              <w:r>
                <w:rPr>
                  <w:rStyle w:val="InternetLink"/>
                  <w:rFonts w:ascii="Times New Roman;Times;Serif" w:hAnsi="Times New Roman;Times;Serif"/>
                  <w:sz w:val="20"/>
                </w:rPr>
                <w:t xml:space="preserve"> (included in Exhibit 5.1)</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49497d1_ex5-1.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6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74"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poa_001">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5152" w:type="dxa"/>
            <w:tcBorders/>
            <w:tcMar>
              <w:bottom w:w="0" w:type="dxa"/>
            </w:tcMar>
            <w:vAlign w:val="center"/>
          </w:tcPr>
          <w:p>
            <w:pPr>
              <w:pStyle w:val="TableContents"/>
              <w:bidi w:val="0"/>
              <w:spacing w:before="0" w:after="283"/>
              <w:jc w:val="left"/>
              <w:rPr/>
            </w:pPr>
            <w:hyperlink w:anchor="poa_001">
              <w:r>
                <w:rPr>
                  <w:rStyle w:val="InternetLink"/>
                  <w:rFonts w:ascii="Times New Roman;Times;Serif" w:hAnsi="Times New Roman;Times;Serif"/>
                  <w:sz w:val="20"/>
                </w:rPr>
                <w:t>Power of Attorney (included on the signature page hereof)</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poa_001">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6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74"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r:id="rId17">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152" w:type="dxa"/>
            <w:tcBorders/>
            <w:tcMar>
              <w:bottom w:w="0" w:type="dxa"/>
            </w:tcMar>
            <w:vAlign w:val="center"/>
          </w:tcPr>
          <w:p>
            <w:pPr>
              <w:pStyle w:val="TableContents"/>
              <w:bidi w:val="0"/>
              <w:spacing w:before="0" w:after="283"/>
              <w:jc w:val="left"/>
              <w:rPr/>
            </w:pPr>
            <w:hyperlink r:id="rId18">
              <w:r>
                <w:rPr>
                  <w:rStyle w:val="InternetLink"/>
                  <w:rFonts w:ascii="Times New Roman;Times;Serif" w:hAnsi="Times New Roman;Times;Serif"/>
                  <w:sz w:val="20"/>
                </w:rPr>
                <w:t>TMC the metals company Inc. 2021 Incentive Equity Plan</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14" w:type="dxa"/>
            <w:tcBorders/>
            <w:tcMar>
              <w:bottom w:w="0" w:type="dxa"/>
            </w:tcMar>
            <w:vAlign w:val="center"/>
          </w:tcPr>
          <w:p>
            <w:pPr>
              <w:pStyle w:val="TableContents"/>
              <w:bidi w:val="0"/>
              <w:spacing w:before="0" w:after="283"/>
              <w:jc w:val="center"/>
              <w:rPr/>
            </w:pPr>
            <w:hyperlink r:id="rId19">
              <w:r>
                <w:rPr>
                  <w:rStyle w:val="InternetLink"/>
                  <w:rFonts w:ascii="Times New Roman;Times;Serif" w:hAnsi="Times New Roman;Times;Serif"/>
                  <w:sz w:val="20"/>
                </w:rPr>
                <w:t>Form 8-K</w:t>
                <w:br/>
                <w:t>(Exhibit 10.23.1)</w:t>
              </w:r>
            </w:hyperlink>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pPr>
            <w:hyperlink r:id="rId20">
              <w:r>
                <w:rPr>
                  <w:rStyle w:val="InternetLink"/>
                  <w:rFonts w:ascii="Times New Roman;Times;Serif" w:hAnsi="Times New Roman;Times;Serif"/>
                  <w:sz w:val="20"/>
                </w:rPr>
                <w:t>9/15/2021</w:t>
              </w:r>
            </w:hyperlink>
          </w:p>
        </w:tc>
        <w:tc>
          <w:tcPr>
            <w:tcW w:w="60" w:type="dxa"/>
            <w:tcBorders/>
            <w:tcMar>
              <w:bottom w:w="0" w:type="dxa"/>
            </w:tcMar>
            <w:vAlign w:val="center"/>
          </w:tcPr>
          <w:p>
            <w:pPr>
              <w:pStyle w:val="TableContents"/>
              <w:bidi w:val="0"/>
              <w:spacing w:before="0" w:after="283"/>
              <w:jc w:val="center"/>
              <w:rPr/>
            </w:pPr>
            <w:r>
              <w:rPr/>
              <w:t> </w:t>
            </w:r>
          </w:p>
        </w:tc>
        <w:tc>
          <w:tcPr>
            <w:tcW w:w="874" w:type="dxa"/>
            <w:tcBorders/>
            <w:tcMar>
              <w:bottom w:w="0" w:type="dxa"/>
            </w:tcMar>
            <w:vAlign w:val="center"/>
          </w:tcPr>
          <w:p>
            <w:pPr>
              <w:pStyle w:val="TableContents"/>
              <w:bidi w:val="0"/>
              <w:spacing w:before="0" w:after="283"/>
              <w:jc w:val="center"/>
              <w:rPr/>
            </w:pPr>
            <w:hyperlink r:id="rId21">
              <w:r>
                <w:rPr>
                  <w:rStyle w:val="InternetLink"/>
                  <w:rFonts w:ascii="Times New Roman;Times;Serif" w:hAnsi="Times New Roman;Times;Serif"/>
                  <w:sz w:val="20"/>
                </w:rPr>
                <w:t>001-39281</w:t>
              </w:r>
            </w:hyperlink>
          </w:p>
        </w:tc>
      </w:tr>
      <w:tr>
        <w:trPr/>
        <w:tc>
          <w:tcPr>
            <w:tcW w:w="725" w:type="dxa"/>
            <w:tcBorders/>
            <w:tcMar>
              <w:bottom w:w="0" w:type="dxa"/>
            </w:tcMar>
            <w:vAlign w:val="center"/>
          </w:tcPr>
          <w:p>
            <w:pPr>
              <w:pStyle w:val="TableContents"/>
              <w:bidi w:val="0"/>
              <w:spacing w:before="0" w:after="283"/>
              <w:jc w:val="center"/>
              <w:rPr/>
            </w:pPr>
            <w:hyperlink r:id="rId22">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5152"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Form of Stock Option Agreement under TMC the metals company Inc. 2021 Incentive Equity Plan</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14" w:type="dxa"/>
            <w:tcBorders/>
            <w:tcMar>
              <w:bottom w:w="0" w:type="dxa"/>
            </w:tcMar>
            <w:vAlign w:val="center"/>
          </w:tcPr>
          <w:p>
            <w:pPr>
              <w:pStyle w:val="TableContents"/>
              <w:bidi w:val="0"/>
              <w:spacing w:before="0" w:after="283"/>
              <w:jc w:val="center"/>
              <w:rPr/>
            </w:pPr>
            <w:hyperlink r:id="rId24">
              <w:r>
                <w:rPr>
                  <w:rStyle w:val="InternetLink"/>
                  <w:rFonts w:ascii="Times New Roman;Times;Serif" w:hAnsi="Times New Roman;Times;Serif"/>
                  <w:sz w:val="20"/>
                </w:rPr>
                <w:t>Form 8-K</w:t>
                <w:br/>
                <w:t>(Exhibit 10.23.2)</w:t>
              </w:r>
            </w:hyperlink>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pPr>
            <w:hyperlink r:id="rId25">
              <w:r>
                <w:rPr>
                  <w:rStyle w:val="InternetLink"/>
                  <w:rFonts w:ascii="Times New Roman;Times;Serif" w:hAnsi="Times New Roman;Times;Serif"/>
                  <w:sz w:val="20"/>
                </w:rPr>
                <w:t>9/15/2021</w:t>
              </w:r>
            </w:hyperlink>
          </w:p>
        </w:tc>
        <w:tc>
          <w:tcPr>
            <w:tcW w:w="60" w:type="dxa"/>
            <w:tcBorders/>
            <w:tcMar>
              <w:bottom w:w="0" w:type="dxa"/>
            </w:tcMar>
            <w:vAlign w:val="center"/>
          </w:tcPr>
          <w:p>
            <w:pPr>
              <w:pStyle w:val="TableContents"/>
              <w:bidi w:val="0"/>
              <w:spacing w:before="0" w:after="283"/>
              <w:jc w:val="center"/>
              <w:rPr/>
            </w:pPr>
            <w:r>
              <w:rPr/>
              <w:t> </w:t>
            </w:r>
          </w:p>
        </w:tc>
        <w:tc>
          <w:tcPr>
            <w:tcW w:w="874" w:type="dxa"/>
            <w:tcBorders/>
            <w:tcMar>
              <w:bottom w:w="0" w:type="dxa"/>
            </w:tcMar>
            <w:vAlign w:val="center"/>
          </w:tcPr>
          <w:p>
            <w:pPr>
              <w:pStyle w:val="TableContents"/>
              <w:bidi w:val="0"/>
              <w:spacing w:before="0" w:after="283"/>
              <w:jc w:val="center"/>
              <w:rPr/>
            </w:pPr>
            <w:hyperlink r:id="rId26">
              <w:r>
                <w:rPr>
                  <w:rStyle w:val="InternetLink"/>
                  <w:rFonts w:ascii="Times New Roman;Times;Serif" w:hAnsi="Times New Roman;Times;Serif"/>
                  <w:sz w:val="20"/>
                </w:rPr>
                <w:t>001-39281</w:t>
              </w:r>
            </w:hyperlink>
          </w:p>
        </w:tc>
      </w:tr>
      <w:tr>
        <w:trPr/>
        <w:tc>
          <w:tcPr>
            <w:tcW w:w="725" w:type="dxa"/>
            <w:tcBorders/>
            <w:tcMar>
              <w:bottom w:w="0" w:type="dxa"/>
            </w:tcMar>
            <w:vAlign w:val="center"/>
          </w:tcPr>
          <w:p>
            <w:pPr>
              <w:pStyle w:val="TableContents"/>
              <w:bidi w:val="0"/>
              <w:spacing w:before="0" w:after="283"/>
              <w:jc w:val="center"/>
              <w:rPr/>
            </w:pPr>
            <w:hyperlink r:id="rId27">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5152" w:type="dxa"/>
            <w:tcBorders/>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sz w:val="20"/>
                </w:rPr>
                <w:t>Form of Restricted Stock Unit Agreement under TMC the metals company Inc. 2021 Incentive Equity Plan</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14" w:type="dxa"/>
            <w:tcBorders/>
            <w:tcMar>
              <w:bottom w:w="0" w:type="dxa"/>
            </w:tcMar>
            <w:vAlign w:val="center"/>
          </w:tcPr>
          <w:p>
            <w:pPr>
              <w:pStyle w:val="TableContents"/>
              <w:bidi w:val="0"/>
              <w:spacing w:before="0" w:after="283"/>
              <w:jc w:val="center"/>
              <w:rPr/>
            </w:pPr>
            <w:hyperlink r:id="rId29">
              <w:r>
                <w:rPr>
                  <w:rStyle w:val="InternetLink"/>
                  <w:rFonts w:ascii="Times New Roman;Times;Serif" w:hAnsi="Times New Roman;Times;Serif"/>
                  <w:sz w:val="20"/>
                </w:rPr>
                <w:t>Form S-8</w:t>
                <w:br/>
                <w:t>(Exhibit 99.3)</w:t>
              </w:r>
            </w:hyperlink>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pPr>
            <w:hyperlink r:id="rId30">
              <w:r>
                <w:rPr>
                  <w:rStyle w:val="InternetLink"/>
                  <w:rFonts w:ascii="Times New Roman;Times;Serif" w:hAnsi="Times New Roman;Times;Serif"/>
                  <w:sz w:val="20"/>
                </w:rPr>
                <w:t>11/19/2021</w:t>
              </w:r>
            </w:hyperlink>
          </w:p>
        </w:tc>
        <w:tc>
          <w:tcPr>
            <w:tcW w:w="60" w:type="dxa"/>
            <w:tcBorders/>
            <w:tcMar>
              <w:bottom w:w="0" w:type="dxa"/>
            </w:tcMar>
            <w:vAlign w:val="center"/>
          </w:tcPr>
          <w:p>
            <w:pPr>
              <w:pStyle w:val="TableContents"/>
              <w:bidi w:val="0"/>
              <w:spacing w:before="0" w:after="283"/>
              <w:jc w:val="center"/>
              <w:rPr/>
            </w:pPr>
            <w:r>
              <w:rPr/>
              <w:t> </w:t>
            </w:r>
          </w:p>
        </w:tc>
        <w:tc>
          <w:tcPr>
            <w:tcW w:w="874" w:type="dxa"/>
            <w:tcBorders/>
            <w:tcMar>
              <w:bottom w:w="0" w:type="dxa"/>
            </w:tcMar>
            <w:vAlign w:val="center"/>
          </w:tcPr>
          <w:p>
            <w:pPr>
              <w:pStyle w:val="TableContents"/>
              <w:bidi w:val="0"/>
              <w:spacing w:before="0" w:after="283"/>
              <w:jc w:val="center"/>
              <w:rPr/>
            </w:pPr>
            <w:hyperlink r:id="rId31">
              <w:r>
                <w:rPr>
                  <w:rStyle w:val="InternetLink"/>
                  <w:rFonts w:ascii="Times New Roman;Times;Serif" w:hAnsi="Times New Roman;Times;Serif"/>
                  <w:sz w:val="20"/>
                </w:rPr>
                <w:t>333-261221</w:t>
              </w:r>
            </w:hyperlink>
          </w:p>
        </w:tc>
      </w:tr>
      <w:tr>
        <w:trPr/>
        <w:tc>
          <w:tcPr>
            <w:tcW w:w="725" w:type="dxa"/>
            <w:tcBorders/>
            <w:tcMar>
              <w:bottom w:w="0" w:type="dxa"/>
            </w:tcMar>
            <w:vAlign w:val="center"/>
          </w:tcPr>
          <w:p>
            <w:pPr>
              <w:pStyle w:val="TableContents"/>
              <w:bidi w:val="0"/>
              <w:spacing w:before="0" w:after="283"/>
              <w:jc w:val="center"/>
              <w:rPr/>
            </w:pPr>
            <w:hyperlink w:anchor="tm249497d1_ex-filingfees.htm">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5152" w:type="dxa"/>
            <w:tcBorders/>
            <w:tcMar>
              <w:bottom w:w="0" w:type="dxa"/>
            </w:tcMar>
            <w:vAlign w:val="center"/>
          </w:tcPr>
          <w:p>
            <w:pPr>
              <w:pStyle w:val="TableContents"/>
              <w:bidi w:val="0"/>
              <w:spacing w:before="0" w:after="283"/>
              <w:jc w:val="left"/>
              <w:rPr/>
            </w:pPr>
            <w:hyperlink w:anchor="tm249497d1_ex-filingfees.htm">
              <w:r>
                <w:rPr>
                  <w:rStyle w:val="InternetLink"/>
                  <w:rFonts w:ascii="Times New Roman;Times;Serif" w:hAnsi="Times New Roman;Times;Serif"/>
                  <w:sz w:val="20"/>
                </w:rPr>
                <w:t>Filing Fee Table</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49497d1_ex-filingfees.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6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74"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Denotes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has duly caused this registration statement on Form S-8 to be signed on its behalf by the undersigned, thereunto duly authorized in New York, New York on March 25, 2024.</w:t>
      </w:r>
    </w:p>
    <w:p>
      <w:pPr>
        <w:pStyle w:val="TextBody"/>
        <w:bidi w:val="0"/>
        <w:spacing w:before="0" w:after="0"/>
        <w:ind w:left="0" w:right="0" w:hanging="0"/>
        <w:jc w:val="left"/>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75"/>
        <w:gridCol w:w="475"/>
        <w:gridCol w:w="2814"/>
      </w:tblGrid>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Craig Shesky</w:t>
            </w:r>
          </w:p>
        </w:tc>
      </w:tr>
      <w:tr>
        <w:trPr/>
        <w:tc>
          <w:tcPr>
            <w:tcW w:w="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caps w:val="false"/>
                <w:smallCaps w:val="false"/>
              </w:rPr>
            </w:pPr>
            <w:r>
              <w:rPr>
                <w:caps w:val="false"/>
                <w:smallCaps w:val="false"/>
              </w:rPr>
              <w:t> </w:t>
            </w:r>
          </w:p>
        </w:tc>
        <w:tc>
          <w:tcPr>
            <w:tcW w:w="2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Shesky</w:t>
            </w:r>
          </w:p>
        </w:tc>
      </w:tr>
      <w:tr>
        <w:trPr/>
        <w:tc>
          <w:tcPr>
            <w:tcW w:w="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caps w:val="false"/>
                <w:smallCaps w:val="false"/>
              </w:rPr>
            </w:pPr>
            <w:r>
              <w:rPr>
                <w:caps w:val="false"/>
                <w:smallCaps w:val="false"/>
              </w:rPr>
              <w:t> </w:t>
            </w:r>
          </w:p>
        </w:tc>
        <w:tc>
          <w:tcPr>
            <w:tcW w:w="2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o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each of Gerard Barron and Craig Shesky,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dated indicated.</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2885"/>
        <w:gridCol w:w="60"/>
        <w:gridCol w:w="3740"/>
        <w:gridCol w:w="60"/>
        <w:gridCol w:w="1325"/>
      </w:tblGrid>
      <w:tr>
        <w:trPr/>
        <w:tc>
          <w:tcPr>
            <w:tcW w:w="2885" w:type="dxa"/>
            <w:tcBorders>
              <w:bottom w:val="single" w:sz="8" w:space="0" w:color="000000"/>
            </w:tcBorders>
            <w:vAlign w:val="center"/>
          </w:tcPr>
          <w:p>
            <w:pPr>
              <w:pStyle w:val="TableContents"/>
              <w:bidi w:val="0"/>
              <w:spacing w:before="0" w:after="283"/>
              <w:jc w:val="center"/>
              <w:rPr>
                <w:b/>
              </w:rPr>
            </w:pPr>
            <w:r>
              <w:rPr>
                <w:b/>
              </w:rPr>
              <w:t xml:space="preserve">Signature </w:t>
            </w:r>
          </w:p>
        </w:tc>
        <w:tc>
          <w:tcPr>
            <w:tcW w:w="60" w:type="dxa"/>
            <w:tcBorders/>
            <w:tcMar>
              <w:bottom w:w="0" w:type="dxa"/>
            </w:tcMar>
            <w:vAlign w:val="center"/>
          </w:tcPr>
          <w:p>
            <w:pPr>
              <w:pStyle w:val="TableContents"/>
              <w:bidi w:val="0"/>
              <w:spacing w:before="0" w:after="283"/>
              <w:jc w:val="center"/>
              <w:rPr/>
            </w:pPr>
            <w:r>
              <w:rPr/>
              <w:t> </w:t>
            </w:r>
          </w:p>
        </w:tc>
        <w:tc>
          <w:tcPr>
            <w:tcW w:w="3740" w:type="dxa"/>
            <w:tcBorders>
              <w:bottom w:val="single" w:sz="8" w:space="0" w:color="000000"/>
            </w:tcBorders>
            <w:vAlign w:val="center"/>
          </w:tcPr>
          <w:p>
            <w:pPr>
              <w:pStyle w:val="TableContents"/>
              <w:bidi w:val="0"/>
              <w:spacing w:before="0" w:after="283"/>
              <w:jc w:val="center"/>
              <w:rPr>
                <w:b/>
              </w:rPr>
            </w:pPr>
            <w:r>
              <w:rPr>
                <w:b/>
              </w:rPr>
              <w:t xml:space="preserve">Title </w:t>
            </w:r>
          </w:p>
        </w:tc>
        <w:tc>
          <w:tcPr>
            <w:tcW w:w="60" w:type="dxa"/>
            <w:tcBorders/>
            <w:tcMar>
              <w:bottom w:w="0" w:type="dxa"/>
            </w:tcMar>
            <w:vAlign w:val="center"/>
          </w:tcPr>
          <w:p>
            <w:pPr>
              <w:pStyle w:val="TableContents"/>
              <w:bidi w:val="0"/>
              <w:spacing w:before="0" w:after="283"/>
              <w:jc w:val="center"/>
              <w:rPr/>
            </w:pPr>
            <w:r>
              <w:rPr/>
              <w:t> </w:t>
            </w:r>
          </w:p>
        </w:tc>
        <w:tc>
          <w:tcPr>
            <w:tcW w:w="1325" w:type="dxa"/>
            <w:tcBorders>
              <w:bottom w:val="single" w:sz="8" w:space="0" w:color="000000"/>
            </w:tcBorders>
            <w:vAlign w:val="center"/>
          </w:tcPr>
          <w:p>
            <w:pPr>
              <w:pStyle w:val="TableContents"/>
              <w:bidi w:val="0"/>
              <w:spacing w:before="0" w:after="283"/>
              <w:jc w:val="center"/>
              <w:rPr>
                <w:b/>
              </w:rPr>
            </w:pPr>
            <w:r>
              <w:rPr>
                <w:b/>
              </w:rPr>
              <w:t xml:space="preserve">Date </w:t>
            </w:r>
          </w:p>
        </w:tc>
      </w:tr>
      <w:tr>
        <w:trPr/>
        <w:tc>
          <w:tcPr>
            <w:tcW w:w="2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885" w:type="dxa"/>
            <w:tcBorders>
              <w:bottom w:val="single" w:sz="8" w:space="0" w:color="000000"/>
            </w:tcBorders>
            <w:vAlign w:val="center"/>
          </w:tcPr>
          <w:p>
            <w:pPr>
              <w:pStyle w:val="TableContents"/>
              <w:bidi w:val="0"/>
              <w:spacing w:before="0" w:after="283"/>
              <w:jc w:val="center"/>
              <w:rPr/>
            </w:pPr>
            <w:r>
              <w:rPr/>
              <w:t>/s/ Gerard Barron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Chairman</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25, 2024</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Gerard Barron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bottom w:val="single" w:sz="8" w:space="0" w:color="000000"/>
            </w:tcBorders>
            <w:vAlign w:val="center"/>
          </w:tcPr>
          <w:p>
            <w:pPr>
              <w:pStyle w:val="TableContents"/>
              <w:bidi w:val="0"/>
              <w:spacing w:before="0" w:after="283"/>
              <w:jc w:val="center"/>
              <w:rPr/>
            </w:pPr>
            <w:r>
              <w:rPr/>
              <w:t>/s/ Craig Shesky</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25, 2024</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Craig Shesky</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bottom w:val="single" w:sz="8" w:space="0" w:color="000000"/>
            </w:tcBorders>
            <w:vAlign w:val="center"/>
          </w:tcPr>
          <w:p>
            <w:pPr>
              <w:pStyle w:val="TableContents"/>
              <w:bidi w:val="0"/>
              <w:spacing w:before="0" w:after="283"/>
              <w:jc w:val="center"/>
              <w:rPr/>
            </w:pPr>
            <w:r>
              <w:rPr/>
              <w:t>/s/ Andrew C. Greig</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25, 2024</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Andrew C. Greig</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bottom w:val="single" w:sz="8" w:space="0" w:color="000000"/>
            </w:tcBorders>
            <w:vAlign w:val="center"/>
          </w:tcPr>
          <w:p>
            <w:pPr>
              <w:pStyle w:val="TableContents"/>
              <w:bidi w:val="0"/>
              <w:spacing w:before="0" w:after="283"/>
              <w:jc w:val="center"/>
              <w:rPr/>
            </w:pPr>
            <w:r>
              <w:rPr/>
              <w:t>/s/ Andrew Hall</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25, 2024</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Andrew Hall</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bottom w:val="single" w:sz="8" w:space="0" w:color="000000"/>
            </w:tcBorders>
            <w:vAlign w:val="center"/>
          </w:tcPr>
          <w:p>
            <w:pPr>
              <w:pStyle w:val="TableContents"/>
              <w:bidi w:val="0"/>
              <w:spacing w:before="0" w:after="283"/>
              <w:jc w:val="center"/>
              <w:rPr/>
            </w:pPr>
            <w:r>
              <w:rPr/>
              <w:t>/s/ Andrei Karkar</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25, 2024</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Andrei Karkar</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bottom w:val="single" w:sz="8" w:space="0" w:color="000000"/>
            </w:tcBorders>
            <w:vAlign w:val="center"/>
          </w:tcPr>
          <w:p>
            <w:pPr>
              <w:pStyle w:val="TableContents"/>
              <w:bidi w:val="0"/>
              <w:spacing w:before="0" w:after="283"/>
              <w:jc w:val="center"/>
              <w:rPr/>
            </w:pPr>
            <w:r>
              <w:rPr/>
              <w:t>/s/ Sheila Khama</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25, 2024</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Sheila Khama</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bottom w:val="single" w:sz="8" w:space="0" w:color="000000"/>
            </w:tcBorders>
            <w:vAlign w:val="center"/>
          </w:tcPr>
          <w:p>
            <w:pPr>
              <w:pStyle w:val="TableContents"/>
              <w:bidi w:val="0"/>
              <w:spacing w:before="0" w:after="283"/>
              <w:jc w:val="center"/>
              <w:rPr/>
            </w:pPr>
            <w:r>
              <w:rPr/>
              <w:t>/s/ Christian Madsbjerg</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25, 2024</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Christian Madsbjerg</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bottom w:val="single" w:sz="8" w:space="0" w:color="000000"/>
            </w:tcBorders>
            <w:vAlign w:val="center"/>
          </w:tcPr>
          <w:p>
            <w:pPr>
              <w:pStyle w:val="TableContents"/>
              <w:bidi w:val="0"/>
              <w:spacing w:before="0" w:after="283"/>
              <w:jc w:val="center"/>
              <w:rPr/>
            </w:pPr>
            <w:r>
              <w:rPr/>
              <w:t>/s/ Kathleen McAllister</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25, 2024</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Kathleen McAllister</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885" w:type="dxa"/>
            <w:tcBorders>
              <w:bottom w:val="single" w:sz="8" w:space="0" w:color="000000"/>
            </w:tcBorders>
            <w:vAlign w:val="center"/>
          </w:tcPr>
          <w:p>
            <w:pPr>
              <w:pStyle w:val="TableContents"/>
              <w:bidi w:val="0"/>
              <w:spacing w:before="0" w:after="283"/>
              <w:jc w:val="center"/>
              <w:rPr/>
            </w:pPr>
            <w:r>
              <w:rPr/>
              <w:t>/s/ Amelia Kinahoi Siamomua</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25, 2024</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Amelia Kinahoi Siamomua</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 w:name="tm249497d1_ex5-1.htm"/>
      <w:bookmarkStart w:id="4" w:name="kstm249497d1_ex51"/>
      <w:bookmarkEnd w:id="3"/>
      <w:bookmarkEnd w:id="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94030" cy="1098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2"/>
                    <a:stretch>
                      <a:fillRect/>
                    </a:stretch>
                  </pic:blipFill>
                  <pic:spPr bwMode="auto">
                    <a:xfrm>
                      <a:off x="0" y="0"/>
                      <a:ext cx="494030" cy="10985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724775"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3"/>
                    <a:stretch>
                      <a:fillRect/>
                    </a:stretch>
                  </pic:blipFill>
                  <pic:spPr bwMode="auto">
                    <a:xfrm>
                      <a:off x="0" y="0"/>
                      <a:ext cx="7724775"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2024</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328015.00001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br/>
        <w:t>595 Howe Street, 10th Floor</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British Columbia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V6C 2T5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Sirs/Mesdames:</w:t>
      </w:r>
    </w:p>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395"/>
        <w:gridCol w:w="7025"/>
      </w:tblGrid>
      <w:tr>
        <w:trPr/>
        <w:tc>
          <w:tcPr>
            <w:tcW w:w="395" w:type="dxa"/>
            <w:tcBorders/>
            <w:vAlign w:val="center"/>
          </w:tcPr>
          <w:p>
            <w:pPr>
              <w:pStyle w:val="TableContents"/>
              <w:bidi w:val="0"/>
              <w:spacing w:before="0" w:after="283"/>
              <w:jc w:val="left"/>
              <w:rPr>
                <w:b/>
              </w:rPr>
            </w:pPr>
            <w:r>
              <w:rPr>
                <w:b/>
              </w:rPr>
              <w:t>Re:</w:t>
            </w:r>
          </w:p>
        </w:tc>
        <w:tc>
          <w:tcPr>
            <w:tcW w:w="7025" w:type="dxa"/>
            <w:tcBorders/>
            <w:vAlign w:val="center"/>
          </w:tcPr>
          <w:p>
            <w:pPr>
              <w:pStyle w:val="TableContents"/>
              <w:bidi w:val="0"/>
              <w:spacing w:before="0" w:after="283"/>
              <w:jc w:val="left"/>
              <w:rPr>
                <w:b/>
              </w:rPr>
            </w:pPr>
            <w:r>
              <w:rPr>
                <w:b/>
              </w:rPr>
              <w:t>TMC the metals company Inc. – Registration Statement on Form S-8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Canadian counsel to TMC the metals company Inc., a corporation continued under the laws of the Province of British Columbia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in connection with the filing of a registration statement on Form S-8 (as may be amended,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The Registration Statement relates to registering the issuance of an additional aggregate of 12,262,348 common shares without par value in the capital of the Corporation (the “</w:t>
      </w:r>
      <w:r>
        <w:rPr>
          <w:rFonts w:ascii="Times New Roman;Times;Serif" w:hAnsi="Times New Roman;Times;Serif"/>
          <w:b/>
          <w:i w:val="false"/>
          <w:caps w:val="false"/>
          <w:smallCaps w:val="false"/>
          <w:sz w:val="20"/>
        </w:rPr>
        <w:t>2024 IEP Shares</w:t>
      </w:r>
      <w:r>
        <w:rPr>
          <w:rFonts w:ascii="Times New Roman;Times;Serif" w:hAnsi="Times New Roman;Times;Serif"/>
          <w:b w:val="false"/>
          <w:i w:val="false"/>
          <w:caps w:val="false"/>
          <w:smallCaps w:val="false"/>
          <w:sz w:val="20"/>
        </w:rPr>
        <w:t>”) issuable upon exercise of the awards (the “</w:t>
      </w:r>
      <w:r>
        <w:rPr>
          <w:rFonts w:ascii="Times New Roman;Times;Serif" w:hAnsi="Times New Roman;Times;Serif"/>
          <w:b/>
          <w:i w:val="false"/>
          <w:caps w:val="false"/>
          <w:smallCaps w:val="false"/>
          <w:sz w:val="20"/>
        </w:rPr>
        <w:t>2024 IEP Awards</w:t>
      </w:r>
      <w:r>
        <w:rPr>
          <w:rFonts w:ascii="Times New Roman;Times;Serif" w:hAnsi="Times New Roman;Times;Serif"/>
          <w:b w:val="false"/>
          <w:i w:val="false"/>
          <w:caps w:val="false"/>
          <w:smallCaps w:val="false"/>
          <w:sz w:val="20"/>
        </w:rPr>
        <w:t>”) outstanding under and in accordance with the terms of the 2021 Incentive Equity Plan of the Corporation (the “</w:t>
      </w:r>
      <w:r>
        <w:rPr>
          <w:rFonts w:ascii="Times New Roman;Times;Serif" w:hAnsi="Times New Roman;Times;Serif"/>
          <w:b/>
          <w:i w:val="false"/>
          <w:caps w:val="false"/>
          <w:smallCaps w:val="false"/>
          <w:sz w:val="20"/>
        </w:rPr>
        <w:t>IEP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275"/>
        <w:gridCol w:w="3605"/>
      </w:tblGrid>
      <w:tr>
        <w:trPr/>
        <w:tc>
          <w:tcPr>
            <w:tcW w:w="275" w:type="dxa"/>
            <w:tcBorders/>
            <w:vAlign w:val="center"/>
          </w:tcPr>
          <w:p>
            <w:pPr>
              <w:pStyle w:val="TableContents"/>
              <w:bidi w:val="0"/>
              <w:spacing w:before="0" w:after="283"/>
              <w:jc w:val="left"/>
              <w:rPr>
                <w:b/>
              </w:rPr>
            </w:pPr>
            <w:r>
              <w:rPr>
                <w:b/>
              </w:rPr>
              <w:t>A.</w:t>
            </w:r>
          </w:p>
        </w:tc>
        <w:tc>
          <w:tcPr>
            <w:tcW w:w="3605" w:type="dxa"/>
            <w:tcBorders/>
            <w:vAlign w:val="center"/>
          </w:tcPr>
          <w:p>
            <w:pPr>
              <w:pStyle w:val="TableContents"/>
              <w:bidi w:val="0"/>
              <w:spacing w:before="0" w:after="283"/>
              <w:jc w:val="both"/>
              <w:rPr>
                <w:b/>
                <w:u w:val="single"/>
              </w:rPr>
            </w:pPr>
            <w:r>
              <w:rPr>
                <w:b/>
                <w:u w:val="single"/>
              </w:rPr>
              <w:t>Documents Reviewed and Reliance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Canadian counsel to the Corporation, we have examined original executed or electronically delivered copies, which have been certified or otherwise identified to our satisfaction,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1415"/>
        <w:gridCol w:w="8522"/>
      </w:tblGrid>
      <w:tr>
        <w:trPr/>
        <w:tc>
          <w:tcPr>
            <w:tcW w:w="26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pPr>
            <w:r>
              <w:rPr/>
              <w:t>1.</w:t>
            </w:r>
          </w:p>
        </w:tc>
        <w:tc>
          <w:tcPr>
            <w:tcW w:w="8522" w:type="dxa"/>
            <w:tcBorders/>
            <w:vAlign w:val="center"/>
          </w:tcPr>
          <w:p>
            <w:pPr>
              <w:pStyle w:val="TableContents"/>
              <w:bidi w:val="0"/>
              <w:spacing w:before="0" w:after="283"/>
              <w:jc w:val="both"/>
              <w:rPr/>
            </w:pPr>
            <w:r>
              <w:rPr/>
              <w:t>the IEP;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727"/>
        <w:gridCol w:w="9341"/>
      </w:tblGrid>
      <w:tr>
        <w:trPr/>
        <w:tc>
          <w:tcPr>
            <w:tcW w:w="13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pPr>
            <w:r>
              <w:rPr/>
              <w:t>2.</w:t>
            </w:r>
          </w:p>
        </w:tc>
        <w:tc>
          <w:tcPr>
            <w:tcW w:w="9341"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1.</w:t>
            </w:r>
          </w:p>
        </w:tc>
        <w:tc>
          <w:tcPr>
            <w:tcW w:w="9989" w:type="dxa"/>
            <w:tcBorders/>
            <w:vAlign w:val="center"/>
          </w:tcPr>
          <w:p>
            <w:pPr>
              <w:pStyle w:val="TableContents"/>
              <w:bidi w:val="0"/>
              <w:spacing w:before="0" w:after="283"/>
              <w:jc w:val="both"/>
              <w:rPr/>
            </w:pPr>
            <w:r>
              <w:rPr/>
              <w:t xml:space="preserve">a certificate of good standing dated March 25, 2024 issued pursuant to the </w:t>
            </w:r>
            <w:r>
              <w:rPr>
                <w:i/>
              </w:rPr>
              <w:t>Business Corporations Act</w:t>
            </w:r>
            <w:r>
              <w:rPr/>
              <w:t xml:space="preserve"> (British Columbia) relating to the Corporation;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2.</w:t>
            </w:r>
          </w:p>
        </w:tc>
        <w:tc>
          <w:tcPr>
            <w:tcW w:w="10018" w:type="dxa"/>
            <w:tcBorders/>
            <w:vAlign w:val="center"/>
          </w:tcPr>
          <w:p>
            <w:pPr>
              <w:pStyle w:val="TableContents"/>
              <w:bidi w:val="0"/>
              <w:spacing w:before="0" w:after="283"/>
              <w:jc w:val="both"/>
              <w:rPr/>
            </w:pPr>
            <w:r>
              <w:rPr/>
              <w:t>a certificate signed by the Chief Financial Officer of the Corporation dated as of the date hereof addressed to our firm, containing certain additional corporate information of a factual nature and attaching the constating documents of the Corporation, including the certificate of continuation, notice of articles and articles of the Corporation (the “</w:t>
            </w:r>
            <w:r>
              <w:rPr>
                <w:b/>
              </w:rPr>
              <w:t>Constating Documents</w:t>
            </w:r>
            <w:r>
              <w:rPr/>
              <w:t>”), and the resolutions of the directors of the Corporation authorizing and approving the issuance of the 2024 IEP Shares (the “</w:t>
            </w:r>
            <w:r>
              <w:rPr>
                <w:b/>
              </w:rPr>
              <w:t>Officer’s Certificate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9550" cy="257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4"/>
                    <a:stretch>
                      <a:fillRect/>
                    </a:stretch>
                  </pic:blipFill>
                  <pic:spPr bwMode="auto">
                    <a:xfrm>
                      <a:off x="0" y="0"/>
                      <a:ext cx="209550" cy="257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494030" cy="1098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5"/>
                    <a:stretch>
                      <a:fillRect/>
                    </a:stretch>
                  </pic:blipFill>
                  <pic:spPr bwMode="auto">
                    <a:xfrm>
                      <a:off x="0" y="0"/>
                      <a:ext cx="494030" cy="10985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various questions of fact material to the opinions provided herein, we have relied upon the Officer’s Certificate.</w:t>
      </w:r>
    </w:p>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60"/>
        <w:gridCol w:w="1730"/>
      </w:tblGrid>
      <w:tr>
        <w:trPr/>
        <w:tc>
          <w:tcPr>
            <w:tcW w:w="260" w:type="dxa"/>
            <w:tcBorders/>
            <w:vAlign w:val="center"/>
          </w:tcPr>
          <w:p>
            <w:pPr>
              <w:pStyle w:val="TableContents"/>
              <w:bidi w:val="0"/>
              <w:spacing w:before="0" w:after="283"/>
              <w:jc w:val="left"/>
              <w:rPr>
                <w:b/>
              </w:rPr>
            </w:pPr>
            <w:r>
              <w:rPr>
                <w:b/>
              </w:rPr>
              <w:t>B.</w:t>
            </w:r>
          </w:p>
        </w:tc>
        <w:tc>
          <w:tcPr>
            <w:tcW w:w="1730" w:type="dxa"/>
            <w:tcBorders/>
            <w:vAlign w:val="center"/>
          </w:tcPr>
          <w:p>
            <w:pPr>
              <w:pStyle w:val="TableContents"/>
              <w:bidi w:val="0"/>
              <w:spacing w:before="0" w:after="283"/>
              <w:jc w:val="both"/>
              <w:rPr>
                <w:b/>
                <w:u w:val="single"/>
              </w:rPr>
            </w:pPr>
            <w:r>
              <w:rPr>
                <w:b/>
                <w:u w:val="single"/>
              </w:rPr>
              <w:t>Laws Addressed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to practice law in the Province of British Columbia and our opinion herein is restricted to the laws of the Province of British Columbia and the federal laws of Canada applicable therein. We assume no obligation to update these opinions to take into account any changes in such laws or facts after the date hereof.</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75"/>
        <w:gridCol w:w="1340"/>
      </w:tblGrid>
      <w:tr>
        <w:trPr/>
        <w:tc>
          <w:tcPr>
            <w:tcW w:w="275" w:type="dxa"/>
            <w:tcBorders/>
            <w:vAlign w:val="center"/>
          </w:tcPr>
          <w:p>
            <w:pPr>
              <w:pStyle w:val="TableContents"/>
              <w:bidi w:val="0"/>
              <w:spacing w:before="0" w:after="283"/>
              <w:jc w:val="left"/>
              <w:rPr>
                <w:b/>
              </w:rPr>
            </w:pPr>
            <w:r>
              <w:rPr>
                <w:b/>
              </w:rPr>
              <w:t>C.</w:t>
            </w:r>
          </w:p>
        </w:tc>
        <w:tc>
          <w:tcPr>
            <w:tcW w:w="1340" w:type="dxa"/>
            <w:tcBorders/>
            <w:vAlign w:val="center"/>
          </w:tcPr>
          <w:p>
            <w:pPr>
              <w:pStyle w:val="TableContents"/>
              <w:bidi w:val="0"/>
              <w:spacing w:before="0" w:after="283"/>
              <w:jc w:val="both"/>
              <w:rPr>
                <w:b/>
                <w:u w:val="single"/>
              </w:rPr>
            </w:pPr>
            <w:r>
              <w:rPr>
                <w:b/>
                <w:u w:val="single"/>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opinions expressed herein, we have assumed, without independent investigation,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1.</w:t>
            </w:r>
          </w:p>
        </w:tc>
        <w:tc>
          <w:tcPr>
            <w:tcW w:w="10013" w:type="dxa"/>
            <w:tcBorders/>
            <w:vAlign w:val="center"/>
          </w:tcPr>
          <w:p>
            <w:pPr>
              <w:pStyle w:val="TableContents"/>
              <w:bidi w:val="0"/>
              <w:spacing w:before="0" w:after="283"/>
              <w:jc w:val="both"/>
              <w:rPr/>
            </w:pPr>
            <w:r>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2.</w:t>
            </w:r>
          </w:p>
        </w:tc>
        <w:tc>
          <w:tcPr>
            <w:tcW w:w="10002" w:type="dxa"/>
            <w:tcBorders/>
            <w:vAlign w:val="center"/>
          </w:tcPr>
          <w:p>
            <w:pPr>
              <w:pStyle w:val="TableContents"/>
              <w:bidi w:val="0"/>
              <w:spacing w:before="0" w:after="283"/>
              <w:jc w:val="both"/>
              <w:rPr/>
            </w:pPr>
            <w:r>
              <w:rPr/>
              <w:t>the completeness, accuracy and currency of the indices and filing systems maintained at the public offices where we have searched or made relevant inquiries and of other documents and certificates supplied by public officials;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90"/>
        <w:gridCol w:w="9861"/>
      </w:tblGrid>
      <w:tr>
        <w:trPr/>
        <w:tc>
          <w:tcPr>
            <w:tcW w:w="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9861" w:type="dxa"/>
            <w:tcBorders/>
            <w:vAlign w:val="center"/>
          </w:tcPr>
          <w:p>
            <w:pPr>
              <w:pStyle w:val="TableContents"/>
              <w:bidi w:val="0"/>
              <w:spacing w:before="0" w:after="283"/>
              <w:jc w:val="both"/>
              <w:rPr/>
            </w:pPr>
            <w:r>
              <w:rPr/>
              <w:t>that the Officer’s Certificate continues to be accurate on the date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4.</w:t>
            </w:r>
          </w:p>
        </w:tc>
        <w:tc>
          <w:tcPr>
            <w:tcW w:w="10013" w:type="dxa"/>
            <w:tcBorders/>
            <w:vAlign w:val="center"/>
          </w:tcPr>
          <w:p>
            <w:pPr>
              <w:pStyle w:val="TableContents"/>
              <w:bidi w:val="0"/>
              <w:spacing w:before="0" w:after="283"/>
              <w:jc w:val="both"/>
              <w:rPr/>
            </w:pPr>
            <w:r>
              <w:rPr/>
              <w:t>that the minute books and corporate records, or excerpts thereof, of the Corporation made available to us are the original minute books and records of the Corporation and contain all of the articles and constating documents of the Corporation and any amendments thereto and all of the respective minutes, or copies thereof, of all applicable proceedings of the shareholders and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5.</w:t>
            </w:r>
          </w:p>
        </w:tc>
        <w:tc>
          <w:tcPr>
            <w:tcW w:w="10009" w:type="dxa"/>
            <w:tcBorders/>
            <w:vAlign w:val="center"/>
          </w:tcPr>
          <w:p>
            <w:pPr>
              <w:pStyle w:val="TableContents"/>
              <w:bidi w:val="0"/>
              <w:spacing w:before="0" w:after="283"/>
              <w:jc w:val="both"/>
              <w:rPr/>
            </w:pPr>
            <w:r>
              <w:rPr/>
              <w:t>each of the the IEP and 2024 IEP Awards constitutes a legal, valid and binding obligation of the Corporation and the other parties thereto, enforceable against each of the parties thereto in accordance with its terms and the execution and delivery thereof was duly authorized by the parties thereto;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6.</w:t>
            </w:r>
          </w:p>
        </w:tc>
        <w:tc>
          <w:tcPr>
            <w:tcW w:w="10001" w:type="dxa"/>
            <w:tcBorders/>
            <w:vAlign w:val="center"/>
          </w:tcPr>
          <w:p>
            <w:pPr>
              <w:pStyle w:val="TableContents"/>
              <w:bidi w:val="0"/>
              <w:spacing w:before="0" w:after="283"/>
              <w:jc w:val="both"/>
              <w:rPr/>
            </w:pPr>
            <w:r>
              <w:rPr/>
              <w:t>that if any obligation under any document is required to be performed in a jurisdiction outside of the Province of British Columbia, the performance of that obligation will not be illegal under the laws of that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9075" cy="266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6"/>
                    <a:stretch>
                      <a:fillRect/>
                    </a:stretch>
                  </pic:blipFill>
                  <pic:spPr bwMode="auto">
                    <a:xfrm>
                      <a:off x="0" y="0"/>
                      <a:ext cx="219075" cy="266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494030" cy="10985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7"/>
                    <a:stretch>
                      <a:fillRect/>
                    </a:stretch>
                  </pic:blipFill>
                  <pic:spPr bwMode="auto">
                    <a:xfrm>
                      <a:off x="0" y="0"/>
                      <a:ext cx="494030" cy="10985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275"/>
        <w:gridCol w:w="905"/>
      </w:tblGrid>
      <w:tr>
        <w:trPr/>
        <w:tc>
          <w:tcPr>
            <w:tcW w:w="275" w:type="dxa"/>
            <w:tcBorders/>
            <w:vAlign w:val="center"/>
          </w:tcPr>
          <w:p>
            <w:pPr>
              <w:pStyle w:val="TableContents"/>
              <w:bidi w:val="0"/>
              <w:spacing w:before="0" w:after="283"/>
              <w:jc w:val="left"/>
              <w:rPr>
                <w:b/>
              </w:rPr>
            </w:pPr>
            <w:r>
              <w:rPr>
                <w:b/>
              </w:rPr>
              <w:t>D.</w:t>
            </w:r>
          </w:p>
        </w:tc>
        <w:tc>
          <w:tcPr>
            <w:tcW w:w="905" w:type="dxa"/>
            <w:tcBorders/>
            <w:vAlign w:val="center"/>
          </w:tcPr>
          <w:p>
            <w:pPr>
              <w:pStyle w:val="TableContents"/>
              <w:bidi w:val="0"/>
              <w:spacing w:before="0" w:after="283"/>
              <w:jc w:val="both"/>
              <w:rPr>
                <w:b/>
                <w:u w:val="single"/>
              </w:rPr>
            </w:pPr>
            <w:r>
              <w:rPr>
                <w:b/>
                <w:u w:val="single"/>
              </w:rPr>
              <w:t>Reliance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expressing the opinions set forth herein, in connection with certain factual matters pertaining to this opinion, we have relied exclusively and without independent investigation upon the Officer’s Certificate.</w:t>
      </w:r>
    </w:p>
    <w:p>
      <w:pPr>
        <w:pStyle w:val="TextBody"/>
        <w:bidi w:val="0"/>
        <w:spacing w:before="0" w:after="0"/>
        <w:ind w:left="0" w:right="0" w:hanging="0"/>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260"/>
        <w:gridCol w:w="950"/>
      </w:tblGrid>
      <w:tr>
        <w:trPr/>
        <w:tc>
          <w:tcPr>
            <w:tcW w:w="260" w:type="dxa"/>
            <w:tcBorders/>
            <w:vAlign w:val="center"/>
          </w:tcPr>
          <w:p>
            <w:pPr>
              <w:pStyle w:val="TableContents"/>
              <w:bidi w:val="0"/>
              <w:spacing w:before="0" w:after="283"/>
              <w:jc w:val="left"/>
              <w:rPr>
                <w:b/>
              </w:rPr>
            </w:pPr>
            <w:r>
              <w:rPr>
                <w:b/>
              </w:rPr>
              <w:t>E.</w:t>
            </w:r>
          </w:p>
        </w:tc>
        <w:tc>
          <w:tcPr>
            <w:tcW w:w="950" w:type="dxa"/>
            <w:tcBorders/>
            <w:vAlign w:val="center"/>
          </w:tcPr>
          <w:p>
            <w:pPr>
              <w:pStyle w:val="TableContents"/>
              <w:bidi w:val="0"/>
              <w:spacing w:before="0" w:after="283"/>
              <w:jc w:val="both"/>
              <w:rPr>
                <w:b/>
                <w:u w:val="single"/>
              </w:rPr>
            </w:pPr>
            <w:r>
              <w:rPr>
                <w:b/>
                <w:u w:val="single"/>
              </w:rPr>
              <w:t>Opinions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relying on the foregoing and the qualifications hereinafter expressed, we are of the opinion that the 2024 IEP Shares when issued in accordance with the terms of the IEP will be validly issued, fully paid and non-assessable common shares in the capital of the Corporation.</w:t>
      </w:r>
    </w:p>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245"/>
        <w:gridCol w:w="1430"/>
      </w:tblGrid>
      <w:tr>
        <w:trPr/>
        <w:tc>
          <w:tcPr>
            <w:tcW w:w="245" w:type="dxa"/>
            <w:tcBorders/>
            <w:vAlign w:val="center"/>
          </w:tcPr>
          <w:p>
            <w:pPr>
              <w:pStyle w:val="TableContents"/>
              <w:bidi w:val="0"/>
              <w:spacing w:before="0" w:after="283"/>
              <w:jc w:val="left"/>
              <w:rPr>
                <w:b/>
              </w:rPr>
            </w:pPr>
            <w:r>
              <w:rPr>
                <w:b/>
              </w:rPr>
              <w:t>F.</w:t>
            </w:r>
          </w:p>
        </w:tc>
        <w:tc>
          <w:tcPr>
            <w:tcW w:w="1430" w:type="dxa"/>
            <w:tcBorders/>
            <w:vAlign w:val="center"/>
          </w:tcPr>
          <w:p>
            <w:pPr>
              <w:pStyle w:val="TableContents"/>
              <w:bidi w:val="0"/>
              <w:spacing w:before="0" w:after="283"/>
              <w:jc w:val="both"/>
              <w:rPr>
                <w:b/>
                <w:u w:val="single"/>
              </w:rPr>
            </w:pPr>
            <w:r>
              <w:rPr>
                <w:b/>
                <w:u w:val="single"/>
              </w:rPr>
              <w:t>Qualifications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greater certainty, a specific assumption, limitation or qualification in this opinion is not to be interpreted to restrict the generality of any other assumption, limitation or qualification expressed in general terms in this opinion that includes the subject matter of the specific assumption, limitation or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giving this consent, we do not thereby admit that we are included in the category of persons whose consent is required under Section 7 or Section 11 of the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herein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truly,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Fasken Martineau DuMoulin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9075" cy="266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8"/>
                    <a:stretch>
                      <a:fillRect/>
                    </a:stretch>
                  </pic:blipFill>
                  <pic:spPr bwMode="auto">
                    <a:xfrm>
                      <a:off x="0" y="0"/>
                      <a:ext cx="219075" cy="266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 w:name="tm249497d1_ex23-1.htm"/>
      <w:bookmarkStart w:id="6" w:name="kstm249497d1_ex231"/>
      <w:bookmarkEnd w:id="5"/>
      <w:bookmarkEnd w:id="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pertaining to the 2021 Incentive Equity Plan of our report dated March 25, 2024 with respect to the consolidated financial statements of TMC the metals company Inc., included in its Annual Report (Form 10-K) for the year ended December 31, 2023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Canada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7" w:name="tm249497d1_ex-filingfees.htm"/>
      <w:bookmarkStart w:id="8" w:name="kstm249497d1_exfilingfees"/>
      <w:bookmarkEnd w:id="7"/>
      <w:bookmarkEnd w:id="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S-8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TMC the metal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1: Newly Registered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9"/>
        <w:gridCol w:w="189"/>
        <w:gridCol w:w="66"/>
        <w:gridCol w:w="1130"/>
        <w:gridCol w:w="66"/>
        <w:gridCol w:w="1181"/>
        <w:gridCol w:w="66"/>
        <w:gridCol w:w="66"/>
        <w:gridCol w:w="1050"/>
        <w:gridCol w:w="212"/>
        <w:gridCol w:w="66"/>
        <w:gridCol w:w="247"/>
        <w:gridCol w:w="753"/>
        <w:gridCol w:w="212"/>
        <w:gridCol w:w="66"/>
        <w:gridCol w:w="138"/>
        <w:gridCol w:w="1332"/>
        <w:gridCol w:w="66"/>
        <w:gridCol w:w="66"/>
        <w:gridCol w:w="138"/>
        <w:gridCol w:w="1117"/>
        <w:gridCol w:w="66"/>
        <w:gridCol w:w="66"/>
        <w:gridCol w:w="170"/>
        <w:gridCol w:w="1013"/>
        <w:gridCol w:w="94"/>
      </w:tblGrid>
      <w:tr>
        <w:trPr/>
        <w:tc>
          <w:tcPr>
            <w:tcW w:w="758" w:type="dxa"/>
            <w:gridSpan w:val="2"/>
            <w:tcBorders>
              <w:bottom w:val="single" w:sz="8" w:space="0" w:color="000000"/>
            </w:tcBorders>
            <w:vAlign w:val="center"/>
          </w:tcPr>
          <w:p>
            <w:pPr>
              <w:pStyle w:val="TableContents"/>
              <w:bidi w:val="0"/>
              <w:spacing w:before="0" w:after="283"/>
              <w:jc w:val="center"/>
              <w:rPr>
                <w:b/>
                <w:sz w:val="20"/>
              </w:rPr>
            </w:pPr>
            <w:r>
              <w:rPr>
                <w:b/>
                <w:sz w:val="20"/>
              </w:rPr>
              <w:t>Security</w:t>
              <w:br/>
              <w:t>Type</w:t>
            </w:r>
          </w:p>
        </w:tc>
        <w:tc>
          <w:tcPr>
            <w:tcW w:w="66" w:type="dxa"/>
            <w:tcBorders/>
            <w:tcMar>
              <w:bottom w:w="0" w:type="dxa"/>
            </w:tcMar>
            <w:vAlign w:val="center"/>
          </w:tcPr>
          <w:p>
            <w:pPr>
              <w:pStyle w:val="TableContents"/>
              <w:bidi w:val="0"/>
              <w:spacing w:before="0" w:after="283"/>
              <w:jc w:val="left"/>
              <w:rPr/>
            </w:pPr>
            <w:r>
              <w:rPr/>
              <w:t> </w:t>
            </w:r>
          </w:p>
        </w:tc>
        <w:tc>
          <w:tcPr>
            <w:tcW w:w="1130" w:type="dxa"/>
            <w:tcBorders>
              <w:bottom w:val="single" w:sz="8" w:space="0" w:color="000000"/>
            </w:tcBorders>
            <w:vAlign w:val="center"/>
          </w:tcPr>
          <w:p>
            <w:pPr>
              <w:pStyle w:val="TableContents"/>
              <w:bidi w:val="0"/>
              <w:spacing w:before="0" w:after="283"/>
              <w:jc w:val="center"/>
              <w:rPr>
                <w:b/>
                <w:sz w:val="20"/>
              </w:rPr>
            </w:pPr>
            <w:r>
              <w:rPr>
                <w:b/>
                <w:sz w:val="20"/>
              </w:rPr>
              <w:t xml:space="preserve">Security </w:t>
              <w:br/>
              <w:t>Class </w:t>
              <w:br/>
              <w:t>Title</w:t>
            </w:r>
          </w:p>
        </w:tc>
        <w:tc>
          <w:tcPr>
            <w:tcW w:w="66" w:type="dxa"/>
            <w:tcBorders/>
            <w:tcMar>
              <w:bottom w:w="0" w:type="dxa"/>
            </w:tcMar>
            <w:vAlign w:val="center"/>
          </w:tcPr>
          <w:p>
            <w:pPr>
              <w:pStyle w:val="TableContents"/>
              <w:bidi w:val="0"/>
              <w:spacing w:before="0" w:after="283"/>
              <w:jc w:val="left"/>
              <w:rPr/>
            </w:pPr>
            <w:r>
              <w:rPr/>
              <w:t> </w:t>
            </w:r>
          </w:p>
        </w:tc>
        <w:tc>
          <w:tcPr>
            <w:tcW w:w="1181" w:type="dxa"/>
            <w:tcBorders>
              <w:bottom w:val="single" w:sz="8" w:space="0" w:color="000000"/>
            </w:tcBorders>
            <w:vAlign w:val="center"/>
          </w:tcPr>
          <w:p>
            <w:pPr>
              <w:pStyle w:val="TableContents"/>
              <w:bidi w:val="0"/>
              <w:spacing w:before="0" w:after="283"/>
              <w:jc w:val="center"/>
              <w:rPr>
                <w:b/>
                <w:sz w:val="20"/>
              </w:rPr>
            </w:pPr>
            <w:r>
              <w:rPr>
                <w:b/>
                <w:sz w:val="20"/>
              </w:rPr>
              <w:t>Fee</w:t>
              <w:br/>
              <w:t>Calculation</w:t>
              <w:br/>
              <w:t>Rule</w:t>
            </w:r>
          </w:p>
        </w:tc>
        <w:tc>
          <w:tcPr>
            <w:tcW w:w="66" w:type="dxa"/>
            <w:tcBorders/>
            <w:tcMar>
              <w:bottom w:w="0" w:type="dxa"/>
            </w:tcMar>
            <w:vAlign w:val="center"/>
          </w:tcPr>
          <w:p>
            <w:pPr>
              <w:pStyle w:val="TableContents"/>
              <w:bidi w:val="0"/>
              <w:spacing w:before="0" w:after="283"/>
              <w:jc w:val="left"/>
              <w:rPr/>
            </w:pPr>
            <w:r>
              <w:rPr/>
              <w:t> </w:t>
            </w:r>
          </w:p>
        </w:tc>
        <w:tc>
          <w:tcPr>
            <w:tcW w:w="1116" w:type="dxa"/>
            <w:gridSpan w:val="2"/>
            <w:tcBorders>
              <w:bottom w:val="single" w:sz="8" w:space="0" w:color="000000"/>
            </w:tcBorders>
            <w:vAlign w:val="center"/>
          </w:tcPr>
          <w:p>
            <w:pPr>
              <w:pStyle w:val="TableContents"/>
              <w:bidi w:val="0"/>
              <w:spacing w:before="0" w:after="283"/>
              <w:jc w:val="center"/>
              <w:rPr>
                <w:b/>
                <w:sz w:val="20"/>
              </w:rPr>
            </w:pPr>
            <w:r>
              <w:rPr>
                <w:b/>
                <w:sz w:val="20"/>
              </w:rPr>
              <w:t>Amount</w:t>
              <w:br/>
              <w:t xml:space="preserve">Registered </w:t>
              <w:br/>
              <w:t>(1)</w:t>
            </w:r>
          </w:p>
        </w:tc>
        <w:tc>
          <w:tcPr>
            <w:tcW w:w="212"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w:t>
              <w:b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br/>
              <w:t>Price Per</w:t>
              <w:br/>
              <w:t xml:space="preserve">Unit </w:t>
            </w:r>
          </w:p>
        </w:tc>
        <w:tc>
          <w:tcPr>
            <w:tcW w:w="212"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1470" w:type="dxa"/>
            <w:gridSpan w:val="2"/>
            <w:tcBorders>
              <w:bottom w:val="single" w:sz="8" w:space="0" w:color="000000"/>
            </w:tcBorders>
            <w:vAlign w:val="center"/>
          </w:tcPr>
          <w:p>
            <w:pPr>
              <w:pStyle w:val="TableContents"/>
              <w:bidi w:val="0"/>
              <w:spacing w:before="0" w:after="283"/>
              <w:jc w:val="center"/>
              <w:rPr>
                <w:b/>
                <w:sz w:val="20"/>
              </w:rPr>
            </w:pPr>
            <w:r>
              <w:rPr>
                <w:b/>
                <w:sz w:val="20"/>
              </w:rPr>
              <w:t>Maximum</w:t>
              <w:br/>
              <w:t>Aggregate</w:t>
              <w:br/>
              <w:t>Offering Price</w:t>
            </w:r>
          </w:p>
        </w:tc>
        <w:tc>
          <w:tcPr>
            <w:tcW w:w="66"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1255" w:type="dxa"/>
            <w:gridSpan w:val="2"/>
            <w:tcBorders>
              <w:bottom w:val="single" w:sz="8" w:space="0" w:color="000000"/>
            </w:tcBorders>
            <w:vAlign w:val="center"/>
          </w:tcPr>
          <w:p>
            <w:pPr>
              <w:pStyle w:val="TableContents"/>
              <w:bidi w:val="0"/>
              <w:spacing w:before="0" w:after="283"/>
              <w:jc w:val="center"/>
              <w:rPr>
                <w:b/>
                <w:sz w:val="20"/>
              </w:rPr>
            </w:pPr>
            <w:r>
              <w:rPr>
                <w:b/>
                <w:sz w:val="20"/>
              </w:rPr>
              <w:t>Fee Rate</w:t>
            </w:r>
          </w:p>
        </w:tc>
        <w:tc>
          <w:tcPr>
            <w:tcW w:w="66"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1183" w:type="dxa"/>
            <w:gridSpan w:val="2"/>
            <w:tcBorders>
              <w:bottom w:val="single" w:sz="8" w:space="0" w:color="000000"/>
            </w:tcBorders>
            <w:vAlign w:val="center"/>
          </w:tcPr>
          <w:p>
            <w:pPr>
              <w:pStyle w:val="TableContents"/>
              <w:bidi w:val="0"/>
              <w:spacing w:before="0" w:after="283"/>
              <w:jc w:val="center"/>
              <w:rPr>
                <w:b/>
                <w:sz w:val="20"/>
              </w:rPr>
            </w:pPr>
            <w:r>
              <w:rPr>
                <w:b/>
                <w:sz w:val="20"/>
              </w:rPr>
              <w:t>Amount of</w:t>
              <w:br/>
              <w:t>Registration</w:t>
              <w:br/>
              <w:t>Fee</w:t>
            </w:r>
          </w:p>
        </w:tc>
        <w:tc>
          <w:tcPr>
            <w:tcW w:w="94" w:type="dxa"/>
            <w:tcBorders/>
            <w:tcMar>
              <w:bottom w:w="0" w:type="dxa"/>
            </w:tcMar>
            <w:vAlign w:val="center"/>
          </w:tcPr>
          <w:p>
            <w:pPr>
              <w:pStyle w:val="TableContents"/>
              <w:bidi w:val="0"/>
              <w:spacing w:before="0" w:after="283"/>
              <w:jc w:val="left"/>
              <w:rPr/>
            </w:pPr>
            <w:r>
              <w:rPr/>
              <w:t> </w:t>
            </w:r>
          </w:p>
        </w:tc>
      </w:tr>
      <w:tr>
        <w:trPr/>
        <w:tc>
          <w:tcPr>
            <w:tcW w:w="758" w:type="dxa"/>
            <w:gridSpan w:val="2"/>
            <w:tcBorders/>
            <w:shd w:fill="CCEEFF" w:val="clear"/>
            <w:tcMar>
              <w:bottom w:w="0" w:type="dxa"/>
            </w:tcMar>
            <w:vAlign w:val="center"/>
          </w:tcPr>
          <w:p>
            <w:pPr>
              <w:pStyle w:val="TableContents"/>
              <w:bidi w:val="0"/>
              <w:spacing w:before="0" w:after="283"/>
              <w:jc w:val="center"/>
              <w:rPr>
                <w:sz w:val="20"/>
              </w:rPr>
            </w:pPr>
            <w:r>
              <w:rPr>
                <w:sz w:val="20"/>
              </w:rPr>
              <w:t>Equity</w:t>
            </w:r>
          </w:p>
        </w:tc>
        <w:tc>
          <w:tcPr>
            <w:tcW w:w="66"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left"/>
              <w:rPr>
                <w:sz w:val="20"/>
              </w:rPr>
            </w:pPr>
            <w:r>
              <w:rPr>
                <w:sz w:val="20"/>
              </w:rPr>
              <w:t>Common shares without par value</w:t>
            </w:r>
          </w:p>
        </w:tc>
        <w:tc>
          <w:tcPr>
            <w:tcW w:w="66" w:type="dxa"/>
            <w:tcBorders/>
            <w:shd w:fill="CCEEFF" w:val="clear"/>
            <w:tcMar>
              <w:bottom w:w="0" w:type="dxa"/>
            </w:tcMar>
            <w:vAlign w:val="center"/>
          </w:tcPr>
          <w:p>
            <w:pPr>
              <w:pStyle w:val="TableContents"/>
              <w:bidi w:val="0"/>
              <w:spacing w:before="0" w:after="283"/>
              <w:jc w:val="left"/>
              <w:rPr/>
            </w:pPr>
            <w:r>
              <w:rPr/>
              <w:t> </w:t>
            </w:r>
          </w:p>
        </w:tc>
        <w:tc>
          <w:tcPr>
            <w:tcW w:w="1181" w:type="dxa"/>
            <w:tcBorders/>
            <w:shd w:fill="CCEEFF" w:val="clear"/>
            <w:tcMar>
              <w:bottom w:w="0" w:type="dxa"/>
            </w:tcMar>
            <w:vAlign w:val="center"/>
          </w:tcPr>
          <w:p>
            <w:pPr>
              <w:pStyle w:val="TableContents"/>
              <w:bidi w:val="0"/>
              <w:spacing w:before="0" w:after="283"/>
              <w:jc w:val="center"/>
              <w:rPr>
                <w:sz w:val="20"/>
              </w:rPr>
            </w:pPr>
            <w:r>
              <w:rPr>
                <w:sz w:val="20"/>
              </w:rPr>
              <w:t>457(c) and 457(h)</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50" w:type="dxa"/>
            <w:tcBorders/>
            <w:shd w:fill="CCEEFF" w:val="clear"/>
            <w:tcMar>
              <w:bottom w:w="0" w:type="dxa"/>
            </w:tcMar>
            <w:vAlign w:val="center"/>
          </w:tcPr>
          <w:p>
            <w:pPr>
              <w:pStyle w:val="TableContents"/>
              <w:bidi w:val="0"/>
              <w:spacing w:before="0" w:after="283"/>
              <w:jc w:val="right"/>
              <w:rPr>
                <w:sz w:val="20"/>
              </w:rPr>
            </w:pPr>
            <w:r>
              <w:rPr>
                <w:sz w:val="20"/>
              </w:rPr>
              <w:t>12,262,348</w:t>
            </w:r>
          </w:p>
        </w:tc>
        <w:tc>
          <w:tcPr>
            <w:tcW w:w="212" w:type="dxa"/>
            <w:tcBorders/>
            <w:shd w:fill="CCEEFF" w:val="clear"/>
            <w:tcMar>
              <w:bottom w:w="0" w:type="dxa"/>
            </w:tcMar>
            <w:vAlign w:val="center"/>
          </w:tcPr>
          <w:p>
            <w:pPr>
              <w:pStyle w:val="TableContents"/>
              <w:bidi w:val="0"/>
              <w:spacing w:before="0" w:after="283"/>
              <w:jc w:val="left"/>
              <w:rPr>
                <w:sz w:val="20"/>
              </w:rPr>
            </w:pPr>
            <w:r>
              <w:rPr>
                <w:sz w:val="20"/>
              </w:rPr>
              <w:t>(2)</w:t>
            </w:r>
          </w:p>
        </w:tc>
        <w:tc>
          <w:tcPr>
            <w:tcW w:w="66"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sz w:val="20"/>
              </w:rPr>
            </w:pPr>
            <w:r>
              <w:rPr>
                <w:sz w:val="20"/>
              </w:rPr>
              <w:t>$</w:t>
            </w:r>
          </w:p>
        </w:tc>
        <w:tc>
          <w:tcPr>
            <w:tcW w:w="753" w:type="dxa"/>
            <w:tcBorders/>
            <w:shd w:fill="CCEEFF" w:val="clear"/>
            <w:tcMar>
              <w:bottom w:w="0" w:type="dxa"/>
            </w:tcMar>
            <w:vAlign w:val="center"/>
          </w:tcPr>
          <w:p>
            <w:pPr>
              <w:pStyle w:val="TableContents"/>
              <w:bidi w:val="0"/>
              <w:spacing w:before="0" w:after="283"/>
              <w:jc w:val="right"/>
              <w:rPr>
                <w:sz w:val="20"/>
              </w:rPr>
            </w:pPr>
            <w:r>
              <w:rPr>
                <w:sz w:val="20"/>
              </w:rPr>
              <w:t>1.63</w:t>
            </w:r>
          </w:p>
        </w:tc>
        <w:tc>
          <w:tcPr>
            <w:tcW w:w="212" w:type="dxa"/>
            <w:tcBorders/>
            <w:shd w:fill="CCEEFF" w:val="clear"/>
            <w:tcMar>
              <w:bottom w:w="0" w:type="dxa"/>
            </w:tcMar>
            <w:vAlign w:val="center"/>
          </w:tcPr>
          <w:p>
            <w:pPr>
              <w:pStyle w:val="TableContents"/>
              <w:bidi w:val="0"/>
              <w:spacing w:before="0" w:after="283"/>
              <w:jc w:val="left"/>
              <w:rPr>
                <w:sz w:val="20"/>
              </w:rPr>
            </w:pPr>
            <w:r>
              <w:rPr>
                <w:sz w:val="20"/>
              </w:rPr>
              <w:t>(3)</w:t>
            </w:r>
          </w:p>
        </w:tc>
        <w:tc>
          <w:tcPr>
            <w:tcW w:w="66"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sz w:val="20"/>
              </w:rPr>
            </w:pPr>
            <w:r>
              <w:rPr>
                <w:sz w:val="20"/>
              </w:rPr>
              <w:t>$</w:t>
            </w:r>
          </w:p>
        </w:tc>
        <w:tc>
          <w:tcPr>
            <w:tcW w:w="1332" w:type="dxa"/>
            <w:tcBorders/>
            <w:shd w:fill="CCEEFF" w:val="clear"/>
            <w:tcMar>
              <w:bottom w:w="0" w:type="dxa"/>
            </w:tcMar>
            <w:vAlign w:val="center"/>
          </w:tcPr>
          <w:p>
            <w:pPr>
              <w:pStyle w:val="TableContents"/>
              <w:bidi w:val="0"/>
              <w:spacing w:before="0" w:after="283"/>
              <w:jc w:val="right"/>
              <w:rPr>
                <w:sz w:val="20"/>
              </w:rPr>
            </w:pPr>
            <w:r>
              <w:rPr>
                <w:sz w:val="20"/>
              </w:rPr>
              <w:t>19,987,627.24</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sz w:val="20"/>
              </w:rPr>
            </w:pPr>
            <w:r>
              <w:rPr>
                <w:sz w:val="20"/>
              </w:rPr>
              <w:t>$</w:t>
            </w:r>
          </w:p>
        </w:tc>
        <w:tc>
          <w:tcPr>
            <w:tcW w:w="1117" w:type="dxa"/>
            <w:tcBorders/>
            <w:shd w:fill="CCEEFF" w:val="clear"/>
            <w:tcMar>
              <w:bottom w:w="0" w:type="dxa"/>
            </w:tcMar>
            <w:vAlign w:val="center"/>
          </w:tcPr>
          <w:p>
            <w:pPr>
              <w:pStyle w:val="TableContents"/>
              <w:bidi w:val="0"/>
              <w:spacing w:before="0" w:after="283"/>
              <w:jc w:val="right"/>
              <w:rPr>
                <w:sz w:val="20"/>
              </w:rPr>
            </w:pPr>
            <w:r>
              <w:rPr>
                <w:sz w:val="20"/>
              </w:rPr>
              <w:t>0.00014760</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sz w:val="20"/>
              </w:rPr>
            </w:pPr>
            <w:r>
              <w:rPr>
                <w:sz w:val="20"/>
              </w:rPr>
              <w:t>$</w:t>
            </w:r>
          </w:p>
        </w:tc>
        <w:tc>
          <w:tcPr>
            <w:tcW w:w="1013" w:type="dxa"/>
            <w:tcBorders>
              <w:bottom w:val="single" w:sz="8" w:space="0" w:color="000000"/>
            </w:tcBorders>
            <w:shd w:fill="CCEEFF" w:val="clear"/>
            <w:vAlign w:val="center"/>
          </w:tcPr>
          <w:p>
            <w:pPr>
              <w:pStyle w:val="TableContents"/>
              <w:bidi w:val="0"/>
              <w:spacing w:before="0" w:after="283"/>
              <w:jc w:val="right"/>
              <w:rPr>
                <w:sz w:val="20"/>
              </w:rPr>
            </w:pPr>
            <w:r>
              <w:rPr>
                <w:sz w:val="20"/>
              </w:rPr>
              <w:t>2,950.17</w:t>
            </w:r>
          </w:p>
        </w:tc>
        <w:tc>
          <w:tcPr>
            <w:tcW w:w="94" w:type="dxa"/>
            <w:tcBorders/>
            <w:shd w:fill="CCEEFF" w:val="clear"/>
            <w:tcMar>
              <w:bottom w:w="0" w:type="dxa"/>
            </w:tcMar>
            <w:vAlign w:val="center"/>
          </w:tcPr>
          <w:p>
            <w:pPr>
              <w:pStyle w:val="TableContents"/>
              <w:bidi w:val="0"/>
              <w:spacing w:before="0" w:after="283"/>
              <w:jc w:val="left"/>
              <w:rPr/>
            </w:pPr>
            <w:r>
              <w:rPr/>
              <w:t> </w:t>
            </w:r>
          </w:p>
        </w:tc>
      </w:tr>
      <w:tr>
        <w:trPr/>
        <w:tc>
          <w:tcPr>
            <w:tcW w:w="4383" w:type="dxa"/>
            <w:gridSpan w:val="9"/>
            <w:tcBorders/>
            <w:shd w:fill="FFFFFF" w:val="clear"/>
            <w:tcMar>
              <w:bottom w:w="0" w:type="dxa"/>
            </w:tcMar>
            <w:vAlign w:val="center"/>
          </w:tcPr>
          <w:p>
            <w:pPr>
              <w:pStyle w:val="TableContents"/>
              <w:bidi w:val="0"/>
              <w:spacing w:before="0" w:after="283"/>
              <w:jc w:val="left"/>
              <w:rPr>
                <w:b/>
                <w:sz w:val="20"/>
              </w:rPr>
            </w:pPr>
            <w:r>
              <w:rPr>
                <w:b/>
                <w:sz w:val="20"/>
              </w:rPr>
              <w:t>Total Offering Amounts</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753"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b/>
                <w:sz w:val="20"/>
              </w:rPr>
            </w:pPr>
            <w:r>
              <w:rPr>
                <w:b/>
                <w:sz w:val="20"/>
              </w:rPr>
              <w:t>$</w:t>
            </w:r>
          </w:p>
        </w:tc>
        <w:tc>
          <w:tcPr>
            <w:tcW w:w="1332" w:type="dxa"/>
            <w:tcBorders/>
            <w:shd w:fill="FFFFFF" w:val="clear"/>
            <w:tcMar>
              <w:bottom w:w="0" w:type="dxa"/>
            </w:tcMar>
            <w:vAlign w:val="center"/>
          </w:tcPr>
          <w:p>
            <w:pPr>
              <w:pStyle w:val="TableContents"/>
              <w:bidi w:val="0"/>
              <w:spacing w:before="0" w:after="283"/>
              <w:jc w:val="right"/>
              <w:rPr>
                <w:b/>
                <w:sz w:val="20"/>
              </w:rPr>
            </w:pPr>
            <w:r>
              <w:rPr>
                <w:b/>
                <w:sz w:val="20"/>
              </w:rPr>
              <w:t>19,987,627.24</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1117"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b/>
                <w:sz w:val="20"/>
              </w:rPr>
            </w:pPr>
            <w:r>
              <w:rPr>
                <w:b/>
                <w:sz w:val="20"/>
              </w:rPr>
              <w:t>$</w:t>
            </w:r>
          </w:p>
        </w:tc>
        <w:tc>
          <w:tcPr>
            <w:tcW w:w="1013" w:type="dxa"/>
            <w:tcBorders>
              <w:bottom w:val="single" w:sz="8" w:space="0" w:color="000000"/>
            </w:tcBorders>
            <w:shd w:fill="FFFFFF" w:val="clear"/>
            <w:vAlign w:val="center"/>
          </w:tcPr>
          <w:p>
            <w:pPr>
              <w:pStyle w:val="TableContents"/>
              <w:bidi w:val="0"/>
              <w:spacing w:before="0" w:after="283"/>
              <w:jc w:val="right"/>
              <w:rPr>
                <w:b/>
                <w:sz w:val="20"/>
              </w:rPr>
            </w:pPr>
            <w:r>
              <w:rPr>
                <w:b/>
                <w:sz w:val="20"/>
              </w:rPr>
              <w:t>2,950.17</w:t>
            </w:r>
          </w:p>
        </w:tc>
        <w:tc>
          <w:tcPr>
            <w:tcW w:w="94" w:type="dxa"/>
            <w:tcBorders/>
            <w:shd w:fill="FFFFFF" w:val="clear"/>
            <w:tcMar>
              <w:bottom w:w="0" w:type="dxa"/>
            </w:tcMar>
            <w:vAlign w:val="center"/>
          </w:tcPr>
          <w:p>
            <w:pPr>
              <w:pStyle w:val="TableContents"/>
              <w:bidi w:val="0"/>
              <w:spacing w:before="0" w:after="283"/>
              <w:jc w:val="left"/>
              <w:rPr/>
            </w:pPr>
            <w:r>
              <w:rPr/>
              <w:t> </w:t>
            </w:r>
          </w:p>
        </w:tc>
      </w:tr>
      <w:tr>
        <w:trPr/>
        <w:tc>
          <w:tcPr>
            <w:tcW w:w="4383" w:type="dxa"/>
            <w:gridSpan w:val="9"/>
            <w:tcBorders/>
            <w:shd w:fill="CCEEFF" w:val="clear"/>
            <w:tcMar>
              <w:bottom w:w="0" w:type="dxa"/>
            </w:tcMar>
            <w:vAlign w:val="center"/>
          </w:tcPr>
          <w:p>
            <w:pPr>
              <w:pStyle w:val="TableContents"/>
              <w:bidi w:val="0"/>
              <w:spacing w:before="0" w:after="283"/>
              <w:jc w:val="left"/>
              <w:rPr>
                <w:b/>
                <w:sz w:val="20"/>
              </w:rPr>
            </w:pPr>
            <w:r>
              <w:rPr>
                <w:b/>
                <w:sz w:val="20"/>
              </w:rPr>
              <w:t>Total Fee Offsets</w:t>
            </w:r>
          </w:p>
        </w:tc>
        <w:tc>
          <w:tcPr>
            <w:tcW w:w="212"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1332"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1117"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013" w:type="dxa"/>
            <w:tcBorders>
              <w:bottom w:val="single" w:sz="8" w:space="0" w:color="000000"/>
            </w:tcBorders>
            <w:shd w:fill="CCEEFF" w:val="clear"/>
            <w:vAlign w:val="center"/>
          </w:tcPr>
          <w:p>
            <w:pPr>
              <w:pStyle w:val="TableContents"/>
              <w:bidi w:val="0"/>
              <w:spacing w:before="0" w:after="283"/>
              <w:jc w:val="right"/>
              <w:rPr/>
            </w:pPr>
            <w:r>
              <w:rPr/>
              <w:t>—</w:t>
            </w:r>
          </w:p>
        </w:tc>
        <w:tc>
          <w:tcPr>
            <w:tcW w:w="94" w:type="dxa"/>
            <w:tcBorders/>
            <w:shd w:fill="CCEEFF" w:val="clear"/>
            <w:tcMar>
              <w:bottom w:w="0" w:type="dxa"/>
            </w:tcMar>
            <w:vAlign w:val="center"/>
          </w:tcPr>
          <w:p>
            <w:pPr>
              <w:pStyle w:val="TableContents"/>
              <w:bidi w:val="0"/>
              <w:spacing w:before="0" w:after="283"/>
              <w:jc w:val="left"/>
              <w:rPr/>
            </w:pPr>
            <w:r>
              <w:rPr/>
              <w:t> </w:t>
            </w:r>
          </w:p>
        </w:tc>
      </w:tr>
      <w:tr>
        <w:trPr/>
        <w:tc>
          <w:tcPr>
            <w:tcW w:w="4383" w:type="dxa"/>
            <w:gridSpan w:val="9"/>
            <w:tcBorders/>
            <w:shd w:fill="FFFFFF" w:val="clear"/>
            <w:tcMar>
              <w:bottom w:w="0" w:type="dxa"/>
            </w:tcMar>
            <w:vAlign w:val="center"/>
          </w:tcPr>
          <w:p>
            <w:pPr>
              <w:pStyle w:val="TableContents"/>
              <w:bidi w:val="0"/>
              <w:spacing w:before="0" w:after="283"/>
              <w:jc w:val="left"/>
              <w:rPr>
                <w:b/>
                <w:sz w:val="20"/>
              </w:rPr>
            </w:pPr>
            <w:r>
              <w:rPr>
                <w:b/>
                <w:sz w:val="20"/>
              </w:rPr>
              <w:t>Net Fee Due</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753"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1332"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1117"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b/>
                <w:sz w:val="20"/>
              </w:rPr>
            </w:pPr>
            <w:r>
              <w:rPr>
                <w:b/>
                <w:sz w:val="20"/>
              </w:rPr>
              <w:t>$</w:t>
            </w:r>
          </w:p>
        </w:tc>
        <w:tc>
          <w:tcPr>
            <w:tcW w:w="1013" w:type="dxa"/>
            <w:tcBorders>
              <w:bottom w:val="single" w:sz="8" w:space="0" w:color="000000"/>
            </w:tcBorders>
            <w:shd w:fill="FFFFFF" w:val="clear"/>
            <w:vAlign w:val="center"/>
          </w:tcPr>
          <w:p>
            <w:pPr>
              <w:pStyle w:val="TableContents"/>
              <w:bidi w:val="0"/>
              <w:spacing w:before="0" w:after="283"/>
              <w:jc w:val="right"/>
              <w:rPr>
                <w:b/>
                <w:sz w:val="20"/>
              </w:rPr>
            </w:pPr>
            <w:r>
              <w:rPr>
                <w:b/>
                <w:sz w:val="20"/>
              </w:rPr>
              <w:t>2,950.17</w:t>
            </w:r>
          </w:p>
        </w:tc>
        <w:tc>
          <w:tcPr>
            <w:tcW w:w="94" w:type="dxa"/>
            <w:tcBorders/>
            <w:shd w:fill="FFFFFF" w:val="clear"/>
            <w:tcMar>
              <w:bottom w:w="0" w:type="dxa"/>
            </w:tcMar>
            <w:vAlign w:val="center"/>
          </w:tcPr>
          <w:p>
            <w:pPr>
              <w:pStyle w:val="TableContents"/>
              <w:bidi w:val="0"/>
              <w:spacing w:before="0" w:after="283"/>
              <w:jc w:val="left"/>
              <w:rPr/>
            </w:pPr>
            <w:r>
              <w:rPr/>
              <w:t> </w:t>
            </w:r>
          </w:p>
        </w:tc>
      </w:tr>
      <w:tr>
        <w:trPr/>
        <w:tc>
          <w:tcPr>
            <w:tcW w:w="4383" w:type="dxa"/>
            <w:gridSpan w:val="9"/>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753"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1332"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1117"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r>
      <w:tr>
        <w:trPr/>
        <w:tc>
          <w:tcPr>
            <w:tcW w:w="569" w:type="dxa"/>
            <w:tcBorders/>
            <w:tcMar>
              <w:bottom w:w="0" w:type="dxa"/>
            </w:tcMar>
            <w:vAlign w:val="center"/>
          </w:tcPr>
          <w:p>
            <w:pPr>
              <w:pStyle w:val="TableContents"/>
              <w:bidi w:val="0"/>
              <w:spacing w:before="0" w:after="283"/>
              <w:jc w:val="left"/>
              <w:rPr>
                <w:sz w:val="20"/>
              </w:rPr>
            </w:pPr>
            <w:r>
              <w:rPr>
                <w:sz w:val="20"/>
              </w:rPr>
              <w:t>(1)</w:t>
            </w:r>
          </w:p>
        </w:tc>
        <w:tc>
          <w:tcPr>
            <w:tcW w:w="9636" w:type="dxa"/>
            <w:gridSpan w:val="25"/>
            <w:tcBorders/>
            <w:tcMar>
              <w:bottom w:w="0" w:type="dxa"/>
            </w:tcMar>
            <w:vAlign w:val="center"/>
          </w:tcPr>
          <w:p>
            <w:pPr>
              <w:pStyle w:val="TableContents"/>
              <w:bidi w:val="0"/>
              <w:spacing w:before="0" w:after="283"/>
              <w:jc w:val="both"/>
              <w:rPr>
                <w:sz w:val="20"/>
              </w:rPr>
            </w:pPr>
            <w:r>
              <w:rPr>
                <w:sz w:val="20"/>
              </w:rPr>
              <w:t>Represents common shares, without par value (“Common Shares”) that may be issued under the TMC the metals company Inc. 2021 Incentive Equity Plan (the “Plan”). Pursuant to Rule 416(a) under the Securities Act of 1933, as amended (the “Securities Act”), this registration statement shall also cover any additional Common Shares that become issuable under the Plan as a result of any stock dividend, stock split, recapitalization or similar transaction effected without the Registrant’s receipt of consideration which would increase the number of outstanding Common Shares.</w:t>
            </w:r>
          </w:p>
        </w:tc>
      </w:tr>
      <w:tr>
        <w:trPr/>
        <w:tc>
          <w:tcPr>
            <w:tcW w:w="569" w:type="dxa"/>
            <w:tcBorders/>
            <w:tcMar>
              <w:bottom w:w="0" w:type="dxa"/>
            </w:tcMar>
            <w:vAlign w:val="center"/>
          </w:tcPr>
          <w:p>
            <w:pPr>
              <w:pStyle w:val="TableContents"/>
              <w:bidi w:val="0"/>
              <w:spacing w:before="0" w:after="283"/>
              <w:jc w:val="left"/>
              <w:rPr>
                <w:sz w:val="20"/>
              </w:rPr>
            </w:pPr>
            <w:r>
              <w:rPr>
                <w:sz w:val="20"/>
              </w:rPr>
              <w:t>(2)</w:t>
            </w:r>
          </w:p>
        </w:tc>
        <w:tc>
          <w:tcPr>
            <w:tcW w:w="9636" w:type="dxa"/>
            <w:gridSpan w:val="25"/>
            <w:tcBorders/>
            <w:tcMar>
              <w:bottom w:w="0" w:type="dxa"/>
            </w:tcMar>
            <w:vAlign w:val="center"/>
          </w:tcPr>
          <w:p>
            <w:pPr>
              <w:pStyle w:val="TableContents"/>
              <w:bidi w:val="0"/>
              <w:spacing w:before="0" w:after="283"/>
              <w:jc w:val="both"/>
              <w:rPr>
                <w:sz w:val="20"/>
                <w:shd w:fill="FFFFFF" w:val="clear"/>
              </w:rPr>
            </w:pPr>
            <w:r>
              <w:rPr>
                <w:sz w:val="20"/>
                <w:shd w:fill="FFFFFF" w:val="clear"/>
              </w:rPr>
              <w:t>Represents the number of additional Common Shares reserved for issuance under the Plan as a result of the automatic increase in the number of shares reserved under the Plan on January 1, 2024.</w:t>
            </w:r>
          </w:p>
        </w:tc>
      </w:tr>
      <w:tr>
        <w:trPr/>
        <w:tc>
          <w:tcPr>
            <w:tcW w:w="569" w:type="dxa"/>
            <w:tcBorders/>
            <w:tcMar>
              <w:bottom w:w="0" w:type="dxa"/>
            </w:tcMar>
            <w:vAlign w:val="center"/>
          </w:tcPr>
          <w:p>
            <w:pPr>
              <w:pStyle w:val="TableContents"/>
              <w:bidi w:val="0"/>
              <w:spacing w:before="0" w:after="283"/>
              <w:jc w:val="left"/>
              <w:rPr>
                <w:sz w:val="20"/>
              </w:rPr>
            </w:pPr>
            <w:r>
              <w:rPr>
                <w:sz w:val="20"/>
              </w:rPr>
              <w:t>(3)</w:t>
            </w:r>
          </w:p>
        </w:tc>
        <w:tc>
          <w:tcPr>
            <w:tcW w:w="9636" w:type="dxa"/>
            <w:gridSpan w:val="25"/>
            <w:tcBorders/>
            <w:tcMar>
              <w:bottom w:w="0" w:type="dxa"/>
            </w:tcMar>
            <w:vAlign w:val="center"/>
          </w:tcPr>
          <w:p>
            <w:pPr>
              <w:pStyle w:val="TableContents"/>
              <w:bidi w:val="0"/>
              <w:spacing w:before="0" w:after="283"/>
              <w:jc w:val="both"/>
              <w:rPr>
                <w:sz w:val="20"/>
              </w:rPr>
            </w:pPr>
            <w:r>
              <w:rPr>
                <w:sz w:val="20"/>
              </w:rPr>
              <w:t>Estimated solely for the purpose of calculating the amount of the registration fee pursuant to Rule 457(c) and Rule 457(h) promulgated under the Securities Act on the basis of the average of the high and the low price of Registrant’s Common Shares as reported on the Nasdaq Stock Market LLC on March 22, 2024.</w:t>
            </w:r>
          </w:p>
        </w:tc>
      </w:tr>
      <w:tr>
        <w:trPr/>
        <w:tc>
          <w:tcPr>
            <w:tcW w:w="569" w:type="dxa"/>
            <w:tcBorders/>
            <w:tcMar>
              <w:bottom w:w="0" w:type="dxa"/>
            </w:tcMar>
            <w:vAlign w:val="center"/>
          </w:tcPr>
          <w:p>
            <w:pPr>
              <w:pStyle w:val="TableContents"/>
              <w:bidi w:val="0"/>
              <w:spacing w:before="0" w:after="283"/>
              <w:jc w:val="left"/>
              <w:rPr/>
            </w:pPr>
            <w:r>
              <w:rPr/>
              <w:t> </w:t>
            </w:r>
          </w:p>
        </w:tc>
        <w:tc>
          <w:tcPr>
            <w:tcW w:w="189"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1181"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1050" w:type="dxa"/>
            <w:tcBorders/>
            <w:tcMar>
              <w:bottom w:w="0" w:type="dxa"/>
            </w:tcMar>
            <w:vAlign w:val="center"/>
          </w:tcPr>
          <w:p>
            <w:pPr>
              <w:pStyle w:val="TableContents"/>
              <w:bidi w:val="0"/>
              <w:spacing w:before="0" w:after="283"/>
              <w:jc w:val="left"/>
              <w:rPr/>
            </w:pPr>
            <w:r>
              <w:rPr/>
              <w:t> </w:t>
            </w:r>
          </w:p>
        </w:tc>
        <w:tc>
          <w:tcPr>
            <w:tcW w:w="212"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247" w:type="dxa"/>
            <w:tcBorders/>
            <w:tcMar>
              <w:bottom w:w="0" w:type="dxa"/>
            </w:tcMar>
            <w:vAlign w:val="center"/>
          </w:tcPr>
          <w:p>
            <w:pPr>
              <w:pStyle w:val="TableContents"/>
              <w:bidi w:val="0"/>
              <w:spacing w:before="0" w:after="283"/>
              <w:jc w:val="left"/>
              <w:rPr/>
            </w:pPr>
            <w:r>
              <w:rPr/>
              <w:t> </w:t>
            </w:r>
          </w:p>
        </w:tc>
        <w:tc>
          <w:tcPr>
            <w:tcW w:w="753" w:type="dxa"/>
            <w:tcBorders/>
            <w:tcMar>
              <w:bottom w:w="0" w:type="dxa"/>
            </w:tcMar>
            <w:vAlign w:val="center"/>
          </w:tcPr>
          <w:p>
            <w:pPr>
              <w:pStyle w:val="TableContents"/>
              <w:bidi w:val="0"/>
              <w:spacing w:before="0" w:after="283"/>
              <w:jc w:val="left"/>
              <w:rPr/>
            </w:pPr>
            <w:r>
              <w:rPr/>
              <w:t> </w:t>
            </w:r>
          </w:p>
        </w:tc>
        <w:tc>
          <w:tcPr>
            <w:tcW w:w="212"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138" w:type="dxa"/>
            <w:tcBorders/>
            <w:tcMar>
              <w:bottom w:w="0" w:type="dxa"/>
            </w:tcMar>
            <w:vAlign w:val="center"/>
          </w:tcPr>
          <w:p>
            <w:pPr>
              <w:pStyle w:val="TableContents"/>
              <w:bidi w:val="0"/>
              <w:spacing w:before="0" w:after="283"/>
              <w:jc w:val="left"/>
              <w:rPr/>
            </w:pPr>
            <w:r>
              <w:rPr/>
              <w:t> </w:t>
            </w:r>
          </w:p>
        </w:tc>
        <w:tc>
          <w:tcPr>
            <w:tcW w:w="1332"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138" w:type="dxa"/>
            <w:tcBorders/>
            <w:tcMar>
              <w:bottom w:w="0" w:type="dxa"/>
            </w:tcMar>
            <w:vAlign w:val="center"/>
          </w:tcPr>
          <w:p>
            <w:pPr>
              <w:pStyle w:val="TableContents"/>
              <w:bidi w:val="0"/>
              <w:spacing w:before="0" w:after="283"/>
              <w:jc w:val="left"/>
              <w:rPr/>
            </w:pPr>
            <w:r>
              <w:rPr/>
              <w:t> </w:t>
            </w:r>
          </w:p>
        </w:tc>
        <w:tc>
          <w:tcPr>
            <w:tcW w:w="1117"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3"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8562/000121390021048261/ea147253ex3-1_tmcthemet.htm" TargetMode="External"/><Relationship Id="rId3" Type="http://schemas.openxmlformats.org/officeDocument/2006/relationships/hyperlink" Target="https://www.sec.gov/Archives/edgar/data/1798562/000121390021048261/ea147253ex3-1_tmcthemet.htm" TargetMode="External"/><Relationship Id="rId4" Type="http://schemas.openxmlformats.org/officeDocument/2006/relationships/hyperlink" Target="https://www.sec.gov/Archives/edgar/data/1798562/000121390021048261/ea147253ex3-1_tmcthemet.htm" TargetMode="External"/><Relationship Id="rId5" Type="http://schemas.openxmlformats.org/officeDocument/2006/relationships/hyperlink" Target="https://www.sec.gov/Archives/edgar/data/1798562/000121390021048261/ea147253ex3-1_tmcthemet.htm" TargetMode="External"/><Relationship Id="rId6" Type="http://schemas.openxmlformats.org/officeDocument/2006/relationships/hyperlink" Target="https://www.sec.gov/Archives/edgar/data/1798562/000121390021048261/ea147253ex3-1_tmcthemet.htm" TargetMode="External"/><Relationship Id="rId7" Type="http://schemas.openxmlformats.org/officeDocument/2006/relationships/hyperlink" Target="https://www.sec.gov/Archives/edgar/data/1798562/000121390021048261/ea147253ex3-2_tmcthemet.htm" TargetMode="External"/><Relationship Id="rId8" Type="http://schemas.openxmlformats.org/officeDocument/2006/relationships/hyperlink" Target="https://www.sec.gov/Archives/edgar/data/1798562/000121390021048261/ea147253ex3-2_tmcthemet.htm" TargetMode="External"/><Relationship Id="rId9" Type="http://schemas.openxmlformats.org/officeDocument/2006/relationships/hyperlink" Target="https://www.sec.gov/Archives/edgar/data/1798562/000121390021048261/ea147253ex3-2_tmcthemet.htm" TargetMode="External"/><Relationship Id="rId10" Type="http://schemas.openxmlformats.org/officeDocument/2006/relationships/hyperlink" Target="https://www.sec.gov/Archives/edgar/data/1798562/000121390021048261/ea147253ex3-2_tmcthemet.htm" TargetMode="External"/><Relationship Id="rId11" Type="http://schemas.openxmlformats.org/officeDocument/2006/relationships/hyperlink" Target="https://www.sec.gov/Archives/edgar/data/1798562/000121390021048261/ea147253ex3-2_tmcthemet.htm" TargetMode="External"/><Relationship Id="rId12" Type="http://schemas.openxmlformats.org/officeDocument/2006/relationships/hyperlink" Target="https://www.sec.gov/Archives/edgar/data/1798562/000121390021048261/ea147253ex4-1_tmcthemet.htm" TargetMode="External"/><Relationship Id="rId13" Type="http://schemas.openxmlformats.org/officeDocument/2006/relationships/hyperlink" Target="https://www.sec.gov/Archives/edgar/data/1798562/000121390021048261/ea147253ex4-1_tmcthemet.htm" TargetMode="External"/><Relationship Id="rId14" Type="http://schemas.openxmlformats.org/officeDocument/2006/relationships/hyperlink" Target="https://www.sec.gov/Archives/edgar/data/1798562/000121390021048261/ea147253ex4-1_tmcthemet.htm" TargetMode="External"/><Relationship Id="rId15" Type="http://schemas.openxmlformats.org/officeDocument/2006/relationships/hyperlink" Target="https://www.sec.gov/Archives/edgar/data/1798562/000121390021048261/ea147253ex4-1_tmcthemet.htm" TargetMode="External"/><Relationship Id="rId16" Type="http://schemas.openxmlformats.org/officeDocument/2006/relationships/hyperlink" Target="https://www.sec.gov/Archives/edgar/data/1798562/000121390021048261/ea147253ex4-1_tmcthemet.htm" TargetMode="External"/><Relationship Id="rId17" Type="http://schemas.openxmlformats.org/officeDocument/2006/relationships/hyperlink" Target="https://www.sec.gov/Archives/edgar/data/1798562/000121390021048261/ea147253ex10-23i_tmcthemet.htm" TargetMode="External"/><Relationship Id="rId18" Type="http://schemas.openxmlformats.org/officeDocument/2006/relationships/hyperlink" Target="https://www.sec.gov/Archives/edgar/data/1798562/000121390021048261/ea147253ex10-23i_tmcthemet.htm" TargetMode="External"/><Relationship Id="rId19" Type="http://schemas.openxmlformats.org/officeDocument/2006/relationships/hyperlink" Target="https://www.sec.gov/Archives/edgar/data/1798562/000121390021048261/ea147253ex10-23i_tmcthemet.htm" TargetMode="External"/><Relationship Id="rId20" Type="http://schemas.openxmlformats.org/officeDocument/2006/relationships/hyperlink" Target="https://www.sec.gov/Archives/edgar/data/1798562/000121390021048261/ea147253ex10-23i_tmcthemet.htm" TargetMode="External"/><Relationship Id="rId21" Type="http://schemas.openxmlformats.org/officeDocument/2006/relationships/hyperlink" Target="https://www.sec.gov/Archives/edgar/data/1798562/000121390021048261/ea147253ex10-23i_tmcthemet.htm" TargetMode="External"/><Relationship Id="rId22" Type="http://schemas.openxmlformats.org/officeDocument/2006/relationships/hyperlink" Target="https://www.sec.gov/Archives/edgar/data/1798562/000121390021048261/ea147253ex10-23ii_tmcthemet.htm" TargetMode="External"/><Relationship Id="rId23" Type="http://schemas.openxmlformats.org/officeDocument/2006/relationships/hyperlink" Target="https://www.sec.gov/Archives/edgar/data/1798562/000121390021048261/ea147253ex10-23ii_tmcthemet.htm" TargetMode="External"/><Relationship Id="rId24" Type="http://schemas.openxmlformats.org/officeDocument/2006/relationships/hyperlink" Target="https://www.sec.gov/Archives/edgar/data/1798562/000121390021048261/ea147253ex10-23ii_tmcthemet.htm" TargetMode="External"/><Relationship Id="rId25" Type="http://schemas.openxmlformats.org/officeDocument/2006/relationships/hyperlink" Target="https://www.sec.gov/Archives/edgar/data/1798562/000121390021048261/ea147253ex10-23ii_tmcthemet.htm" TargetMode="External"/><Relationship Id="rId26" Type="http://schemas.openxmlformats.org/officeDocument/2006/relationships/hyperlink" Target="https://www.sec.gov/Archives/edgar/data/1798562/000121390021048261/ea147253ex10-23ii_tmcthemet.htm" TargetMode="External"/><Relationship Id="rId27" Type="http://schemas.openxmlformats.org/officeDocument/2006/relationships/hyperlink" Target="https://www.sec.gov/Archives/edgar/data/1798562/000110465921141752/tm2133318d1_ex99-3.htm" TargetMode="External"/><Relationship Id="rId28" Type="http://schemas.openxmlformats.org/officeDocument/2006/relationships/hyperlink" Target="https://www.sec.gov/Archives/edgar/data/1798562/000110465921141752/tm2133318d1_ex99-3.htm" TargetMode="External"/><Relationship Id="rId29" Type="http://schemas.openxmlformats.org/officeDocument/2006/relationships/hyperlink" Target="https://www.sec.gov/Archives/edgar/data/1798562/000110465921141752/tm2133318d1_ex99-3.htm" TargetMode="External"/><Relationship Id="rId30" Type="http://schemas.openxmlformats.org/officeDocument/2006/relationships/hyperlink" Target="https://www.sec.gov/Archives/edgar/data/1798562/000110465921141752/tm2133318d1_ex99-3.htm" TargetMode="External"/><Relationship Id="rId31" Type="http://schemas.openxmlformats.org/officeDocument/2006/relationships/hyperlink" Target="https://www.sec.gov/Archives/edgar/data/1798562/000110465921141752/tm2133318d1_ex99-3.htm" TargetMode="External"/><Relationship Id="rId32" Type="http://schemas.openxmlformats.org/officeDocument/2006/relationships/image" Target="media/image1.jpeg"/><Relationship Id="rId33" Type="http://schemas.openxmlformats.org/officeDocument/2006/relationships/image" Target="media/image2.jpeg"/><Relationship Id="rId34" Type="http://schemas.openxmlformats.org/officeDocument/2006/relationships/image" Target="media/image3.jpeg"/><Relationship Id="rId35" Type="http://schemas.openxmlformats.org/officeDocument/2006/relationships/image" Target="media/image1.jpeg"/><Relationship Id="rId36" Type="http://schemas.openxmlformats.org/officeDocument/2006/relationships/image" Target="media/image3.jpeg"/><Relationship Id="rId37" Type="http://schemas.openxmlformats.org/officeDocument/2006/relationships/image" Target="media/image1.jpeg"/><Relationship Id="rId38" Type="http://schemas.openxmlformats.org/officeDocument/2006/relationships/image" Target="media/image3.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2360</Words>
  <Characters>12801</Characters>
  <CharactersWithSpaces>15327</CharactersWithSpaces>
  <Paragraphs>688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