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7048500" cy="4277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27736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Jurvetson Stephen 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700"/>
        <w:spacing w:after="0" w:line="360" w:lineRule="auto"/>
        <w:rPr>
          <w:sz w:val="20"/>
          <w:szCs w:val="20"/>
          <w:color w:val="auto"/>
        </w:rPr>
      </w:pPr>
      <w:r>
        <w:rPr>
          <w:rFonts w:ascii="Times New Roman" w:cs="Times New Roman" w:eastAsia="Times New Roman" w:hAnsi="Times New Roman"/>
          <w:sz w:val="16"/>
          <w:szCs w:val="16"/>
          <w:color w:val="0000FF"/>
        </w:rPr>
        <w:t>C/O TMC THE METALS COMPANY INC., 595 HOWE STREET, 10TH FLOOR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VANCOUVER</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A1</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V6C 2T5</w:t>
            </w:r>
          </w:p>
        </w:tc>
      </w:tr>
      <w:tr>
        <w:trPr>
          <w:trHeight w:val="144"/>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120"/>
              <w:spacing w:after="0"/>
              <w:rPr>
                <w:sz w:val="20"/>
                <w:szCs w:val="20"/>
                <w:color w:val="auto"/>
              </w:rPr>
            </w:pPr>
            <w:r>
              <w:rPr>
                <w:rFonts w:ascii="Arial" w:cs="Arial" w:eastAsia="Arial" w:hAnsi="Arial"/>
                <w:sz w:val="12"/>
                <w:szCs w:val="12"/>
                <w:color w:val="auto"/>
              </w:rPr>
              <w:t>(State)</w:t>
            </w:r>
          </w:p>
        </w:tc>
        <w:tc>
          <w:tcPr>
            <w:tcW w:w="160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7"/>
                <w:szCs w:val="17"/>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820" w:type="dxa"/>
            <w:vAlign w:val="bottom"/>
            <w:tcBorders>
              <w:top w:val="single" w:sz="8" w:color="0000EE"/>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80" w:type="dxa"/>
            <w:vAlign w:val="bottom"/>
          </w:tcPr>
          <w:p>
            <w:pPr>
              <w:ind w:left="36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60"/>
              <w:spacing w:after="0"/>
              <w:rPr>
                <w:sz w:val="20"/>
                <w:szCs w:val="20"/>
                <w:color w:val="auto"/>
              </w:rPr>
            </w:pPr>
            <w:r>
              <w:rPr>
                <w:rFonts w:ascii="Arial" w:cs="Arial" w:eastAsia="Arial" w:hAnsi="Arial"/>
                <w:sz w:val="12"/>
                <w:szCs w:val="12"/>
                <w:color w:val="auto"/>
              </w:rPr>
              <w:t>Other (specify</w:t>
            </w:r>
          </w:p>
        </w:tc>
      </w:tr>
      <w:tr>
        <w:trPr>
          <w:trHeight w:val="211"/>
        </w:trPr>
        <w:tc>
          <w:tcPr>
            <w:tcW w:w="20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04/09/2024</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80" w:type="dxa"/>
            <w:vAlign w:val="bottom"/>
          </w:tcPr>
          <w:p>
            <w:pPr>
              <w:ind w:left="360"/>
              <w:spacing w:after="0"/>
              <w:rPr>
                <w:sz w:val="20"/>
                <w:szCs w:val="20"/>
                <w:color w:val="auto"/>
              </w:rPr>
            </w:pPr>
            <w:r>
              <w:rPr>
                <w:rFonts w:ascii="Arial" w:cs="Arial" w:eastAsia="Arial" w:hAnsi="Arial"/>
                <w:sz w:val="12"/>
                <w:szCs w:val="12"/>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0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8" w:lineRule="exact"/>
        <w:rPr>
          <w:sz w:val="24"/>
          <w:szCs w:val="24"/>
          <w:color w:val="auto"/>
        </w:rPr>
      </w:pPr>
    </w:p>
    <w:p>
      <w:pPr>
        <w:sectPr>
          <w:pgSz w:w="11900" w:h="16838" w:orient="portrait"/>
          <w:cols w:equalWidth="0" w:num="2">
            <w:col w:w="3740" w:space="10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1.71</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0000FF"/>
              </w:rPr>
              <w:t>04/09/2024</w:t>
            </w:r>
          </w:p>
        </w:tc>
        <w:tc>
          <w:tcPr>
            <w:tcW w:w="10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3,440,000</w:t>
            </w:r>
          </w:p>
        </w:tc>
        <w:tc>
          <w:tcPr>
            <w:tcW w:w="28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04/09/2031</w:t>
            </w: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3,440,000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3,440,000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2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consulting agreement entered into between the Issuer and the reporting person, the reporting person was granted stock options under the Issuer's 2021 Incentive Equity Plan, which will vest over a three year period as follows, subject to continued service through each vesting date: 1/3 on the first anniversary of April 9, 2024 (the "Grant Date"), 1/3 on the second anniversary of the Grant Date and 1/3 on the third anniversary of the Grant Date. The term of the stock option is seven years from the Grant Date.</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Ryan Coombes, General</w:t>
            </w:r>
          </w:p>
        </w:tc>
        <w:tc>
          <w:tcPr>
            <w:tcW w:w="2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5"/>
              </w:rPr>
              <w:t>04/11/2024</w:t>
            </w:r>
          </w:p>
        </w:tc>
        <w:tc>
          <w:tcPr>
            <w:tcW w:w="0" w:type="dxa"/>
            <w:vAlign w:val="bottom"/>
          </w:tcPr>
          <w:p>
            <w:pPr>
              <w:spacing w:after="0"/>
              <w:rPr>
                <w:sz w:val="1"/>
                <w:szCs w:val="1"/>
                <w:color w:val="auto"/>
              </w:rPr>
            </w:pPr>
          </w:p>
        </w:tc>
      </w:tr>
      <w:tr>
        <w:trPr>
          <w:trHeight w:val="80"/>
        </w:trPr>
        <w:tc>
          <w:tcPr>
            <w:tcW w:w="20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w:t>
            </w: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4917"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2024-04-11T17:20:21Z</dcterms:created>
  <dcterms:modified xsi:type="dcterms:W3CDTF">2024-04-11T17:20:21Z</dcterms:modified>
</cp:coreProperties>
</file>