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Barron Gerard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04/16/2024</w:t>
            </w: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14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04/16/2024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20,000,000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39,047,242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8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will vest based on the trailing 30-day average price of the Issuer's common shares (the "Closing Price") reaching the following prices on or prior to April 16, 2029, subject to the reporting person's continued service with the Issuer on the applicable vesting date: one-third shall vest on achievement of a Closing Price of $7.50; one-third shall vest on achievement of a Closing Price of $10.00; and one-third shall vest on achievement of a Closing Price of $12.50 (each subject to equitable adjustment for any stock splits, combinations, reclassifications, stock dividends and the like). The Reporting Person is not be permitted to sell any common shares settled upon the vesting of the RSUs until April 16, 2029.</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Coombes, General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04/18/2024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Counsel</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2024-04-18T09:42:16Z</dcterms:created>
  <dcterms:modified xsi:type="dcterms:W3CDTF">2024-04-18T09:42:16Z</dcterms:modified>
</cp:coreProperties>
</file>