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414049d1_8k.htm"/>
      <w:bookmarkStart w:id="1" w:name="kstm2414049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4051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May 13, 2024</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D_edei--EntityRegistrantName_dxL_c"/>
      <w:bookmarkEnd w:id="4"/>
      <w:r>
        <w:rPr>
          <w:rFonts w:ascii="Times New Roman;Times;Serif" w:hAnsi="Times New Roman;Times;Serif"/>
          <w:b/>
          <w:i w:val="false"/>
          <w:caps w:val="false"/>
          <w:smallCaps w:val="false"/>
          <w:sz w:val="36"/>
        </w:rPr>
        <w:t>TMC THE METALS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85" w:type="dxa"/>
        <w:jc w:val="left"/>
        <w:tblInd w:w="0" w:type="dxa"/>
        <w:tblLayout w:type="fixed"/>
        <w:tblCellMar>
          <w:top w:w="0" w:type="dxa"/>
          <w:left w:w="0" w:type="dxa"/>
          <w:bottom w:w="0" w:type="dxa"/>
          <w:right w:w="0" w:type="dxa"/>
        </w:tblCellMar>
      </w:tblPr>
      <w:tblGrid>
        <w:gridCol w:w="2795"/>
        <w:gridCol w:w="2615"/>
        <w:gridCol w:w="1775"/>
      </w:tblGrid>
      <w:tr>
        <w:trPr/>
        <w:tc>
          <w:tcPr>
            <w:tcW w:w="2795" w:type="dxa"/>
            <w:tcBorders/>
            <w:vAlign w:val="center"/>
          </w:tcPr>
          <w:p>
            <w:pPr>
              <w:pStyle w:val="TableContents"/>
              <w:bidi w:val="0"/>
              <w:spacing w:before="0" w:after="283"/>
              <w:jc w:val="center"/>
              <w:rPr>
                <w:b/>
              </w:rPr>
            </w:pPr>
            <w:bookmarkStart w:id="5" w:name="xdx_905_edei--EntityIncorporationStateCo"/>
            <w:bookmarkEnd w:id="5"/>
            <w:r>
              <w:rPr>
                <w:b/>
              </w:rPr>
              <w:t>British Columbia, Canada</w:t>
            </w:r>
          </w:p>
        </w:tc>
        <w:tc>
          <w:tcPr>
            <w:tcW w:w="2615" w:type="dxa"/>
            <w:tcBorders/>
            <w:vAlign w:val="center"/>
          </w:tcPr>
          <w:p>
            <w:pPr>
              <w:pStyle w:val="TableContents"/>
              <w:bidi w:val="0"/>
              <w:spacing w:before="0" w:after="283"/>
              <w:jc w:val="center"/>
              <w:rPr>
                <w:b/>
              </w:rPr>
            </w:pPr>
            <w:bookmarkStart w:id="6" w:name="xdx_903_edei--EntityFileNumber_c20240513"/>
            <w:bookmarkEnd w:id="6"/>
            <w:r>
              <w:rPr>
                <w:b/>
              </w:rPr>
              <w:t>001-39281</w:t>
            </w:r>
          </w:p>
        </w:tc>
        <w:tc>
          <w:tcPr>
            <w:tcW w:w="1775" w:type="dxa"/>
            <w:tcBorders/>
            <w:vAlign w:val="center"/>
          </w:tcPr>
          <w:p>
            <w:pPr>
              <w:pStyle w:val="TableContents"/>
              <w:bidi w:val="0"/>
              <w:spacing w:before="0" w:after="283"/>
              <w:jc w:val="center"/>
              <w:rPr>
                <w:b/>
              </w:rPr>
            </w:pPr>
            <w:bookmarkStart w:id="7" w:name="xdx_904_edei--EntityTaxIdentificationNum"/>
            <w:bookmarkEnd w:id="7"/>
            <w:r>
              <w:rPr>
                <w:b/>
              </w:rPr>
              <w:t>Not Applicable</w:t>
            </w:r>
          </w:p>
        </w:tc>
      </w:tr>
      <w:tr>
        <w:trPr/>
        <w:tc>
          <w:tcPr>
            <w:tcW w:w="2795" w:type="dxa"/>
            <w:tcBorders/>
            <w:vAlign w:val="center"/>
          </w:tcPr>
          <w:p>
            <w:pPr>
              <w:pStyle w:val="TableContents"/>
              <w:bidi w:val="0"/>
              <w:spacing w:before="0" w:after="283"/>
              <w:jc w:val="center"/>
              <w:rPr/>
            </w:pPr>
            <w:r>
              <w:rPr/>
              <w:t xml:space="preserve">(State or other jurisdiction of </w:t>
              <w:br/>
              <w:t>incorporation)</w:t>
            </w:r>
          </w:p>
        </w:tc>
        <w:tc>
          <w:tcPr>
            <w:tcW w:w="2615" w:type="dxa"/>
            <w:tcBorders/>
            <w:vAlign w:val="center"/>
          </w:tcPr>
          <w:p>
            <w:pPr>
              <w:pStyle w:val="TableContents"/>
              <w:bidi w:val="0"/>
              <w:spacing w:before="0" w:after="283"/>
              <w:jc w:val="center"/>
              <w:rPr/>
            </w:pPr>
            <w:r>
              <w:rPr/>
              <w:t>(Commission File Number)</w:t>
            </w:r>
          </w:p>
        </w:tc>
        <w:tc>
          <w:tcPr>
            <w:tcW w:w="1775" w:type="dxa"/>
            <w:tcBorders/>
            <w:vAlign w:val="center"/>
          </w:tcPr>
          <w:p>
            <w:pPr>
              <w:pStyle w:val="TableContents"/>
              <w:bidi w:val="0"/>
              <w:spacing w:before="0" w:after="283"/>
              <w:jc w:val="center"/>
              <w:rPr/>
            </w:pPr>
            <w:r>
              <w:rPr/>
              <w:t xml:space="preserve">(IRS Employer </w:t>
              <w:br/>
              <w:t>Identification No.)</w:t>
            </w:r>
          </w:p>
        </w:tc>
      </w:tr>
      <w:tr>
        <w:trPr/>
        <w:tc>
          <w:tcPr>
            <w:tcW w:w="2795"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 </w:t>
            </w:r>
          </w:p>
        </w:tc>
      </w:tr>
    </w:tbl>
    <w:tbl>
      <w:tblPr>
        <w:tblW w:w="4180" w:type="dxa"/>
        <w:jc w:val="left"/>
        <w:tblInd w:w="0" w:type="dxa"/>
        <w:tblLayout w:type="fixed"/>
        <w:tblCellMar>
          <w:top w:w="0" w:type="dxa"/>
          <w:left w:w="0" w:type="dxa"/>
          <w:bottom w:w="0" w:type="dxa"/>
          <w:right w:w="0" w:type="dxa"/>
        </w:tblCellMar>
      </w:tblPr>
      <w:tblGrid>
        <w:gridCol w:w="3035"/>
        <w:gridCol w:w="60"/>
        <w:gridCol w:w="1085"/>
      </w:tblGrid>
      <w:tr>
        <w:trPr/>
        <w:tc>
          <w:tcPr>
            <w:tcW w:w="3035" w:type="dxa"/>
            <w:tcBorders/>
            <w:vAlign w:val="center"/>
          </w:tcPr>
          <w:p>
            <w:pPr>
              <w:pStyle w:val="TableContents"/>
              <w:bidi w:val="0"/>
              <w:spacing w:before="0" w:after="283"/>
              <w:jc w:val="center"/>
              <w:rPr>
                <w:b/>
              </w:rPr>
            </w:pPr>
            <w:bookmarkStart w:id="8" w:name="xdx_908_edei--EntityAddressAddressLine1_"/>
            <w:bookmarkEnd w:id="8"/>
            <w:r>
              <w:rPr>
                <w:b/>
              </w:rPr>
              <w:t xml:space="preserve">595 Howe Street, </w:t>
            </w:r>
            <w:bookmarkStart w:id="9" w:name="xdx_90A_edei--EntityAddressAddressLine2_"/>
            <w:bookmarkEnd w:id="9"/>
            <w:r>
              <w:rPr>
                <w:b/>
              </w:rPr>
              <w:t>10th Floor</w:t>
              <w:br/>
            </w:r>
            <w:bookmarkStart w:id="10" w:name="xdx_90A_edei--EntityAddressCityOrTown_c2"/>
            <w:bookmarkEnd w:id="10"/>
            <w:r>
              <w:rPr>
                <w:b/>
              </w:rPr>
              <w:t xml:space="preserve">Vancouver, </w:t>
            </w:r>
            <w:bookmarkStart w:id="11" w:name="xdx_908_edei--EntityAddressStateOrProvin"/>
            <w:bookmarkEnd w:id="11"/>
            <w:r>
              <w:rPr>
                <w:b/>
              </w:rPr>
              <w:t>British Columbia</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rPr>
            </w:pPr>
            <w:bookmarkStart w:id="12" w:name="xdx_909_edei--EntityAddressPostalZipCode"/>
            <w:bookmarkEnd w:id="12"/>
            <w:r>
              <w:rPr>
                <w:b/>
              </w:rPr>
              <w:t>V6C 2T5</w:t>
            </w:r>
          </w:p>
        </w:tc>
      </w:tr>
      <w:tr>
        <w:trPr/>
        <w:tc>
          <w:tcPr>
            <w:tcW w:w="3035" w:type="dxa"/>
            <w:tcBorders/>
            <w:vAlign w:val="center"/>
          </w:tcPr>
          <w:p>
            <w:pPr>
              <w:pStyle w:val="TableContents"/>
              <w:bidi w:val="0"/>
              <w:spacing w:before="0" w:after="283"/>
              <w:jc w:val="center"/>
              <w:rPr/>
            </w:pPr>
            <w:r>
              <w:rPr/>
              <w:t>(Address of principal executive</w:t>
              <w:br/>
              <w:t>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5_edei--CityAreaCode_c20240513__20"/>
      <w:bookmarkEnd w:id="13"/>
      <w:r>
        <w:rPr>
          <w:rFonts w:ascii="Times New Roman;Times;Serif" w:hAnsi="Times New Roman;Times;Serif"/>
          <w:b/>
          <w:i w:val="false"/>
          <w:caps w:val="false"/>
          <w:smallCaps w:val="false"/>
          <w:sz w:val="20"/>
        </w:rPr>
        <w:t xml:space="preserve">604) </w:t>
      </w:r>
      <w:bookmarkStart w:id="14" w:name="xdx_90C_edei--LocalPhoneNumber_c20240513"/>
      <w:bookmarkEnd w:id="14"/>
      <w:r>
        <w:rPr>
          <w:rFonts w:ascii="Times New Roman;Times;Serif" w:hAnsi="Times New Roman;Times;Serif"/>
          <w:b/>
          <w:i w:val="false"/>
          <w:caps w:val="false"/>
          <w:smallCaps w:val="false"/>
          <w:sz w:val="20"/>
        </w:rPr>
        <w:t>631-3115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b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5" w:name="xdx_907_edei--WrittenCommunications_c202"/>
            <w:bookmarkEnd w:id="15"/>
            <w:r>
              <w:rPr>
                <w:caps w:val="false"/>
                <w:smallCaps w:val="false"/>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6" w:name="xdx_90E_edei--SolicitingMaterial_c202405"/>
            <w:bookmarkEnd w:id="16"/>
            <w:r>
              <w:rPr>
                <w:caps w:val="false"/>
                <w:smallCaps w:val="false"/>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7" w:name="xdx_907_edei--PreCommencementTenderOffer"/>
            <w:bookmarkEnd w:id="17"/>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8" w:name="xdx_90B_edei--PreCommencementIssuerTende"/>
            <w:bookmarkEnd w:id="18"/>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46"/>
        <w:gridCol w:w="60"/>
        <w:gridCol w:w="844"/>
        <w:gridCol w:w="60"/>
        <w:gridCol w:w="1995"/>
      </w:tblGrid>
      <w:tr>
        <w:trPr/>
        <w:tc>
          <w:tcPr>
            <w:tcW w:w="724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4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Trading </w:t>
              <w:br/>
              <w:t>Symbol(s)</w:t>
            </w:r>
          </w:p>
        </w:tc>
        <w:tc>
          <w:tcPr>
            <w:tcW w:w="60" w:type="dxa"/>
            <w:tcBorders/>
            <w:tcMar>
              <w:bottom w:w="0" w:type="dxa"/>
            </w:tcMar>
            <w:vAlign w:val="center"/>
          </w:tcPr>
          <w:p>
            <w:pPr>
              <w:pStyle w:val="TableContents"/>
              <w:bidi w:val="0"/>
              <w:spacing w:before="0" w:after="283"/>
              <w:jc w:val="left"/>
              <w:rPr/>
            </w:pPr>
            <w:r>
              <w:rPr/>
              <w:t> </w:t>
            </w:r>
          </w:p>
        </w:tc>
        <w:tc>
          <w:tcPr>
            <w:tcW w:w="199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w:t>
              <w:br/>
              <w:t>exchange on</w:t>
              <w:br/>
              <w:t>which registered</w:t>
            </w:r>
          </w:p>
        </w:tc>
      </w:tr>
      <w:tr>
        <w:trPr/>
        <w:tc>
          <w:tcPr>
            <w:tcW w:w="724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1_edei--Security12bTitle_c20240513"/>
            <w:bookmarkEnd w:id="19"/>
            <w:r>
              <w:rPr>
                <w:rFonts w:ascii="Times New Roman;Times;Serif" w:hAnsi="Times New Roman;Times;Serif"/>
                <w:b w:val="false"/>
                <w:i w:val="false"/>
                <w:caps w:val="false"/>
                <w:smallCaps w:val="false"/>
                <w:sz w:val="20"/>
              </w:rPr>
              <w:t>TMC Common Shares without par value</w:t>
            </w:r>
          </w:p>
        </w:tc>
        <w:tc>
          <w:tcPr>
            <w:tcW w:w="60" w:type="dxa"/>
            <w:tcBorders/>
            <w:tcMar>
              <w:bottom w:w="0" w:type="dxa"/>
            </w:tcMar>
            <w:vAlign w:val="center"/>
          </w:tcPr>
          <w:p>
            <w:pPr>
              <w:pStyle w:val="TableContents"/>
              <w:bidi w:val="0"/>
              <w:spacing w:before="0" w:after="283"/>
              <w:jc w:val="left"/>
              <w:rPr/>
            </w:pPr>
            <w:r>
              <w:rPr/>
              <w:t> </w:t>
            </w:r>
          </w:p>
        </w:tc>
        <w:tc>
          <w:tcPr>
            <w:tcW w:w="84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B_edei--TradingSymbol_c20240513__2"/>
            <w:bookmarkEnd w:id="20"/>
            <w:r>
              <w:rPr>
                <w:rFonts w:ascii="Times New Roman;Times;Serif" w:hAnsi="Times New Roman;Times;Serif"/>
                <w:b w:val="false"/>
                <w:i w:val="false"/>
                <w:caps w:val="false"/>
                <w:smallCaps w:val="false"/>
                <w:sz w:val="20"/>
              </w:rPr>
              <w:t>TMC</w:t>
            </w:r>
          </w:p>
        </w:tc>
        <w:tc>
          <w:tcPr>
            <w:tcW w:w="60" w:type="dxa"/>
            <w:tcBorders/>
            <w:tcMar>
              <w:bottom w:w="0" w:type="dxa"/>
            </w:tcMar>
            <w:vAlign w:val="center"/>
          </w:tcPr>
          <w:p>
            <w:pPr>
              <w:pStyle w:val="TableContents"/>
              <w:bidi w:val="0"/>
              <w:spacing w:before="0" w:after="283"/>
              <w:jc w:val="left"/>
              <w:rPr/>
            </w:pPr>
            <w:r>
              <w:rPr/>
              <w:t> </w:t>
            </w:r>
          </w:p>
        </w:tc>
        <w:tc>
          <w:tcPr>
            <w:tcW w:w="1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F_edei--SecurityExchangeName_c2024"/>
            <w:bookmarkEnd w:id="21"/>
            <w:r>
              <w:rPr>
                <w:rFonts w:ascii="Times New Roman;Times;Serif" w:hAnsi="Times New Roman;Times;Serif"/>
                <w:b w:val="false"/>
                <w:i w:val="false"/>
                <w:caps w:val="false"/>
                <w:smallCaps w:val="false"/>
                <w:sz w:val="20"/>
              </w:rPr>
              <w:t>The Nasdaq Stock Market LLC</w:t>
            </w:r>
          </w:p>
        </w:tc>
      </w:tr>
      <w:tr>
        <w:trPr/>
        <w:tc>
          <w:tcPr>
            <w:tcW w:w="724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F_edei--Security12bTitle_c20240513"/>
            <w:bookmarkEnd w:id="22"/>
            <w:r>
              <w:rPr>
                <w:rFonts w:ascii="Times New Roman;Times;Serif" w:hAnsi="Times New Roman;Times;Serif"/>
                <w:b w:val="false"/>
                <w:i w:val="false"/>
                <w:caps w:val="false"/>
                <w:smallCaps w:val="false"/>
                <w:sz w:val="20"/>
              </w:rPr>
              <w:t>Redeemable warrants, each whole warrant exercisable for one TMC Common Share, each at an exercise price of $11.50 per share</w:t>
            </w:r>
          </w:p>
        </w:tc>
        <w:tc>
          <w:tcPr>
            <w:tcW w:w="60" w:type="dxa"/>
            <w:tcBorders/>
            <w:tcMar>
              <w:bottom w:w="0" w:type="dxa"/>
            </w:tcMar>
            <w:vAlign w:val="center"/>
          </w:tcPr>
          <w:p>
            <w:pPr>
              <w:pStyle w:val="TableContents"/>
              <w:bidi w:val="0"/>
              <w:spacing w:before="0" w:after="283"/>
              <w:jc w:val="left"/>
              <w:rPr/>
            </w:pPr>
            <w:r>
              <w:rPr/>
              <w:t> </w:t>
            </w:r>
          </w:p>
        </w:tc>
        <w:tc>
          <w:tcPr>
            <w:tcW w:w="84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7_edei--TradingSymbol_c20240513__2"/>
            <w:bookmarkEnd w:id="23"/>
            <w:r>
              <w:rPr>
                <w:rFonts w:ascii="Times New Roman;Times;Serif" w:hAnsi="Times New Roman;Times;Serif"/>
                <w:b w:val="false"/>
                <w:i w:val="false"/>
                <w:caps w:val="false"/>
                <w:smallCaps w:val="false"/>
                <w:sz w:val="20"/>
              </w:rPr>
              <w:t>TMCWW</w:t>
            </w:r>
          </w:p>
        </w:tc>
        <w:tc>
          <w:tcPr>
            <w:tcW w:w="60" w:type="dxa"/>
            <w:tcBorders/>
            <w:tcMar>
              <w:bottom w:w="0" w:type="dxa"/>
            </w:tcMar>
            <w:vAlign w:val="center"/>
          </w:tcPr>
          <w:p>
            <w:pPr>
              <w:pStyle w:val="TableContents"/>
              <w:bidi w:val="0"/>
              <w:spacing w:before="0" w:after="283"/>
              <w:jc w:val="left"/>
              <w:rPr/>
            </w:pPr>
            <w:r>
              <w:rPr/>
              <w:t> </w:t>
            </w:r>
          </w:p>
        </w:tc>
        <w:tc>
          <w:tcPr>
            <w:tcW w:w="1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D_edei--SecurityExchangeName_c2024"/>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C_edei--EntityEmergingGrowthCompan"/>
      <w:bookmarkEnd w:id="25"/>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9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shd w:fill="FFFFFF" w:val="clear"/>
        <w:tblLayout w:type="fixed"/>
        <w:tblCellMar>
          <w:top w:w="0" w:type="dxa"/>
          <w:left w:w="0" w:type="dxa"/>
          <w:bottom w:w="0" w:type="dxa"/>
          <w:right w:w="0" w:type="dxa"/>
        </w:tblCellMar>
      </w:tblPr>
      <w:tblGrid>
        <w:gridCol w:w="875"/>
        <w:gridCol w:w="3980"/>
      </w:tblGrid>
      <w:tr>
        <w:trPr/>
        <w:tc>
          <w:tcPr>
            <w:tcW w:w="87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2.02.</w:t>
            </w:r>
          </w:p>
        </w:tc>
        <w:tc>
          <w:tcPr>
            <w:tcW w:w="39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TMC the metals company Inc. (the “Company”) issued a press release announcing its results for the first quarter ended March 31, 2024 and providing a business update. A copy of the press release is furnished as Exhibit 99.1 hereto. In addition, the Company will hold a conference call on May 13, 2024 at 4:30 p.m. EDT to discuss these results and the business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Except for historical information contained in the press release attached as an exhibit hereto, the press release contains forward-looking statements which involve certain risks and uncertainties that could cause actual results to differ materially from those expressed or implied by these statements. Please refer to the cautionary note in the press release regarding these forward-looking statements.</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shd w:fill="FFFFFF" w:val="clear"/>
        <w:tblLayout w:type="fixed"/>
        <w:tblCellMar>
          <w:top w:w="0" w:type="dxa"/>
          <w:left w:w="0" w:type="dxa"/>
          <w:bottom w:w="0" w:type="dxa"/>
          <w:right w:w="0" w:type="dxa"/>
        </w:tblCellMar>
      </w:tblPr>
      <w:tblGrid>
        <w:gridCol w:w="875"/>
        <w:gridCol w:w="2960"/>
      </w:tblGrid>
      <w:tr>
        <w:trPr/>
        <w:tc>
          <w:tcPr>
            <w:tcW w:w="87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995"/>
        <w:gridCol w:w="60"/>
        <w:gridCol w:w="6485"/>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414049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hyperlink w:anchor="tm2414049d1_ex99-1.htm">
              <w:r>
                <w:rPr>
                  <w:rStyle w:val="InternetLink"/>
                  <w:rFonts w:ascii="Times New Roman;Times;Serif" w:hAnsi="Times New Roman;Times;Serif"/>
                  <w:sz w:val="20"/>
                </w:rPr>
                <w:t>Press Release dated May 13, 2024</w:t>
              </w:r>
            </w:hyperlink>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944" w:type="dxa"/>
        <w:jc w:val="left"/>
        <w:tblInd w:w="0" w:type="dxa"/>
        <w:tblLayout w:type="fixed"/>
        <w:tblCellMar>
          <w:top w:w="0" w:type="dxa"/>
          <w:left w:w="0" w:type="dxa"/>
          <w:bottom w:w="0" w:type="dxa"/>
          <w:right w:w="0" w:type="dxa"/>
        </w:tblCellMar>
      </w:tblPr>
      <w:tblGrid>
        <w:gridCol w:w="1655"/>
        <w:gridCol w:w="734"/>
        <w:gridCol w:w="2555"/>
      </w:tblGrid>
      <w:tr>
        <w:trPr/>
        <w:tc>
          <w:tcPr>
            <w:tcW w:w="165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TMC THE METALS COMPANY INC.</w:t>
            </w:r>
          </w:p>
        </w:tc>
      </w:tr>
      <w:tr>
        <w:trPr/>
        <w:tc>
          <w:tcPr>
            <w:tcW w:w="16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13, 2024</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Craig Shesky</w:t>
            </w:r>
          </w:p>
        </w:tc>
      </w:tr>
      <w:tr>
        <w:trPr/>
        <w:tc>
          <w:tcPr>
            <w:tcW w:w="16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Craig Shesky</w:t>
            </w:r>
          </w:p>
        </w:tc>
      </w:tr>
      <w:tr>
        <w:trPr/>
        <w:tc>
          <w:tcPr>
            <w:tcW w:w="16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firstLine="43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firstLine="4320"/>
        <w:jc w:val="both"/>
        <w:rPr>
          <w:caps w:val="false"/>
          <w:smallCaps w:val="false"/>
        </w:rPr>
      </w:pPr>
      <w:r>
        <w:rPr>
          <w:caps w:val="false"/>
          <w:smallCaps w:val="false"/>
        </w:rPr>
        <w:t> </w:t>
      </w:r>
    </w:p>
    <w:p>
      <w:pPr>
        <w:pStyle w:val="TextBody"/>
        <w:bidi w:val="0"/>
        <w:jc w:val="left"/>
        <w:rPr/>
      </w:pPr>
      <w:bookmarkStart w:id="27" w:name="tm2414049d1_ex99-1.htm"/>
      <w:bookmarkStart w:id="28" w:name="kstm2414049d1_ex991"/>
      <w:bookmarkEnd w:id="27"/>
      <w:bookmarkEnd w:id="28"/>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Announces First Quarter 2024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May 13, 2024 — TMC the metals company Inc. (Nasdaq: TMC) (“TMC” or “the Company”), an explorer of lower-impact battery metals from seafloor polymetallic nodules, today provided a corporate update and first quarter financial results for the period ending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2024 Financial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02"/>
        <w:gridCol w:w="9942"/>
      </w:tblGrid>
      <w:tr>
        <w:trPr/>
        <w:tc>
          <w:tcPr>
            <w:tcW w:w="6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Symbol" w:hAnsi="Symbol"/>
              </w:rPr>
            </w:pPr>
            <w:r>
              <w:rPr>
                <w:rFonts w:ascii="Symbol" w:hAnsi="Symbol"/>
              </w:rPr>
              <w:t>·</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$11.9 million cash used in operations for the quarter ended March 31,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5"/>
        <w:gridCol w:w="9991"/>
      </w:tblGrid>
      <w:tr>
        <w:trPr/>
        <w:tc>
          <w:tcPr>
            <w:tcW w:w="4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Symbol" w:hAnsi="Symbol"/>
              </w:rPr>
            </w:pPr>
            <w:r>
              <w:rPr>
                <w:rFonts w:ascii="Symbol" w:hAnsi="Symbol"/>
              </w:rPr>
              <w:t>·</w:t>
            </w:r>
          </w:p>
        </w:tc>
        <w:tc>
          <w:tcPr>
            <w:tcW w:w="99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loss of $25.2 million and net loss per share of $0.08 for the quarter ended March 31,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197"/>
        <w:gridCol w:w="9949"/>
      </w:tblGrid>
      <w:tr>
        <w:trPr/>
        <w:tc>
          <w:tcPr>
            <w:tcW w:w="5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Symbol" w:hAnsi="Symbol"/>
              </w:rPr>
            </w:pPr>
            <w:r>
              <w:rPr>
                <w:rFonts w:ascii="Symbol" w:hAnsi="Symbol"/>
              </w:rPr>
              <w:t>·</w:t>
            </w:r>
          </w:p>
        </w:tc>
        <w:tc>
          <w:tcPr>
            <w:tcW w:w="99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liquidity of approximately $49 million at March 31, 2024, inclusive 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6"/>
        <w:gridCol w:w="761"/>
        <w:gridCol w:w="9238"/>
      </w:tblGrid>
      <w:tr>
        <w:trPr/>
        <w:tc>
          <w:tcPr>
            <w:tcW w:w="20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pPr>
            <w:r>
              <w:rPr/>
              <w:t>o</w:t>
            </w:r>
          </w:p>
        </w:tc>
        <w:tc>
          <w:tcPr>
            <w:tcW w:w="9238" w:type="dxa"/>
            <w:tcBorders/>
            <w:vAlign w:val="center"/>
          </w:tcPr>
          <w:p>
            <w:pPr>
              <w:pStyle w:val="TableContents"/>
              <w:bidi w:val="0"/>
              <w:spacing w:before="0" w:after="283"/>
              <w:jc w:val="both"/>
              <w:rPr>
                <w:sz w:val="20"/>
              </w:rPr>
            </w:pPr>
            <w:r>
              <w:rPr>
                <w:sz w:val="20"/>
              </w:rPr>
              <w:t>Cash of $4.0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50"/>
        <w:gridCol w:w="10015"/>
      </w:tblGrid>
      <w:tr>
        <w:trPr/>
        <w:tc>
          <w:tcPr>
            <w:tcW w:w="4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o</w:t>
            </w:r>
          </w:p>
        </w:tc>
        <w:tc>
          <w:tcPr>
            <w:tcW w:w="10015" w:type="dxa"/>
            <w:tcBorders/>
            <w:vAlign w:val="center"/>
          </w:tcPr>
          <w:p>
            <w:pPr>
              <w:pStyle w:val="TableContents"/>
              <w:bidi w:val="0"/>
              <w:spacing w:before="0" w:after="283"/>
              <w:jc w:val="both"/>
              <w:rPr>
                <w:sz w:val="20"/>
              </w:rPr>
            </w:pPr>
            <w:r>
              <w:rPr>
                <w:sz w:val="20"/>
              </w:rPr>
              <w:t>The $25 million unsecured credit facility from an affiliate of Allseas Group SA with a maturity date of August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sz w:val="20"/>
              </w:rPr>
            </w:pPr>
            <w:r>
              <w:rPr>
                <w:sz w:val="20"/>
              </w:rPr>
              <w:t>The $20 million unsecured credit facility with a maturity date of September 2025 provided by our largest shareholder, ERAS Capital LLC (the family office of TMC director Andrei Karkar), and our Chairman &amp; CEO, Gerard Barron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Subsequent to March 31, 2024, TMC has drawn approximately $2.9 million on the unsecured credit facility provided by ERAS Capital LLC and Gerard Barron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Gerard Barron, Chairman &amp; CEO of The Metals Company commented: “2024 is the year when most of the speculations about the environmental impacts of our emerging industry will be displaced by data and evidence. Earlier this month, NORI made another large data submission to the International Seabed Authority - NORI’s environmental baseline dataset is the largest of its kind ever gathered in the deep sea and, with still more data being prepared for another submission later this year, I am confident that our efforts over the past 12 years will provide the regulator with the data it needs to make informed decisions regarding our expected application for a NORI exploitation contract. With the continued support provided once again by our largest shareholders as announced in our year-end corporate update, we feel confident that we have the financial flexibility to deliver a world-class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Geopolitically, the U.S. is actively exploring the potential of deep-seafloor minerals, with the Pentagon currently conducting an analysis of domestic nodule processing and refining opportunities. Meanwhile, several Chinese contractors have announced plans to begin polymetallic nodule collection tests as early as 2025. While we do not have certainty on the date of the Pentagon report’s completion, I’m encouraged by the work being done by the Department of Defense and other departments. Further, we’re in active dialogue with members of Congress regarding the prioritization of feasibility work for the future refining of nodule-derived products in the United States, building on the existing base of support demonstrated in last year’s National Defense Authorization Act. We look forward to sharing more developments on this front in the coming weeks and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Highlights Since Last Corporate Update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Steve Jurvetson Joins TMC’s Board of Directors as Vice Chairman and Special Advisor to the CEO:</w:t>
            </w:r>
            <w:r>
              <w:rPr>
                <w:rFonts w:ascii="Times New Roman;Times;Serif" w:hAnsi="Times New Roman;Times;Serif"/>
              </w:rPr>
              <w:t xml:space="preserve"> In April 2024, renowned Silicon Valley investor Steve Jurvetson joined our board of directors as Vice Chairman and special advisor to the CEO. Mr. Jurvetson is an investor focused on founder-led, mission-driven companies at the cutting edge of disruptive technology and new industry formation. His investments include pioneering technology companies like Tesla, Planet Labs, SpaceX and Commonwealth Fusion Systems, and represent over $800 billion in aggregate value creation.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World-First Production of Nickel Sulfate from Deep-Seafloor Polymetallic Nodules: </w:t>
            </w:r>
            <w:r>
              <w:rPr>
                <w:rFonts w:ascii="Times New Roman;Times;Serif" w:hAnsi="Times New Roman;Times;Serif"/>
              </w:rPr>
              <w:t>In April 2024, we announced that we had successfully produced the world’s first nickel sulfate derived exclusively from seafloor polymetallic nodules during pilot-scale nodule processing. In partnership with SGS Canada Inc, the testing was undertaken on samples of nickel-cobalt-copper matte produced by TMC in 2021 using the Company’s efficient flowsheet to process high-grade nickel matte directly to nickel sulfate without making nickel metal, while producing fertilizer byproducts instead of solid waste or tailings.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Extensive Submission of Deep-Sea Environmental Data to the ISA:</w:t>
            </w:r>
            <w:r>
              <w:rPr>
                <w:rFonts w:ascii="Times New Roman;Times;Serif" w:hAnsi="Times New Roman;Times;Serif"/>
              </w:rPr>
              <w:t xml:space="preserve"> In May 2024, we announced that our subsidiary NORI had made a second submission of key environmental data from all prior environmental baseline campaigns conducted in the NORI-D exploration area up to January 2022 to DeepData, an open database of contractor data managed by the International Seabed Authority (ISA). The submission of this massive batch of data includes an extensive set of geochemical and biological samples from across the water column.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Update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ISA Consolidated Draft Regulations: </w:t>
            </w:r>
            <w:r>
              <w:rPr>
                <w:rFonts w:ascii="Times New Roman;Times;Serif" w:hAnsi="Times New Roman;Times;Serif"/>
              </w:rPr>
              <w:t>In February 2024, the ISA published a consolidated set of draft regulations for the first time, harmonizing and cleaning up the text. The 225-page text is comprehensive and signals the next phase in the negotiations. Part 1 of the ISA’s 29th Session took place between March 18-29, 2024. During the Session, the ISA Council commenced negotiations on the new consolidated text and identified a number of areas for negotiation inter-sessionally.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Responsible Use of Seafloor Resources Act (RUSRA): </w:t>
            </w:r>
            <w:r>
              <w:rPr>
                <w:rFonts w:ascii="Times New Roman;Times;Serif" w:hAnsi="Times New Roman;Times;Serif"/>
              </w:rPr>
              <w:t>In March 2024, legislation was introduced in the U.S. House of Representatives calling for the U.S. to “support international governance of seafloor resource exploration and responsible polymetallic nodule collection by allied partners”, and to “provide financial, diplomatic, or other forms of support for seafloor nodule collection, processing and refining.”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2024, we held cash of approximately $4.0 million and held no financial debt. We believe that our total liquidity including cash and borrowing availability under a credit facility with an affiliate of Allseas, and our credit facility with ERAS Capital LLC and Mr. Barron, will be sufficient to meet our working capital and capital expenditure commitments for at least the next twelve months from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reported a net loss of approximately $25.2 million, or $0.08 per share for the quarter ended March 31, 2024, compared to net loss of $13.7 million, or $0.05 per share, for the quarter ended March 31, 2023. Exploration and evaluation expenses during the quarter ended March 31, 2024 were $18.1 million compared to $7.2 million for the quarter ended March 31, 2023. The significant decrease in the exploration and evaluation expenses in the first quarter of 2024 was primarily due to an increase in mining, technological and process development of $10.4 million due to increased engineering work and expenses incurred on the transportation of nodules to PAMCO’s facility in Japan, and higher personnel costs. This was partially offset by a decrease in environmental studies as the cost for Campaign 8 which commenced in the fourth quarter of 2023 was completed in the first quarter of 2024, and was lower than the cost of the environmental work in the first quarter of 2023 following the completion of the NORI integrated collector 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$6.6 million for the quarter ended March 31, 2024 compared to $6.2 million for the quarter ended March 31, 2023, reflecting higher amortization of share-based compensation and higher consulting fees, offset by lower legal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hold a conference call today at 4:30 p.m. EDT to provide an update on recent corporate developments, first quarter 2024 financial results and upcoming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2024 Conference Call Details</w:t>
      </w:r>
    </w:p>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2105"/>
        <w:gridCol w:w="1955"/>
      </w:tblGrid>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Monday, May 13, 2024</w:t>
            </w:r>
          </w:p>
        </w:tc>
      </w:tr>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4:30 pm EDT</w:t>
            </w:r>
          </w:p>
        </w:tc>
      </w:tr>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Audio-only Dial-in:</w:t>
            </w:r>
          </w:p>
        </w:tc>
        <w:tc>
          <w:tcPr>
            <w:tcW w:w="195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Register Here</w:t>
            </w:r>
          </w:p>
        </w:tc>
      </w:tr>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Virtual webcast w/ slides:</w:t>
            </w:r>
          </w:p>
        </w:tc>
        <w:tc>
          <w:tcPr>
            <w:tcW w:w="195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Register Here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register with the links above at least ten minutes prior to the conference call. The virtual webcast will be available for replay in the ‘Investors’ tab of the Company’s website under ‘Investors’ &gt; ‘Media’ &gt; ‘Events and Presentations’, approximately two hours after the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Metals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Metals Company is an explorer of lower-impact battery metals from seafloor polymetallic nodules, on a dual mission: (1) supply metals for the global energy transition with the least possible negative impacts on planet and people and (2) trace, recover and recycle the metals we supply to help create a metals commons that can be used in perpetuity.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 More information is available at </w:t>
      </w:r>
      <w:r>
        <w:rPr>
          <w:rFonts w:ascii="Times New Roman;Times;Serif" w:hAnsi="Times New Roman;Times;Serif"/>
          <w:b w:val="false"/>
          <w:i w:val="false"/>
          <w:caps w:val="false"/>
          <w:smallCaps w:val="false"/>
          <w:sz w:val="20"/>
          <w:u w:val="single"/>
        </w:rPr>
        <w:t>www.metals.co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Media | </w:t>
      </w:r>
      <w:r>
        <w:rPr>
          <w:rFonts w:ascii="Times New Roman;Times;Serif" w:hAnsi="Times New Roman;Times;Serif"/>
          <w:b w:val="false"/>
          <w:i w:val="false"/>
          <w:caps w:val="false"/>
          <w:smallCaps w:val="false"/>
          <w:sz w:val="20"/>
          <w:u w:val="single"/>
        </w:rPr>
        <w:t>media@metals.co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Investors | </w:t>
      </w:r>
      <w:r>
        <w:rPr>
          <w:rFonts w:ascii="Times New Roman;Times;Serif" w:hAnsi="Times New Roman;Times;Serif"/>
          <w:b w:val="false"/>
          <w:i w:val="false"/>
          <w:caps w:val="false"/>
          <w:smallCaps w:val="false"/>
          <w:sz w:val="20"/>
          <w:u w:val="single"/>
        </w:rPr>
        <w:t>investors@metals.co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and information within the meaning of the Private Securities Litigation Reform Act of 1995. These statements may be identified by words such as “aims,” “believes,” “could,” “estimates,” “expects,” “forecasts,” “may,” “plans,” “possible,” “potential,” “will” and variations of these words or similar expressions, although not all forward-looking statements contain these words. Forward-looking statements in this press release include, but are not limited to, statements with respect to the potential impact of the Company’s potential commercial operations, the Company’s expected application to the ISA for an exploitation contract, the potential outcome of actions of the U.S. government, the Company’s dialogue with members of the U.S. government, the status and timing of adopting final regulations, or Mining Code, for the exploitation of deep-sea polymetallic nodules and the Company’s financial and operating plans moving forward.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among other things: the Company’s strategies and future financial performance; the ISA's ability to timely adopt the Mining Code and/or willingness to review and/or approve a plan of work for exploitation under the United Nations Convention on the Laws of the Sea (UNCLOS); the Company’s ability to obtain exploitation contracts or approved plans of work for exploitation for its areas in the Clarion Clipperton Zone; regulatory uncertainties and the impact of government regulation and political instability on the Company’s resource activities; changes to any of the laws, rules, regulations or policies to which the Company is subject, including the terms of the final Mining Code, if any, adopted by ISA and the potential timing thereof; the impact of extensive and costly environmental requirements on the Company’s operations; environmental liabilities; the impact of polymetallic nodule collection on biodiversity in the Clarion Clipperton Zone and recovery rates of impacted ecosystems; the Company’s ability to develop minerals in sufficient grade or quantities to justify commercial operations; the lack of development of seafloor polymetallic nodule deposit; the Company’s ability to successfully enter into binding agreements with Allseas Group S.A. and other parties in which it is in discussions, if any, including Pacific Metals Company of Japan; uncertainty in the estimates for mineral resource calculations from certain contract areas and for the grade and quality of polymetallic nodule deposits; risks associated with natural hazards; uncertainty with respect to the specialized treatment and processing of polymetallic nodules that the Company may recover; risks associated with collective, development and processing operations, including with respect to the development of onshore processing capabilities and capacity and Allseas Group S.A.’s expected development efforts with respect to the Project Zero offshore system; the Company’s dependence on Allseas Group S.A.; fluctuations in transportation costs; fluctuations in metals prices; testing and manufacturing of equipment; risks associated with the Company’s limited operating history, limited cash resources and need for additional financing and risk that such financing may not be available on acceptable terms, or at all; risks associated with the Company’s intellectual property; Low Carbon Royalties’ limited operating history and other risks and uncertainties, any of which could cause the Company’s actual results to differ from those contained in the forward-looking statements, that are described in greater detail in the section entitled “Risk Factors” in the Company’s Annual Report on Form 10-K and subsequent Quarterly Reports on Form 10-Q filed with the Securities and Exchange Commission (SEC), including the Company’s Annual Report on Form 10-K for the year ended December 31, 2023 filed with the SEC on March 25, 2024, as amended. Any forward-looking statements contained in this press release speak only as of the date hereof, and the Company expressly disclaims any obligation to update any forward-looking statements contained herein, whether because of any new information, future events, changed circumstances or otherwise, except as otherwise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Consolidated Balance Sheets</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amounts)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45"/>
        <w:gridCol w:w="60"/>
        <w:gridCol w:w="126"/>
        <w:gridCol w:w="764"/>
        <w:gridCol w:w="80"/>
        <w:gridCol w:w="60"/>
        <w:gridCol w:w="166"/>
        <w:gridCol w:w="1009"/>
        <w:gridCol w:w="95"/>
      </w:tblGrid>
      <w:tr>
        <w:trPr/>
        <w:tc>
          <w:tcPr>
            <w:tcW w:w="7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As at</w:t>
              <w:br/>
              <w:t>March 31,</w:t>
              <w:br/>
              <w:t>2024</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As at</w:t>
              <w:br/>
              <w:t>December 31,</w:t>
              <w:br/>
              <w:t>2023</w:t>
            </w:r>
          </w:p>
        </w:tc>
        <w:tc>
          <w:tcPr>
            <w:tcW w:w="95" w:type="dxa"/>
            <w:tcBorders/>
            <w:vAlign w:val="center"/>
          </w:tcPr>
          <w:p>
            <w:pPr>
              <w:pStyle w:val="TableContents"/>
              <w:bidi w:val="0"/>
              <w:spacing w:before="0" w:after="283"/>
              <w:jc w:val="center"/>
              <w:rPr/>
            </w:pPr>
            <w:r>
              <w:rPr/>
              <w:t> </w:t>
            </w:r>
          </w:p>
        </w:tc>
      </w:tr>
      <w:tr>
        <w:trPr/>
        <w:tc>
          <w:tcPr>
            <w:tcW w:w="7845" w:type="dxa"/>
            <w:tcBorders/>
            <w:shd w:fill="CCEEFF" w:val="clear"/>
            <w:vAlign w:val="center"/>
          </w:tcPr>
          <w:p>
            <w:pPr>
              <w:pStyle w:val="TableContents"/>
              <w:bidi w:val="0"/>
              <w:spacing w:before="0" w:after="283"/>
              <w:jc w:val="left"/>
              <w:rPr>
                <w:b/>
                <w:sz w:val="20"/>
              </w:rPr>
            </w:pPr>
            <w:r>
              <w:rPr>
                <w:b/>
                <w:sz w:val="20"/>
              </w:rPr>
              <w:t>ASSETS</w:t>
            </w:r>
          </w:p>
        </w:tc>
        <w:tc>
          <w:tcPr>
            <w:tcW w:w="60" w:type="dxa"/>
            <w:tcBorders/>
            <w:shd w:fill="CCEEFF" w:val="clear"/>
            <w:vAlign w:val="center"/>
          </w:tcPr>
          <w:p>
            <w:pPr>
              <w:pStyle w:val="TableContents"/>
              <w:bidi w:val="0"/>
              <w:spacing w:before="0" w:after="283"/>
              <w:jc w:val="center"/>
              <w:rPr/>
            </w:pPr>
            <w:r>
              <w:rPr/>
              <w:t> </w:t>
            </w:r>
          </w:p>
        </w:tc>
        <w:tc>
          <w:tcPr>
            <w:tcW w:w="89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175" w:type="dxa"/>
            <w:gridSpan w:val="2"/>
            <w:tcBorders/>
            <w:shd w:fill="CCEEFF" w:val="clear"/>
            <w:vAlign w:val="center"/>
          </w:tcPr>
          <w:p>
            <w:pPr>
              <w:pStyle w:val="TableContents"/>
              <w:bidi w:val="0"/>
              <w:spacing w:before="0" w:after="283"/>
              <w:jc w:val="center"/>
              <w:rPr/>
            </w:pPr>
            <w:r>
              <w:rPr/>
              <w:t> </w:t>
            </w:r>
          </w:p>
        </w:tc>
        <w:tc>
          <w:tcPr>
            <w:tcW w:w="95" w:type="dxa"/>
            <w:tcBorders/>
            <w:shd w:fill="CCEEFF" w:val="clear"/>
            <w:vAlign w:val="center"/>
          </w:tcPr>
          <w:p>
            <w:pPr>
              <w:pStyle w:val="TableContents"/>
              <w:bidi w:val="0"/>
              <w:spacing w:before="0" w:after="283"/>
              <w:jc w:val="center"/>
              <w:rPr/>
            </w:pPr>
            <w:r>
              <w:rPr/>
              <w:t> </w:t>
            </w:r>
          </w:p>
        </w:tc>
      </w:tr>
      <w:tr>
        <w:trPr/>
        <w:tc>
          <w:tcPr>
            <w:tcW w:w="7845" w:type="dxa"/>
            <w:tcBorders/>
            <w:shd w:fill="FFFFFF" w:val="clear"/>
            <w:vAlign w:val="center"/>
          </w:tcPr>
          <w:p>
            <w:pPr>
              <w:pStyle w:val="TableContents"/>
              <w:bidi w:val="0"/>
              <w:spacing w:before="0" w:after="283"/>
              <w:jc w:val="left"/>
              <w:rPr>
                <w:b/>
                <w:sz w:val="20"/>
              </w:rPr>
            </w:pPr>
            <w:r>
              <w:rPr>
                <w:b/>
                <w:sz w:val="20"/>
              </w:rPr>
              <w:t>Current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45" w:type="dxa"/>
            <w:tcBorders/>
            <w:shd w:fill="CCEEFF" w:val="clear"/>
            <w:vAlign w:val="center"/>
          </w:tcPr>
          <w:p>
            <w:pPr>
              <w:pStyle w:val="TableContents"/>
              <w:bidi w:val="0"/>
              <w:spacing w:before="0" w:after="283"/>
              <w:jc w:val="left"/>
              <w:rPr>
                <w:sz w:val="20"/>
              </w:rPr>
            </w:pPr>
            <w:r>
              <w:rPr>
                <w:sz w:val="20"/>
              </w:rPr>
              <w:t>Cash</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sz w:val="20"/>
              </w:rPr>
            </w:pPr>
            <w:r>
              <w:rPr>
                <w:sz w:val="20"/>
              </w:rPr>
              <w:t>$</w:t>
            </w:r>
          </w:p>
        </w:tc>
        <w:tc>
          <w:tcPr>
            <w:tcW w:w="764" w:type="dxa"/>
            <w:tcBorders/>
            <w:shd w:fill="CCEEFF" w:val="clear"/>
            <w:vAlign w:val="center"/>
          </w:tcPr>
          <w:p>
            <w:pPr>
              <w:pStyle w:val="TableContents"/>
              <w:bidi w:val="0"/>
              <w:spacing w:before="0" w:after="283"/>
              <w:jc w:val="right"/>
              <w:rPr>
                <w:sz w:val="20"/>
              </w:rPr>
            </w:pPr>
            <w:r>
              <w:rPr>
                <w:sz w:val="20"/>
              </w:rPr>
              <w:t>3,991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20"/>
              </w:rPr>
            </w:pPr>
            <w:r>
              <w:rPr>
                <w:sz w:val="20"/>
              </w:rPr>
              <w:t>$</w:t>
            </w:r>
          </w:p>
        </w:tc>
        <w:tc>
          <w:tcPr>
            <w:tcW w:w="1009" w:type="dxa"/>
            <w:tcBorders/>
            <w:shd w:fill="CCEEFF" w:val="clear"/>
            <w:vAlign w:val="center"/>
          </w:tcPr>
          <w:p>
            <w:pPr>
              <w:pStyle w:val="TableContents"/>
              <w:bidi w:val="0"/>
              <w:spacing w:before="0" w:after="283"/>
              <w:jc w:val="right"/>
              <w:rPr>
                <w:sz w:val="20"/>
              </w:rPr>
            </w:pPr>
            <w:r>
              <w:rPr>
                <w:sz w:val="20"/>
              </w:rPr>
              <w:t>6,842</w:t>
            </w:r>
          </w:p>
        </w:tc>
        <w:tc>
          <w:tcPr>
            <w:tcW w:w="95" w:type="dxa"/>
            <w:tcBorders/>
            <w:shd w:fill="CCEEFF" w:val="clear"/>
            <w:vAlign w:val="center"/>
          </w:tcPr>
          <w:p>
            <w:pPr>
              <w:pStyle w:val="TableContents"/>
              <w:bidi w:val="0"/>
              <w:spacing w:before="0" w:after="283"/>
              <w:jc w:val="left"/>
              <w:rPr/>
            </w:pPr>
            <w:r>
              <w:rPr/>
              <w:t> </w:t>
            </w:r>
          </w:p>
        </w:tc>
      </w:tr>
      <w:tr>
        <w:trPr/>
        <w:tc>
          <w:tcPr>
            <w:tcW w:w="7845" w:type="dxa"/>
            <w:tcBorders/>
            <w:shd w:fill="FFFFFF" w:val="clear"/>
            <w:vAlign w:val="center"/>
          </w:tcPr>
          <w:p>
            <w:pPr>
              <w:pStyle w:val="TableContents"/>
              <w:bidi w:val="0"/>
              <w:spacing w:before="0" w:after="283"/>
              <w:jc w:val="left"/>
              <w:rPr>
                <w:sz w:val="20"/>
              </w:rPr>
            </w:pPr>
            <w:r>
              <w:rPr>
                <w:sz w:val="20"/>
              </w:rPr>
              <w:t>Receivables and prepayments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1,978</w:t>
            </w:r>
          </w:p>
        </w:tc>
        <w:tc>
          <w:tcPr>
            <w:tcW w:w="95" w:type="dxa"/>
            <w:tcBorders/>
            <w:shd w:fill="FFFFFF" w:val="clear"/>
            <w:vAlign w:val="center"/>
          </w:tcPr>
          <w:p>
            <w:pPr>
              <w:pStyle w:val="TableContents"/>
              <w:bidi w:val="0"/>
              <w:spacing w:before="0" w:after="283"/>
              <w:jc w:val="left"/>
              <w:rPr/>
            </w:pPr>
            <w:r>
              <w:rPr/>
              <w:t> </w:t>
            </w:r>
          </w:p>
        </w:tc>
      </w:tr>
      <w:tr>
        <w:trPr/>
        <w:tc>
          <w:tcPr>
            <w:tcW w:w="7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sz w:val="20"/>
              </w:rPr>
            </w:pPr>
            <w:r>
              <w:rPr>
                <w:sz w:val="20"/>
              </w:rPr>
              <w:t>5,944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sz w:val="20"/>
              </w:rPr>
            </w:pPr>
            <w:r>
              <w:rPr>
                <w:sz w:val="20"/>
              </w:rPr>
              <w:t>8,820</w:t>
            </w:r>
          </w:p>
        </w:tc>
        <w:tc>
          <w:tcPr>
            <w:tcW w:w="95" w:type="dxa"/>
            <w:tcBorders/>
            <w:shd w:fill="CCEEFF" w:val="clear"/>
            <w:vAlign w:val="center"/>
          </w:tcPr>
          <w:p>
            <w:pPr>
              <w:pStyle w:val="TableContents"/>
              <w:bidi w:val="0"/>
              <w:spacing w:before="0" w:after="283"/>
              <w:jc w:val="left"/>
              <w:rPr/>
            </w:pPr>
            <w:r>
              <w:rPr/>
              <w:t> </w:t>
            </w:r>
          </w:p>
        </w:tc>
      </w:tr>
      <w:tr>
        <w:trPr/>
        <w:tc>
          <w:tcPr>
            <w:tcW w:w="7845" w:type="dxa"/>
            <w:tcBorders/>
            <w:shd w:fill="FFFFFF" w:val="clear"/>
            <w:vAlign w:val="center"/>
          </w:tcPr>
          <w:p>
            <w:pPr>
              <w:pStyle w:val="TableContents"/>
              <w:bidi w:val="0"/>
              <w:spacing w:before="0" w:after="283"/>
              <w:jc w:val="left"/>
              <w:rPr>
                <w:b/>
                <w:sz w:val="20"/>
              </w:rPr>
            </w:pPr>
            <w:r>
              <w:rPr>
                <w:b/>
                <w:sz w:val="20"/>
              </w:rPr>
              <w:t>Non-current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45" w:type="dxa"/>
            <w:tcBorders/>
            <w:shd w:fill="CCEEFF" w:val="clear"/>
            <w:vAlign w:val="center"/>
          </w:tcPr>
          <w:p>
            <w:pPr>
              <w:pStyle w:val="TableContents"/>
              <w:bidi w:val="0"/>
              <w:spacing w:before="0" w:after="283"/>
              <w:jc w:val="left"/>
              <w:rPr>
                <w:sz w:val="20"/>
              </w:rPr>
            </w:pPr>
            <w:r>
              <w:rPr>
                <w:sz w:val="20"/>
              </w:rPr>
              <w:t>Exploration contracts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sz w:val="20"/>
              </w:rPr>
            </w:pPr>
            <w:r>
              <w:rPr>
                <w:sz w:val="20"/>
              </w:rPr>
              <w:t>43,150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sz w:val="20"/>
              </w:rPr>
            </w:pPr>
            <w:r>
              <w:rPr>
                <w:sz w:val="20"/>
              </w:rPr>
              <w:t>43,150</w:t>
            </w:r>
          </w:p>
        </w:tc>
        <w:tc>
          <w:tcPr>
            <w:tcW w:w="95" w:type="dxa"/>
            <w:tcBorders/>
            <w:shd w:fill="CCEEFF" w:val="clear"/>
            <w:vAlign w:val="center"/>
          </w:tcPr>
          <w:p>
            <w:pPr>
              <w:pStyle w:val="TableContents"/>
              <w:bidi w:val="0"/>
              <w:spacing w:before="0" w:after="283"/>
              <w:jc w:val="left"/>
              <w:rPr/>
            </w:pPr>
            <w:r>
              <w:rPr/>
              <w:t> </w:t>
            </w:r>
          </w:p>
        </w:tc>
      </w:tr>
      <w:tr>
        <w:trPr/>
        <w:tc>
          <w:tcPr>
            <w:tcW w:w="7845" w:type="dxa"/>
            <w:tcBorders/>
            <w:shd w:fill="FFFFFF" w:val="clear"/>
            <w:vAlign w:val="center"/>
          </w:tcPr>
          <w:p>
            <w:pPr>
              <w:pStyle w:val="TableContents"/>
              <w:bidi w:val="0"/>
              <w:spacing w:before="0" w:after="283"/>
              <w:jc w:val="left"/>
              <w:rPr>
                <w:sz w:val="20"/>
              </w:rPr>
            </w:pPr>
            <w:r>
              <w:rPr>
                <w:sz w:val="20"/>
              </w:rPr>
              <w:t>Equipment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sz w:val="20"/>
              </w:rPr>
            </w:pPr>
            <w:r>
              <w:rPr>
                <w:sz w:val="20"/>
              </w:rPr>
              <w:t>1,048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sz w:val="20"/>
              </w:rPr>
            </w:pPr>
            <w:r>
              <w:rPr>
                <w:sz w:val="20"/>
              </w:rPr>
              <w:t>1,133</w:t>
            </w:r>
          </w:p>
        </w:tc>
        <w:tc>
          <w:tcPr>
            <w:tcW w:w="95" w:type="dxa"/>
            <w:tcBorders/>
            <w:shd w:fill="FFFFFF" w:val="clear"/>
            <w:vAlign w:val="center"/>
          </w:tcPr>
          <w:p>
            <w:pPr>
              <w:pStyle w:val="TableContents"/>
              <w:bidi w:val="0"/>
              <w:spacing w:before="0" w:after="283"/>
              <w:jc w:val="left"/>
              <w:rPr/>
            </w:pPr>
            <w:r>
              <w:rPr/>
              <w:t> </w:t>
            </w:r>
          </w:p>
        </w:tc>
      </w:tr>
      <w:tr>
        <w:trPr/>
        <w:tc>
          <w:tcPr>
            <w:tcW w:w="7845" w:type="dxa"/>
            <w:tcBorders/>
            <w:shd w:fill="CCEEFF" w:val="clear"/>
            <w:vAlign w:val="center"/>
          </w:tcPr>
          <w:p>
            <w:pPr>
              <w:pStyle w:val="TableContents"/>
              <w:bidi w:val="0"/>
              <w:spacing w:before="0" w:after="283"/>
              <w:jc w:val="left"/>
              <w:rPr>
                <w:sz w:val="20"/>
              </w:rPr>
            </w:pPr>
            <w:r>
              <w:rPr>
                <w:sz w:val="20"/>
              </w:rPr>
              <w:t>Software development costs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sz w:val="20"/>
              </w:rPr>
            </w:pPr>
            <w:r>
              <w:rPr>
                <w:sz w:val="20"/>
              </w:rPr>
              <w:t>1,718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sz w:val="20"/>
              </w:rPr>
            </w:pPr>
            <w:r>
              <w:rPr>
                <w:sz w:val="20"/>
              </w:rPr>
              <w:t>1,643</w:t>
            </w:r>
          </w:p>
        </w:tc>
        <w:tc>
          <w:tcPr>
            <w:tcW w:w="95" w:type="dxa"/>
            <w:tcBorders/>
            <w:shd w:fill="CCEEFF" w:val="clear"/>
            <w:vAlign w:val="center"/>
          </w:tcPr>
          <w:p>
            <w:pPr>
              <w:pStyle w:val="TableContents"/>
              <w:bidi w:val="0"/>
              <w:spacing w:before="0" w:after="283"/>
              <w:jc w:val="left"/>
              <w:rPr/>
            </w:pPr>
            <w:r>
              <w:rPr/>
              <w:t> </w:t>
            </w:r>
          </w:p>
        </w:tc>
      </w:tr>
      <w:tr>
        <w:trPr/>
        <w:tc>
          <w:tcPr>
            <w:tcW w:w="7845" w:type="dxa"/>
            <w:tcBorders/>
            <w:shd w:fill="FFFFFF" w:val="clear"/>
            <w:vAlign w:val="center"/>
          </w:tcPr>
          <w:p>
            <w:pPr>
              <w:pStyle w:val="TableContents"/>
              <w:bidi w:val="0"/>
              <w:spacing w:before="0" w:after="283"/>
              <w:jc w:val="left"/>
              <w:rPr>
                <w:sz w:val="20"/>
              </w:rPr>
            </w:pPr>
            <w:r>
              <w:rPr>
                <w:sz w:val="20"/>
              </w:rPr>
              <w:t>Right-of-use asset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sz w:val="20"/>
              </w:rPr>
            </w:pPr>
            <w:r>
              <w:rPr>
                <w:sz w:val="20"/>
              </w:rPr>
              <w:t>5,244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sz w:val="20"/>
              </w:rPr>
            </w:pPr>
            <w:r>
              <w:rPr>
                <w:sz w:val="20"/>
              </w:rPr>
              <w:t>5,721</w:t>
            </w:r>
          </w:p>
        </w:tc>
        <w:tc>
          <w:tcPr>
            <w:tcW w:w="95" w:type="dxa"/>
            <w:tcBorders/>
            <w:shd w:fill="FFFFFF" w:val="clear"/>
            <w:vAlign w:val="center"/>
          </w:tcPr>
          <w:p>
            <w:pPr>
              <w:pStyle w:val="TableContents"/>
              <w:bidi w:val="0"/>
              <w:spacing w:before="0" w:after="283"/>
              <w:jc w:val="left"/>
              <w:rPr/>
            </w:pPr>
            <w:r>
              <w:rPr/>
              <w:t> </w:t>
            </w:r>
          </w:p>
        </w:tc>
      </w:tr>
      <w:tr>
        <w:trPr/>
        <w:tc>
          <w:tcPr>
            <w:tcW w:w="7845" w:type="dxa"/>
            <w:tcBorders/>
            <w:shd w:fill="CCEEFF" w:val="clear"/>
            <w:vAlign w:val="center"/>
          </w:tcPr>
          <w:p>
            <w:pPr>
              <w:pStyle w:val="TableContents"/>
              <w:bidi w:val="0"/>
              <w:spacing w:before="0" w:after="283"/>
              <w:jc w:val="left"/>
              <w:rPr>
                <w:sz w:val="20"/>
              </w:rPr>
            </w:pPr>
            <w:r>
              <w:rPr>
                <w:sz w:val="20"/>
              </w:rPr>
              <w:t>Investment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8,351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8,429</w:t>
            </w:r>
          </w:p>
        </w:tc>
        <w:tc>
          <w:tcPr>
            <w:tcW w:w="95" w:type="dxa"/>
            <w:tcBorders/>
            <w:shd w:fill="CCEEFF" w:val="clear"/>
            <w:vAlign w:val="center"/>
          </w:tcPr>
          <w:p>
            <w:pPr>
              <w:pStyle w:val="TableContents"/>
              <w:bidi w:val="0"/>
              <w:spacing w:before="0" w:after="283"/>
              <w:jc w:val="left"/>
              <w:rPr/>
            </w:pPr>
            <w:r>
              <w:rPr/>
              <w:t> </w:t>
            </w:r>
          </w:p>
        </w:tc>
      </w:tr>
      <w:tr>
        <w:trPr/>
        <w:tc>
          <w:tcPr>
            <w:tcW w:w="7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59,511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60,076</w:t>
            </w:r>
          </w:p>
        </w:tc>
        <w:tc>
          <w:tcPr>
            <w:tcW w:w="95" w:type="dxa"/>
            <w:tcBorders/>
            <w:shd w:fill="FFFFFF" w:val="clear"/>
            <w:vAlign w:val="center"/>
          </w:tcPr>
          <w:p>
            <w:pPr>
              <w:pStyle w:val="TableContents"/>
              <w:bidi w:val="0"/>
              <w:spacing w:before="0" w:after="283"/>
              <w:jc w:val="left"/>
              <w:rPr/>
            </w:pPr>
            <w:r>
              <w:rPr/>
              <w:t> </w:t>
            </w:r>
          </w:p>
        </w:tc>
      </w:tr>
      <w:tr>
        <w:trPr/>
        <w:tc>
          <w:tcPr>
            <w:tcW w:w="7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45" w:type="dxa"/>
            <w:tcBorders/>
            <w:shd w:fill="FFFFFF" w:val="clear"/>
            <w:vAlign w:val="center"/>
          </w:tcPr>
          <w:p>
            <w:pPr>
              <w:pStyle w:val="TableContents"/>
              <w:bidi w:val="0"/>
              <w:spacing w:before="0" w:after="283"/>
              <w:jc w:val="left"/>
              <w:rPr>
                <w:b/>
                <w:sz w:val="20"/>
              </w:rPr>
            </w:pPr>
            <w:r>
              <w:rPr>
                <w:b/>
                <w:sz w:val="20"/>
              </w:rPr>
              <w:t>TOTAL ASSETS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65,455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68,896</w:t>
            </w:r>
          </w:p>
        </w:tc>
        <w:tc>
          <w:tcPr>
            <w:tcW w:w="95" w:type="dxa"/>
            <w:tcBorders/>
            <w:shd w:fill="FFFFFF" w:val="clear"/>
            <w:vAlign w:val="center"/>
          </w:tcPr>
          <w:p>
            <w:pPr>
              <w:pStyle w:val="TableContents"/>
              <w:bidi w:val="0"/>
              <w:spacing w:before="0" w:after="283"/>
              <w:jc w:val="left"/>
              <w:rPr/>
            </w:pPr>
            <w:r>
              <w:rPr/>
              <w:t> </w:t>
            </w:r>
          </w:p>
        </w:tc>
      </w:tr>
      <w:tr>
        <w:trPr/>
        <w:tc>
          <w:tcPr>
            <w:tcW w:w="7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45" w:type="dxa"/>
            <w:tcBorders/>
            <w:shd w:fill="FFFFFF" w:val="clear"/>
            <w:vAlign w:val="center"/>
          </w:tcPr>
          <w:p>
            <w:pPr>
              <w:pStyle w:val="TableContents"/>
              <w:bidi w:val="0"/>
              <w:spacing w:before="0" w:after="283"/>
              <w:jc w:val="left"/>
              <w:rPr>
                <w:b/>
                <w:sz w:val="20"/>
              </w:rPr>
            </w:pPr>
            <w:r>
              <w:rPr>
                <w:b/>
                <w:sz w:val="20"/>
              </w:rPr>
              <w:t>LIABILITIES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45" w:type="dxa"/>
            <w:tcBorders/>
            <w:shd w:fill="CCEEFF" w:val="clear"/>
            <w:vAlign w:val="center"/>
          </w:tcPr>
          <w:p>
            <w:pPr>
              <w:pStyle w:val="TableContents"/>
              <w:bidi w:val="0"/>
              <w:spacing w:before="0" w:after="283"/>
              <w:jc w:val="left"/>
              <w:rPr>
                <w:b/>
                <w:sz w:val="20"/>
              </w:rPr>
            </w:pPr>
            <w:r>
              <w:rPr>
                <w:b/>
                <w:sz w:val="20"/>
              </w:rPr>
              <w:t>Current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45" w:type="dxa"/>
            <w:tcBorders/>
            <w:shd w:fill="FFFFFF" w:val="clear"/>
            <w:vAlign w:val="center"/>
          </w:tcPr>
          <w:p>
            <w:pPr>
              <w:pStyle w:val="TableContents"/>
              <w:bidi w:val="0"/>
              <w:spacing w:before="0" w:after="283"/>
              <w:jc w:val="left"/>
              <w:rPr>
                <w:sz w:val="20"/>
              </w:rPr>
            </w:pPr>
            <w:r>
              <w:rPr>
                <w:sz w:val="20"/>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36,470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31,334</w:t>
            </w:r>
          </w:p>
        </w:tc>
        <w:tc>
          <w:tcPr>
            <w:tcW w:w="95" w:type="dxa"/>
            <w:tcBorders/>
            <w:shd w:fill="FFFFFF" w:val="clear"/>
            <w:vAlign w:val="center"/>
          </w:tcPr>
          <w:p>
            <w:pPr>
              <w:pStyle w:val="TableContents"/>
              <w:bidi w:val="0"/>
              <w:spacing w:before="0" w:after="283"/>
              <w:jc w:val="left"/>
              <w:rPr/>
            </w:pPr>
            <w:r>
              <w:rPr/>
              <w:t> </w:t>
            </w:r>
          </w:p>
        </w:tc>
      </w:tr>
      <w:tr>
        <w:trPr/>
        <w:tc>
          <w:tcPr>
            <w:tcW w:w="7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sz w:val="20"/>
              </w:rPr>
            </w:pPr>
            <w:r>
              <w:rPr>
                <w:sz w:val="20"/>
              </w:rPr>
              <w:t>36,470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sz w:val="20"/>
              </w:rPr>
            </w:pPr>
            <w:r>
              <w:rPr>
                <w:sz w:val="20"/>
              </w:rPr>
              <w:t>31,334</w:t>
            </w:r>
          </w:p>
        </w:tc>
        <w:tc>
          <w:tcPr>
            <w:tcW w:w="95" w:type="dxa"/>
            <w:tcBorders/>
            <w:shd w:fill="CCEEFF" w:val="clear"/>
            <w:vAlign w:val="center"/>
          </w:tcPr>
          <w:p>
            <w:pPr>
              <w:pStyle w:val="TableContents"/>
              <w:bidi w:val="0"/>
              <w:spacing w:before="0" w:after="283"/>
              <w:jc w:val="left"/>
              <w:rPr/>
            </w:pPr>
            <w:r>
              <w:rPr/>
              <w:t> </w:t>
            </w:r>
          </w:p>
        </w:tc>
      </w:tr>
      <w:tr>
        <w:trPr/>
        <w:tc>
          <w:tcPr>
            <w:tcW w:w="7845" w:type="dxa"/>
            <w:tcBorders/>
            <w:shd w:fill="FFFFFF" w:val="clear"/>
            <w:vAlign w:val="center"/>
          </w:tcPr>
          <w:p>
            <w:pPr>
              <w:pStyle w:val="TableContents"/>
              <w:bidi w:val="0"/>
              <w:spacing w:before="0" w:after="283"/>
              <w:jc w:val="left"/>
              <w:rPr>
                <w:b/>
                <w:sz w:val="20"/>
              </w:rPr>
            </w:pPr>
            <w:r>
              <w:rPr>
                <w:b/>
                <w:sz w:val="20"/>
              </w:rPr>
              <w:t>Non-current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45" w:type="dxa"/>
            <w:tcBorders/>
            <w:shd w:fill="CCEEFF" w:val="clear"/>
            <w:vAlign w:val="center"/>
          </w:tcPr>
          <w:p>
            <w:pPr>
              <w:pStyle w:val="TableContents"/>
              <w:bidi w:val="0"/>
              <w:spacing w:before="0" w:after="283"/>
              <w:jc w:val="left"/>
              <w:rPr>
                <w:sz w:val="20"/>
              </w:rPr>
            </w:pPr>
            <w:r>
              <w:rPr>
                <w:sz w:val="20"/>
              </w:rPr>
              <w:t>Deferred tax liability</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sz w:val="20"/>
              </w:rPr>
            </w:pPr>
            <w:r>
              <w:rPr>
                <w:sz w:val="20"/>
              </w:rPr>
              <w:t>10,675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sz w:val="20"/>
              </w:rPr>
            </w:pPr>
            <w:r>
              <w:rPr>
                <w:sz w:val="20"/>
              </w:rPr>
              <w:t>10,675</w:t>
            </w:r>
          </w:p>
        </w:tc>
        <w:tc>
          <w:tcPr>
            <w:tcW w:w="95" w:type="dxa"/>
            <w:tcBorders/>
            <w:shd w:fill="CCEEFF" w:val="clear"/>
            <w:vAlign w:val="center"/>
          </w:tcPr>
          <w:p>
            <w:pPr>
              <w:pStyle w:val="TableContents"/>
              <w:bidi w:val="0"/>
              <w:spacing w:before="0" w:after="283"/>
              <w:jc w:val="left"/>
              <w:rPr/>
            </w:pPr>
            <w:r>
              <w:rPr/>
              <w:t> </w:t>
            </w:r>
          </w:p>
        </w:tc>
      </w:tr>
      <w:tr>
        <w:trPr/>
        <w:tc>
          <w:tcPr>
            <w:tcW w:w="7845" w:type="dxa"/>
            <w:tcBorders/>
            <w:shd w:fill="FFFFFF" w:val="clear"/>
            <w:vAlign w:val="center"/>
          </w:tcPr>
          <w:p>
            <w:pPr>
              <w:pStyle w:val="TableContents"/>
              <w:bidi w:val="0"/>
              <w:spacing w:before="0" w:after="283"/>
              <w:jc w:val="left"/>
              <w:rPr>
                <w:sz w:val="20"/>
              </w:rPr>
            </w:pPr>
            <w:r>
              <w:rPr>
                <w:sz w:val="20"/>
              </w:rPr>
              <w:t>Royalty liability</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sz w:val="20"/>
              </w:rPr>
            </w:pPr>
            <w:r>
              <w:rPr>
                <w:sz w:val="20"/>
              </w:rPr>
              <w:t>14,000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sz w:val="20"/>
              </w:rPr>
            </w:pPr>
            <w:r>
              <w:rPr>
                <w:sz w:val="20"/>
              </w:rPr>
              <w:t>14,000</w:t>
            </w:r>
          </w:p>
        </w:tc>
        <w:tc>
          <w:tcPr>
            <w:tcW w:w="95" w:type="dxa"/>
            <w:tcBorders/>
            <w:shd w:fill="FFFFFF" w:val="clear"/>
            <w:vAlign w:val="center"/>
          </w:tcPr>
          <w:p>
            <w:pPr>
              <w:pStyle w:val="TableContents"/>
              <w:bidi w:val="0"/>
              <w:spacing w:before="0" w:after="283"/>
              <w:jc w:val="left"/>
              <w:rPr/>
            </w:pPr>
            <w:r>
              <w:rPr/>
              <w:t> </w:t>
            </w:r>
          </w:p>
        </w:tc>
      </w:tr>
      <w:tr>
        <w:trPr/>
        <w:tc>
          <w:tcPr>
            <w:tcW w:w="7845" w:type="dxa"/>
            <w:tcBorders/>
            <w:shd w:fill="CCEEFF" w:val="clear"/>
            <w:vAlign w:val="center"/>
          </w:tcPr>
          <w:p>
            <w:pPr>
              <w:pStyle w:val="TableContents"/>
              <w:bidi w:val="0"/>
              <w:spacing w:before="0" w:after="283"/>
              <w:jc w:val="left"/>
              <w:rPr>
                <w:sz w:val="20"/>
              </w:rPr>
            </w:pPr>
            <w:r>
              <w:rPr>
                <w:sz w:val="20"/>
              </w:rPr>
              <w:t>Warrants liability</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1,969</w:t>
            </w:r>
          </w:p>
        </w:tc>
        <w:tc>
          <w:tcPr>
            <w:tcW w:w="95" w:type="dxa"/>
            <w:tcBorders/>
            <w:shd w:fill="CCEEFF" w:val="clear"/>
            <w:vAlign w:val="center"/>
          </w:tcPr>
          <w:p>
            <w:pPr>
              <w:pStyle w:val="TableContents"/>
              <w:bidi w:val="0"/>
              <w:spacing w:before="0" w:after="283"/>
              <w:jc w:val="left"/>
              <w:rPr/>
            </w:pPr>
            <w:r>
              <w:rPr/>
              <w:t> </w:t>
            </w:r>
          </w:p>
        </w:tc>
      </w:tr>
      <w:tr>
        <w:trPr/>
        <w:tc>
          <w:tcPr>
            <w:tcW w:w="7845" w:type="dxa"/>
            <w:tcBorders/>
            <w:shd w:fill="FFFFFF" w:val="clear"/>
            <w:vAlign w:val="center"/>
          </w:tcPr>
          <w:p>
            <w:pPr>
              <w:pStyle w:val="TableContents"/>
              <w:bidi w:val="0"/>
              <w:spacing w:before="0" w:after="283"/>
              <w:jc w:val="left"/>
              <w:rPr>
                <w:b/>
                <w:sz w:val="20"/>
              </w:rPr>
            </w:pPr>
            <w:r>
              <w:rPr>
                <w:b/>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63,645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57,978</w:t>
            </w:r>
          </w:p>
        </w:tc>
        <w:tc>
          <w:tcPr>
            <w:tcW w:w="95" w:type="dxa"/>
            <w:tcBorders/>
            <w:shd w:fill="FFFFFF" w:val="clear"/>
            <w:vAlign w:val="center"/>
          </w:tcPr>
          <w:p>
            <w:pPr>
              <w:pStyle w:val="TableContents"/>
              <w:bidi w:val="0"/>
              <w:spacing w:before="0" w:after="283"/>
              <w:jc w:val="left"/>
              <w:rPr/>
            </w:pPr>
            <w:r>
              <w:rPr/>
              <w:t> </w:t>
            </w:r>
          </w:p>
        </w:tc>
      </w:tr>
      <w:tr>
        <w:trPr/>
        <w:tc>
          <w:tcPr>
            <w:tcW w:w="7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45" w:type="dxa"/>
            <w:tcBorders/>
            <w:shd w:fill="FFFFFF" w:val="clear"/>
            <w:vAlign w:val="center"/>
          </w:tcPr>
          <w:p>
            <w:pPr>
              <w:pStyle w:val="TableContents"/>
              <w:bidi w:val="0"/>
              <w:spacing w:before="0" w:after="283"/>
              <w:jc w:val="left"/>
              <w:rPr>
                <w:b/>
                <w:sz w:val="20"/>
              </w:rPr>
            </w:pPr>
            <w:r>
              <w:rPr>
                <w:b/>
                <w:sz w:val="20"/>
              </w:rPr>
              <w:t>EQUITY</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845" w:type="dxa"/>
            <w:tcBorders/>
            <w:shd w:fill="CCEEFF" w:val="clear"/>
            <w:vAlign w:val="center"/>
          </w:tcPr>
          <w:p>
            <w:pPr>
              <w:pStyle w:val="TableContents"/>
              <w:bidi w:val="0"/>
              <w:spacing w:before="0" w:after="283"/>
              <w:jc w:val="left"/>
              <w:rPr>
                <w:sz w:val="20"/>
              </w:rPr>
            </w:pPr>
            <w:r>
              <w:rPr>
                <w:sz w:val="20"/>
              </w:rPr>
              <w:t xml:space="preserve">Common shares </w:t>
            </w:r>
            <w:r>
              <w:rPr>
                <w:i/>
                <w:sz w:val="20"/>
              </w:rPr>
              <w:t>(unlimited shares, no par value – issued: 318,291,383 (December 31, 2023 – 306,558,710))</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sz w:val="20"/>
              </w:rPr>
            </w:pPr>
            <w:r>
              <w:rPr>
                <w:sz w:val="20"/>
              </w:rPr>
              <w:t>454,431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sz w:val="20"/>
              </w:rPr>
            </w:pPr>
            <w:r>
              <w:rPr>
                <w:sz w:val="20"/>
              </w:rPr>
              <w:t>438,239</w:t>
            </w:r>
          </w:p>
        </w:tc>
        <w:tc>
          <w:tcPr>
            <w:tcW w:w="95" w:type="dxa"/>
            <w:tcBorders/>
            <w:shd w:fill="CCEEFF" w:val="clear"/>
            <w:vAlign w:val="center"/>
          </w:tcPr>
          <w:p>
            <w:pPr>
              <w:pStyle w:val="TableContents"/>
              <w:bidi w:val="0"/>
              <w:spacing w:before="0" w:after="283"/>
              <w:jc w:val="left"/>
              <w:rPr/>
            </w:pPr>
            <w:r>
              <w:rPr/>
              <w:t> </w:t>
            </w:r>
          </w:p>
        </w:tc>
      </w:tr>
      <w:tr>
        <w:trPr/>
        <w:tc>
          <w:tcPr>
            <w:tcW w:w="7845" w:type="dxa"/>
            <w:tcBorders/>
            <w:shd w:fill="FFFFFF" w:val="clear"/>
            <w:vAlign w:val="center"/>
          </w:tcPr>
          <w:p>
            <w:pPr>
              <w:pStyle w:val="TableContents"/>
              <w:bidi w:val="0"/>
              <w:spacing w:before="0" w:after="283"/>
              <w:jc w:val="left"/>
              <w:rPr>
                <w:sz w:val="20"/>
              </w:rPr>
            </w:pPr>
            <w:r>
              <w:rPr>
                <w:sz w:val="20"/>
              </w:rPr>
              <w:t>Additional paid in capital</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sz w:val="20"/>
              </w:rPr>
            </w:pPr>
            <w:r>
              <w:rPr>
                <w:sz w:val="20"/>
              </w:rPr>
              <w:t>122,691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sz w:val="20"/>
              </w:rPr>
            </w:pPr>
            <w:r>
              <w:rPr>
                <w:sz w:val="20"/>
              </w:rPr>
              <w:t>122,797</w:t>
            </w:r>
          </w:p>
        </w:tc>
        <w:tc>
          <w:tcPr>
            <w:tcW w:w="95" w:type="dxa"/>
            <w:tcBorders/>
            <w:shd w:fill="FFFFFF" w:val="clear"/>
            <w:vAlign w:val="center"/>
          </w:tcPr>
          <w:p>
            <w:pPr>
              <w:pStyle w:val="TableContents"/>
              <w:bidi w:val="0"/>
              <w:spacing w:before="0" w:after="283"/>
              <w:jc w:val="left"/>
              <w:rPr/>
            </w:pPr>
            <w:r>
              <w:rPr/>
              <w:t> </w:t>
            </w:r>
          </w:p>
        </w:tc>
      </w:tr>
      <w:tr>
        <w:trPr/>
        <w:tc>
          <w:tcPr>
            <w:tcW w:w="7845" w:type="dxa"/>
            <w:tcBorders/>
            <w:shd w:fill="CCEEFF" w:val="clear"/>
            <w:vAlign w:val="center"/>
          </w:tcPr>
          <w:p>
            <w:pPr>
              <w:pStyle w:val="TableContents"/>
              <w:bidi w:val="0"/>
              <w:spacing w:before="0" w:after="283"/>
              <w:jc w:val="left"/>
              <w:rPr>
                <w:sz w:val="20"/>
              </w:rPr>
            </w:pPr>
            <w:r>
              <w:rPr>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sz w:val="20"/>
              </w:rPr>
            </w:pPr>
            <w:r>
              <w:rPr>
                <w:sz w:val="20"/>
              </w:rPr>
              <w:t>(1,216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sz w:val="20"/>
              </w:rPr>
            </w:pPr>
            <w:r>
              <w:rPr>
                <w:sz w:val="20"/>
              </w:rPr>
              <w:t>(1,216</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845" w:type="dxa"/>
            <w:tcBorders/>
            <w:shd w:fill="FFFFFF" w:val="clear"/>
            <w:vAlign w:val="center"/>
          </w:tcPr>
          <w:p>
            <w:pPr>
              <w:pStyle w:val="TableContents"/>
              <w:bidi w:val="0"/>
              <w:spacing w:before="0" w:after="283"/>
              <w:jc w:val="left"/>
              <w:rPr>
                <w:sz w:val="20"/>
              </w:rPr>
            </w:pPr>
            <w:r>
              <w:rPr>
                <w:sz w:val="20"/>
              </w:rPr>
              <w:t>Deficit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(574,096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(548,902</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845" w:type="dxa"/>
            <w:tcBorders/>
            <w:shd w:fill="CCEEFF" w:val="clear"/>
            <w:vAlign w:val="center"/>
          </w:tcPr>
          <w:p>
            <w:pPr>
              <w:pStyle w:val="TableContents"/>
              <w:bidi w:val="0"/>
              <w:spacing w:before="0" w:after="283"/>
              <w:jc w:val="left"/>
              <w:rPr>
                <w:b/>
                <w:sz w:val="20"/>
              </w:rPr>
            </w:pPr>
            <w:r>
              <w:rPr>
                <w:b/>
                <w:sz w:val="20"/>
              </w:rPr>
              <w:t>TOTAL EQUITY</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1,810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10,918</w:t>
            </w:r>
          </w:p>
        </w:tc>
        <w:tc>
          <w:tcPr>
            <w:tcW w:w="95" w:type="dxa"/>
            <w:tcBorders/>
            <w:shd w:fill="CCEEFF" w:val="clear"/>
            <w:vAlign w:val="center"/>
          </w:tcPr>
          <w:p>
            <w:pPr>
              <w:pStyle w:val="TableContents"/>
              <w:bidi w:val="0"/>
              <w:spacing w:before="0" w:after="283"/>
              <w:jc w:val="left"/>
              <w:rPr/>
            </w:pPr>
            <w:r>
              <w:rPr/>
              <w:t> </w:t>
            </w:r>
          </w:p>
        </w:tc>
      </w:tr>
      <w:tr>
        <w:trPr/>
        <w:tc>
          <w:tcPr>
            <w:tcW w:w="7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45" w:type="dxa"/>
            <w:tcBorders/>
            <w:shd w:fill="CCEEFF" w:val="clear"/>
            <w:vAlign w:val="center"/>
          </w:tcPr>
          <w:p>
            <w:pPr>
              <w:pStyle w:val="TableContents"/>
              <w:bidi w:val="0"/>
              <w:spacing w:before="0" w:after="283"/>
              <w:jc w:val="left"/>
              <w:rPr>
                <w:b/>
                <w:sz w:val="20"/>
              </w:rPr>
            </w:pPr>
            <w:r>
              <w:rPr>
                <w:b/>
                <w:sz w:val="20"/>
              </w:rPr>
              <w:t>TOTAL LIABILITIES AND EQUITY</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65,455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68,896</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TMC the metals company Inc.</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Loss and Comprehensive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and per share amounts)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103" w:type="dxa"/>
        <w:jc w:val="left"/>
        <w:tblInd w:w="0" w:type="dxa"/>
        <w:tblLayout w:type="fixed"/>
        <w:tblCellMar>
          <w:top w:w="0" w:type="dxa"/>
          <w:left w:w="0" w:type="dxa"/>
          <w:bottom w:w="0" w:type="dxa"/>
          <w:right w:w="0" w:type="dxa"/>
        </w:tblCellMar>
      </w:tblPr>
      <w:tblGrid>
        <w:gridCol w:w="6350"/>
        <w:gridCol w:w="60"/>
        <w:gridCol w:w="183"/>
        <w:gridCol w:w="1546"/>
        <w:gridCol w:w="80"/>
        <w:gridCol w:w="60"/>
        <w:gridCol w:w="183"/>
        <w:gridCol w:w="1546"/>
        <w:gridCol w:w="95"/>
      </w:tblGrid>
      <w:tr>
        <w:trPr/>
        <w:tc>
          <w:tcPr>
            <w:tcW w:w="6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9" w:type="dxa"/>
            <w:gridSpan w:val="2"/>
            <w:tcBorders/>
            <w:vAlign w:val="center"/>
          </w:tcPr>
          <w:p>
            <w:pPr>
              <w:pStyle w:val="TableContents"/>
              <w:bidi w:val="0"/>
              <w:spacing w:before="0" w:after="283"/>
              <w:jc w:val="center"/>
              <w:rPr>
                <w:b/>
                <w:sz w:val="20"/>
              </w:rPr>
            </w:pPr>
            <w:r>
              <w:rPr>
                <w:b/>
                <w:sz w:val="20"/>
              </w:rPr>
              <w:t>Three months ended</w:t>
              <w:br/>
              <w:t>March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9" w:type="dxa"/>
            <w:gridSpan w:val="2"/>
            <w:tcBorders/>
            <w:vAlign w:val="center"/>
          </w:tcPr>
          <w:p>
            <w:pPr>
              <w:pStyle w:val="TableContents"/>
              <w:bidi w:val="0"/>
              <w:spacing w:before="0" w:after="283"/>
              <w:jc w:val="center"/>
              <w:rPr>
                <w:b/>
                <w:sz w:val="20"/>
              </w:rPr>
            </w:pPr>
            <w:r>
              <w:rPr>
                <w:b/>
                <w:sz w:val="20"/>
              </w:rPr>
              <w:t>Three months ended</w:t>
              <w:br/>
              <w:t>March 31,</w:t>
            </w:r>
          </w:p>
        </w:tc>
        <w:tc>
          <w:tcPr>
            <w:tcW w:w="95"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2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2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95" w:type="dxa"/>
            <w:tcBorders/>
            <w:vAlign w:val="center"/>
          </w:tcPr>
          <w:p>
            <w:pPr>
              <w:pStyle w:val="TableContents"/>
              <w:bidi w:val="0"/>
              <w:spacing w:before="0" w:after="283"/>
              <w:jc w:val="center"/>
              <w:rPr/>
            </w:pPr>
            <w:r>
              <w:rPr/>
              <w:t> </w:t>
            </w:r>
          </w:p>
        </w:tc>
      </w:tr>
      <w:tr>
        <w:trPr/>
        <w:tc>
          <w:tcPr>
            <w:tcW w:w="6350" w:type="dxa"/>
            <w:tcBorders/>
            <w:shd w:fill="CCEEFF" w:val="clear"/>
            <w:vAlign w:val="center"/>
          </w:tcPr>
          <w:p>
            <w:pPr>
              <w:pStyle w:val="TableContents"/>
              <w:bidi w:val="0"/>
              <w:spacing w:before="0" w:after="283"/>
              <w:jc w:val="left"/>
              <w:rPr>
                <w:b/>
                <w:sz w:val="20"/>
              </w:rPr>
            </w:pPr>
            <w:r>
              <w:rPr>
                <w:b/>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left"/>
              <w:rPr>
                <w:sz w:val="20"/>
              </w:rPr>
            </w:pPr>
            <w:r>
              <w:rPr>
                <w:sz w:val="20"/>
              </w:rPr>
              <w:t>Exploration and evaluation expenses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sz w:val="20"/>
              </w:rPr>
            </w:pPr>
            <w:r>
              <w:rPr>
                <w:sz w:val="20"/>
              </w:rPr>
              <w:t>$</w:t>
            </w:r>
          </w:p>
        </w:tc>
        <w:tc>
          <w:tcPr>
            <w:tcW w:w="1546" w:type="dxa"/>
            <w:tcBorders/>
            <w:shd w:fill="FFFFFF" w:val="clear"/>
            <w:vAlign w:val="center"/>
          </w:tcPr>
          <w:p>
            <w:pPr>
              <w:pStyle w:val="TableContents"/>
              <w:bidi w:val="0"/>
              <w:spacing w:before="0" w:after="283"/>
              <w:jc w:val="right"/>
              <w:rPr>
                <w:sz w:val="20"/>
              </w:rPr>
            </w:pPr>
            <w:r>
              <w:rPr>
                <w:sz w:val="20"/>
              </w:rPr>
              <w:t>18,123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sz w:val="20"/>
              </w:rPr>
            </w:pPr>
            <w:r>
              <w:rPr>
                <w:sz w:val="20"/>
              </w:rPr>
              <w:t>$</w:t>
            </w:r>
          </w:p>
        </w:tc>
        <w:tc>
          <w:tcPr>
            <w:tcW w:w="1546" w:type="dxa"/>
            <w:tcBorders/>
            <w:shd w:fill="FFFFFF" w:val="clear"/>
            <w:vAlign w:val="center"/>
          </w:tcPr>
          <w:p>
            <w:pPr>
              <w:pStyle w:val="TableContents"/>
              <w:bidi w:val="0"/>
              <w:spacing w:before="0" w:after="283"/>
              <w:jc w:val="right"/>
              <w:rPr>
                <w:sz w:val="20"/>
              </w:rPr>
            </w:pPr>
            <w:r>
              <w:rPr>
                <w:sz w:val="20"/>
              </w:rPr>
              <w:t>7,169</w:t>
            </w:r>
          </w:p>
        </w:tc>
        <w:tc>
          <w:tcPr>
            <w:tcW w:w="9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sz w:val="20"/>
              </w:rPr>
            </w:pPr>
            <w:r>
              <w:rPr>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6,559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6,214</w:t>
            </w:r>
          </w:p>
        </w:tc>
        <w:tc>
          <w:tcPr>
            <w:tcW w:w="9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left"/>
              <w:rPr>
                <w:b/>
                <w:sz w:val="20"/>
              </w:rPr>
            </w:pPr>
            <w:r>
              <w:rPr>
                <w:b/>
                <w:sz w:val="20"/>
              </w:rPr>
              <w:t>Operating loss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b/>
                <w:sz w:val="20"/>
              </w:rPr>
            </w:pPr>
            <w:r>
              <w:rPr>
                <w:b/>
                <w:sz w:val="20"/>
              </w:rPr>
              <w:t>24,682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b/>
                <w:sz w:val="20"/>
              </w:rPr>
            </w:pPr>
            <w:r>
              <w:rPr>
                <w:b/>
                <w:sz w:val="20"/>
              </w:rPr>
              <w:t>13,383</w:t>
            </w:r>
          </w:p>
        </w:tc>
        <w:tc>
          <w:tcPr>
            <w:tcW w:w="9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left"/>
              <w:rPr>
                <w:b/>
                <w:sz w:val="20"/>
              </w:rPr>
            </w:pPr>
            <w:r>
              <w:rPr>
                <w:b/>
                <w:sz w:val="20"/>
              </w:rPr>
              <w:t>Other items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sz w:val="20"/>
              </w:rPr>
            </w:pPr>
            <w:r>
              <w:rPr>
                <w:sz w:val="20"/>
              </w:rPr>
              <w:t>Equity-accounted investment loss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sz w:val="20"/>
              </w:rPr>
            </w:pPr>
            <w:r>
              <w:rPr>
                <w:sz w:val="20"/>
              </w:rPr>
              <w:t>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sz w:val="20"/>
              </w:rPr>
            </w:pPr>
            <w:r>
              <w:rPr>
                <w:sz w:val="20"/>
              </w:rPr>
              <w:t>219</w:t>
            </w:r>
          </w:p>
        </w:tc>
        <w:tc>
          <w:tcPr>
            <w:tcW w:w="9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left"/>
              <w:rPr>
                <w:sz w:val="20"/>
              </w:rPr>
            </w:pPr>
            <w:r>
              <w:rPr>
                <w:sz w:val="20"/>
              </w:rPr>
              <w:t>Change in fair value of private warrants liability</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sz w:val="20"/>
              </w:rPr>
            </w:pPr>
            <w:r>
              <w:rPr>
                <w:sz w:val="20"/>
              </w:rPr>
              <w:t>531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sz w:val="20"/>
              </w:rPr>
            </w:pPr>
            <w:r>
              <w:rPr>
                <w:sz w:val="20"/>
              </w:rPr>
              <w:t>544</w:t>
            </w:r>
          </w:p>
        </w:tc>
        <w:tc>
          <w:tcPr>
            <w:tcW w:w="9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sz w:val="20"/>
              </w:rPr>
            </w:pPr>
            <w:r>
              <w:rPr>
                <w:sz w:val="20"/>
              </w:rPr>
              <w:t>Foreign exchange (gain) loss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sz w:val="20"/>
              </w:rPr>
            </w:pPr>
            <w:r>
              <w:rPr>
                <w:sz w:val="20"/>
              </w:rPr>
              <w:t>(266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sz w:val="20"/>
              </w:rPr>
            </w:pPr>
            <w:r>
              <w:rPr>
                <w:sz w:val="20"/>
              </w:rPr>
              <w:t>29</w:t>
            </w:r>
          </w:p>
        </w:tc>
        <w:tc>
          <w:tcPr>
            <w:tcW w:w="9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left"/>
              <w:rPr>
                <w:sz w:val="20"/>
              </w:rPr>
            </w:pPr>
            <w:r>
              <w:rPr>
                <w:sz w:val="20"/>
              </w:rPr>
              <w:t>Interest income</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sz w:val="20"/>
              </w:rPr>
            </w:pPr>
            <w:r>
              <w:rPr>
                <w:sz w:val="20"/>
              </w:rPr>
              <w:t>(102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sz w:val="20"/>
              </w:rPr>
            </w:pPr>
            <w:r>
              <w:rPr>
                <w:sz w:val="20"/>
              </w:rPr>
              <w:t>(454</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6350" w:type="dxa"/>
            <w:tcBorders/>
            <w:shd w:fill="CCEEFF" w:val="clear"/>
            <w:vAlign w:val="center"/>
          </w:tcPr>
          <w:p>
            <w:pPr>
              <w:pStyle w:val="TableContents"/>
              <w:bidi w:val="0"/>
              <w:spacing w:before="0" w:after="283"/>
              <w:jc w:val="left"/>
              <w:rPr>
                <w:sz w:val="20"/>
              </w:rPr>
            </w:pPr>
            <w:r>
              <w:rPr>
                <w:sz w:val="20"/>
              </w:rPr>
              <w:t>Fees and interest on credit facility</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27</w:t>
            </w:r>
          </w:p>
        </w:tc>
        <w:tc>
          <w:tcPr>
            <w:tcW w:w="9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left"/>
              <w:rPr>
                <w:sz w:val="20"/>
              </w:rPr>
            </w:pPr>
            <w:r>
              <w:rPr>
                <w:sz w:val="20"/>
              </w:rPr>
              <w:t>Loss and comprehensive loss for the period</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546"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25,194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546"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13,748</w:t>
            </w:r>
          </w:p>
        </w:tc>
        <w:tc>
          <w:tcPr>
            <w:tcW w:w="9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left"/>
              <w:rPr>
                <w:sz w:val="20"/>
              </w:rPr>
            </w:pPr>
            <w:r>
              <w:rPr>
                <w:sz w:val="20"/>
              </w:rPr>
              <w:t>Loss per share</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sz w:val="20"/>
              </w:rPr>
            </w:pPr>
            <w:r>
              <w:rPr>
                <w:sz w:val="20"/>
              </w:rPr>
              <w:t>- basic and diluted</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546"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0.08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546"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0.05</w:t>
            </w:r>
          </w:p>
        </w:tc>
        <w:tc>
          <w:tcPr>
            <w:tcW w:w="9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sz w:val="20"/>
              </w:rPr>
            </w:pPr>
            <w:r>
              <w:rPr>
                <w:sz w:val="20"/>
              </w:rPr>
              <w:t>Weighted average number of Common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6"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311,521,854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6"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272,029,603</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Equity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amounts)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80"/>
        <w:gridCol w:w="60"/>
        <w:gridCol w:w="920"/>
        <w:gridCol w:w="60"/>
        <w:gridCol w:w="60"/>
        <w:gridCol w:w="110"/>
        <w:gridCol w:w="605"/>
        <w:gridCol w:w="60"/>
        <w:gridCol w:w="60"/>
        <w:gridCol w:w="120"/>
        <w:gridCol w:w="665"/>
        <w:gridCol w:w="80"/>
        <w:gridCol w:w="60"/>
        <w:gridCol w:w="208"/>
        <w:gridCol w:w="922"/>
        <w:gridCol w:w="80"/>
        <w:gridCol w:w="60"/>
        <w:gridCol w:w="110"/>
        <w:gridCol w:w="665"/>
        <w:gridCol w:w="80"/>
        <w:gridCol w:w="60"/>
        <w:gridCol w:w="110"/>
        <w:gridCol w:w="575"/>
        <w:gridCol w:w="95"/>
      </w:tblGrid>
      <w:tr>
        <w:trPr/>
        <w:tc>
          <w:tcPr>
            <w:tcW w:w="4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55" w:type="dxa"/>
            <w:gridSpan w:val="5"/>
            <w:tcBorders>
              <w:bottom w:val="single" w:sz="8" w:space="0" w:color="000000"/>
            </w:tcBorders>
            <w:tcMar>
              <w:bottom w:w="28" w:type="dxa"/>
            </w:tcMar>
            <w:vAlign w:val="center"/>
          </w:tcPr>
          <w:p>
            <w:pPr>
              <w:pStyle w:val="TableContents"/>
              <w:bidi w:val="0"/>
              <w:spacing w:before="0" w:after="283"/>
              <w:jc w:val="center"/>
              <w:rPr>
                <w:b/>
                <w:sz w:val="16"/>
              </w:rPr>
            </w:pPr>
            <w:r>
              <w:rPr>
                <w:b/>
                <w:sz w:val="16"/>
              </w:rPr>
              <w:t>Common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5" w:type="dxa"/>
            <w:gridSpan w:val="2"/>
            <w:tcBorders/>
            <w:vAlign w:val="center"/>
          </w:tcPr>
          <w:p>
            <w:pPr>
              <w:pStyle w:val="TableContents"/>
              <w:bidi w:val="0"/>
              <w:spacing w:before="0" w:after="283"/>
              <w:jc w:val="center"/>
              <w:rPr>
                <w:b/>
                <w:sz w:val="16"/>
              </w:rPr>
            </w:pPr>
            <w:r>
              <w:rPr>
                <w:b/>
                <w:sz w:val="16"/>
              </w:rPr>
              <w:t>Additional</w:t>
              <w:br/>
              <w:t>Paid in</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sz w:val="16"/>
              </w:rPr>
            </w:pPr>
            <w:r>
              <w:rPr>
                <w:b/>
                <w:sz w:val="16"/>
              </w:rPr>
              <w:t>Accumulated</w:t>
              <w:br/>
              <w:t>Other</w:t>
              <w:br/>
              <w:t>Comprehensive</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8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r>
      <w:tr>
        <w:trPr/>
        <w:tc>
          <w:tcPr>
            <w:tcW w:w="4380" w:type="dxa"/>
            <w:tcBorders>
              <w:bottom w:val="single" w:sz="8" w:space="0" w:color="000000"/>
            </w:tcBorders>
            <w:tcMar>
              <w:bottom w:w="28" w:type="dxa"/>
            </w:tcMar>
            <w:vAlign w:val="center"/>
          </w:tcPr>
          <w:p>
            <w:pPr>
              <w:pStyle w:val="TableContents"/>
              <w:bidi w:val="0"/>
              <w:spacing w:before="0" w:after="283"/>
              <w:jc w:val="left"/>
              <w:rPr>
                <w:b/>
                <w:sz w:val="16"/>
              </w:rPr>
            </w:pPr>
            <w:r>
              <w:rPr>
                <w:b/>
                <w:sz w:val="16"/>
              </w:rPr>
              <w:t>Three months ended March 31, 2024</w:t>
            </w:r>
          </w:p>
        </w:tc>
        <w:tc>
          <w:tcPr>
            <w:tcW w:w="60" w:type="dxa"/>
            <w:tcBorders/>
            <w:vAlign w:val="center"/>
          </w:tcPr>
          <w:p>
            <w:pPr>
              <w:pStyle w:val="TableContents"/>
              <w:bidi w:val="0"/>
              <w:spacing w:before="0" w:after="283"/>
              <w:jc w:val="center"/>
              <w:rPr/>
            </w:pPr>
            <w:r>
              <w:rPr/>
              <w:t> </w:t>
            </w:r>
          </w:p>
        </w:tc>
        <w:tc>
          <w:tcPr>
            <w:tcW w:w="920"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Capital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Loss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Deficit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Total</w:t>
            </w:r>
          </w:p>
        </w:tc>
        <w:tc>
          <w:tcPr>
            <w:tcW w:w="95" w:type="dxa"/>
            <w:tcBorders/>
            <w:vAlign w:val="center"/>
          </w:tcPr>
          <w:p>
            <w:pPr>
              <w:pStyle w:val="TableContents"/>
              <w:bidi w:val="0"/>
              <w:spacing w:before="0" w:after="283"/>
              <w:jc w:val="center"/>
              <w:rPr/>
            </w:pPr>
            <w:r>
              <w:rPr/>
              <w:t> </w:t>
            </w:r>
          </w:p>
        </w:tc>
      </w:tr>
      <w:tr>
        <w:trPr/>
        <w:tc>
          <w:tcPr>
            <w:tcW w:w="4380" w:type="dxa"/>
            <w:tcBorders/>
            <w:shd w:fill="CCEEFF" w:val="clear"/>
            <w:vAlign w:val="center"/>
          </w:tcPr>
          <w:p>
            <w:pPr>
              <w:pStyle w:val="TableContents"/>
              <w:bidi w:val="0"/>
              <w:spacing w:before="0" w:after="283"/>
              <w:jc w:val="left"/>
              <w:rPr>
                <w:b/>
                <w:sz w:val="16"/>
              </w:rPr>
            </w:pPr>
            <w:r>
              <w:rPr>
                <w:b/>
                <w:sz w:val="16"/>
              </w:rPr>
              <w:t>January 1, 2024</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b/>
                <w:sz w:val="16"/>
              </w:rPr>
            </w:pPr>
            <w:r>
              <w:rPr>
                <w:b/>
                <w:sz w:val="16"/>
              </w:rPr>
              <w:t>306,558,710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605" w:type="dxa"/>
            <w:tcBorders/>
            <w:shd w:fill="CCEEFF" w:val="clear"/>
            <w:vAlign w:val="center"/>
          </w:tcPr>
          <w:p>
            <w:pPr>
              <w:pStyle w:val="TableContents"/>
              <w:bidi w:val="0"/>
              <w:spacing w:before="0" w:after="283"/>
              <w:jc w:val="right"/>
              <w:rPr>
                <w:b/>
                <w:sz w:val="16"/>
              </w:rPr>
            </w:pPr>
            <w:r>
              <w:rPr>
                <w:b/>
                <w:sz w:val="16"/>
              </w:rPr>
              <w:t>438,239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b/>
                <w:sz w:val="16"/>
              </w:rPr>
            </w:pPr>
            <w:r>
              <w:rPr>
                <w:b/>
                <w:sz w:val="16"/>
              </w:rPr>
              <w:t>$</w:t>
            </w:r>
          </w:p>
        </w:tc>
        <w:tc>
          <w:tcPr>
            <w:tcW w:w="665" w:type="dxa"/>
            <w:tcBorders/>
            <w:shd w:fill="CCEEFF" w:val="clear"/>
            <w:vAlign w:val="center"/>
          </w:tcPr>
          <w:p>
            <w:pPr>
              <w:pStyle w:val="TableContents"/>
              <w:bidi w:val="0"/>
              <w:spacing w:before="0" w:after="283"/>
              <w:jc w:val="right"/>
              <w:rPr>
                <w:b/>
                <w:sz w:val="16"/>
              </w:rPr>
            </w:pPr>
            <w:r>
              <w:rPr>
                <w:b/>
                <w:sz w:val="16"/>
              </w:rPr>
              <w:t>122,797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b/>
                <w:sz w:val="16"/>
              </w:rPr>
            </w:pPr>
            <w:r>
              <w:rPr>
                <w:b/>
                <w:sz w:val="16"/>
              </w:rPr>
              <w:t>$</w:t>
            </w:r>
          </w:p>
        </w:tc>
        <w:tc>
          <w:tcPr>
            <w:tcW w:w="922" w:type="dxa"/>
            <w:tcBorders/>
            <w:shd w:fill="CCEEFF" w:val="clear"/>
            <w:vAlign w:val="center"/>
          </w:tcPr>
          <w:p>
            <w:pPr>
              <w:pStyle w:val="TableContents"/>
              <w:bidi w:val="0"/>
              <w:spacing w:before="0" w:after="283"/>
              <w:jc w:val="right"/>
              <w:rPr>
                <w:b/>
                <w:sz w:val="16"/>
              </w:rPr>
            </w:pPr>
            <w:r>
              <w:rPr>
                <w:b/>
                <w:sz w:val="16"/>
              </w:rPr>
              <w:t>(1,216</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665" w:type="dxa"/>
            <w:tcBorders/>
            <w:shd w:fill="CCEEFF" w:val="clear"/>
            <w:vAlign w:val="center"/>
          </w:tcPr>
          <w:p>
            <w:pPr>
              <w:pStyle w:val="TableContents"/>
              <w:bidi w:val="0"/>
              <w:spacing w:before="0" w:after="283"/>
              <w:jc w:val="right"/>
              <w:rPr>
                <w:b/>
                <w:sz w:val="16"/>
              </w:rPr>
            </w:pPr>
            <w:r>
              <w:rPr>
                <w:b/>
                <w:sz w:val="16"/>
              </w:rPr>
              <w:t>(548,902</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575" w:type="dxa"/>
            <w:tcBorders/>
            <w:shd w:fill="CCEEFF" w:val="clear"/>
            <w:vAlign w:val="center"/>
          </w:tcPr>
          <w:p>
            <w:pPr>
              <w:pStyle w:val="TableContents"/>
              <w:bidi w:val="0"/>
              <w:spacing w:before="0" w:after="283"/>
              <w:jc w:val="right"/>
              <w:rPr>
                <w:b/>
                <w:sz w:val="16"/>
              </w:rPr>
            </w:pPr>
            <w:r>
              <w:rPr>
                <w:b/>
                <w:sz w:val="16"/>
              </w:rPr>
              <w:t>10,918</w:t>
            </w:r>
          </w:p>
        </w:tc>
        <w:tc>
          <w:tcPr>
            <w:tcW w:w="95" w:type="dxa"/>
            <w:tcBorders/>
            <w:shd w:fill="CCEEFF" w:val="clear"/>
            <w:vAlign w:val="center"/>
          </w:tcPr>
          <w:p>
            <w:pPr>
              <w:pStyle w:val="TableContents"/>
              <w:bidi w:val="0"/>
              <w:spacing w:before="0" w:after="283"/>
              <w:jc w:val="left"/>
              <w:rPr/>
            </w:pPr>
            <w:r>
              <w:rPr/>
              <w:t> </w:t>
            </w:r>
          </w:p>
        </w:tc>
      </w:tr>
      <w:tr>
        <w:trPr/>
        <w:tc>
          <w:tcPr>
            <w:tcW w:w="4380" w:type="dxa"/>
            <w:tcBorders/>
            <w:shd w:fill="FFFFFF" w:val="clear"/>
            <w:vAlign w:val="center"/>
          </w:tcPr>
          <w:p>
            <w:pPr>
              <w:pStyle w:val="TableContents"/>
              <w:bidi w:val="0"/>
              <w:spacing w:before="0" w:after="283"/>
              <w:jc w:val="left"/>
              <w:rPr>
                <w:sz w:val="16"/>
              </w:rPr>
            </w:pPr>
            <w:r>
              <w:rPr>
                <w:sz w:val="16"/>
              </w:rPr>
              <w:t>Issuance of shares and warrants under Registered Direct Offering, net of expenses</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b/>
                <w:sz w:val="16"/>
              </w:rPr>
            </w:pPr>
            <w:r>
              <w:rPr>
                <w:b/>
                <w:sz w:val="16"/>
              </w:rPr>
              <w:t>4,500,000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b/>
                <w:sz w:val="16"/>
              </w:rPr>
            </w:pPr>
            <w:r>
              <w:rPr>
                <w:b/>
                <w:sz w:val="16"/>
              </w:rPr>
              <w:t>7,447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b/>
                <w:sz w:val="16"/>
              </w:rPr>
            </w:pPr>
            <w:r>
              <w:rPr>
                <w:b/>
                <w:sz w:val="16"/>
              </w:rPr>
              <w:t>1,553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b/>
                <w:sz w:val="16"/>
              </w:rPr>
            </w:pPr>
            <w:r>
              <w:rPr>
                <w:b/>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b/>
                <w:sz w:val="16"/>
              </w:rPr>
            </w:pPr>
            <w:r>
              <w:rPr>
                <w:b/>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b/>
                <w:sz w:val="16"/>
              </w:rPr>
            </w:pPr>
            <w:r>
              <w:rPr>
                <w:b/>
                <w:sz w:val="16"/>
              </w:rPr>
              <w:t>9,000</w:t>
            </w:r>
          </w:p>
        </w:tc>
        <w:tc>
          <w:tcPr>
            <w:tcW w:w="95" w:type="dxa"/>
            <w:tcBorders/>
            <w:shd w:fill="FFFFFF" w:val="clear"/>
            <w:vAlign w:val="center"/>
          </w:tcPr>
          <w:p>
            <w:pPr>
              <w:pStyle w:val="TableContents"/>
              <w:bidi w:val="0"/>
              <w:spacing w:before="0" w:after="283"/>
              <w:jc w:val="left"/>
              <w:rPr/>
            </w:pPr>
            <w:r>
              <w:rPr/>
              <w:t> </w:t>
            </w:r>
          </w:p>
        </w:tc>
      </w:tr>
      <w:tr>
        <w:trPr/>
        <w:tc>
          <w:tcPr>
            <w:tcW w:w="4380" w:type="dxa"/>
            <w:tcBorders/>
            <w:shd w:fill="CCEEFF" w:val="clear"/>
            <w:vAlign w:val="center"/>
          </w:tcPr>
          <w:p>
            <w:pPr>
              <w:pStyle w:val="TableContents"/>
              <w:bidi w:val="0"/>
              <w:spacing w:before="0" w:after="283"/>
              <w:jc w:val="left"/>
              <w:rPr>
                <w:sz w:val="16"/>
              </w:rPr>
            </w:pPr>
            <w:r>
              <w:rPr>
                <w:sz w:val="16"/>
              </w:rPr>
              <w:t>Exercise of stock options</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b/>
                <w:sz w:val="16"/>
              </w:rPr>
            </w:pPr>
            <w:r>
              <w:rPr>
                <w:b/>
                <w:sz w:val="16"/>
              </w:rPr>
              <w:t>120,000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b/>
                <w:sz w:val="16"/>
              </w:rPr>
            </w:pPr>
            <w:r>
              <w:rPr>
                <w:b/>
                <w:sz w:val="16"/>
              </w:rPr>
              <w:t>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b/>
                <w:sz w:val="16"/>
              </w:rPr>
            </w:pPr>
            <w:r>
              <w:rPr>
                <w:b/>
                <w:sz w:val="16"/>
              </w:rPr>
              <w:t>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b/>
                <w:sz w:val="16"/>
              </w:rPr>
            </w:pPr>
            <w:r>
              <w:rPr>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b/>
                <w:sz w:val="16"/>
              </w:rPr>
            </w:pPr>
            <w:r>
              <w:rPr>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b/>
                <w:sz w:val="16"/>
              </w:rPr>
            </w:pPr>
            <w:r>
              <w:rPr>
                <w:b/>
                <w:sz w:val="16"/>
              </w:rPr>
              <w:t>190</w:t>
            </w:r>
          </w:p>
        </w:tc>
        <w:tc>
          <w:tcPr>
            <w:tcW w:w="95" w:type="dxa"/>
            <w:tcBorders/>
            <w:shd w:fill="CCEEFF" w:val="clear"/>
            <w:vAlign w:val="center"/>
          </w:tcPr>
          <w:p>
            <w:pPr>
              <w:pStyle w:val="TableContents"/>
              <w:bidi w:val="0"/>
              <w:spacing w:before="0" w:after="283"/>
              <w:jc w:val="left"/>
              <w:rPr/>
            </w:pPr>
            <w:r>
              <w:rPr/>
              <w:t> </w:t>
            </w:r>
          </w:p>
        </w:tc>
      </w:tr>
      <w:tr>
        <w:trPr/>
        <w:tc>
          <w:tcPr>
            <w:tcW w:w="4380" w:type="dxa"/>
            <w:tcBorders/>
            <w:shd w:fill="FFFFFF" w:val="clear"/>
            <w:vAlign w:val="center"/>
          </w:tcPr>
          <w:p>
            <w:pPr>
              <w:pStyle w:val="TableContents"/>
              <w:bidi w:val="0"/>
              <w:spacing w:before="0" w:after="283"/>
              <w:jc w:val="left"/>
              <w:rPr>
                <w:sz w:val="16"/>
              </w:rPr>
            </w:pPr>
            <w:r>
              <w:rPr>
                <w:sz w:val="16"/>
              </w:rPr>
              <w:t>Conversion of restricted share units, net of shares withheld for taxes</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b/>
                <w:sz w:val="16"/>
              </w:rPr>
            </w:pPr>
            <w:r>
              <w:rPr>
                <w:b/>
                <w:sz w:val="16"/>
              </w:rPr>
              <w:t>7,112,673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b/>
                <w:sz w:val="16"/>
              </w:rPr>
            </w:pPr>
            <w:r>
              <w:rPr>
                <w:b/>
                <w:sz w:val="16"/>
              </w:rPr>
              <w:t>8,601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b/>
                <w:sz w:val="16"/>
              </w:rPr>
            </w:pPr>
            <w:r>
              <w:rPr>
                <w:b/>
                <w:sz w:val="16"/>
              </w:rPr>
              <w:t>(8,601</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b/>
                <w:sz w:val="16"/>
              </w:rPr>
            </w:pPr>
            <w:r>
              <w:rPr>
                <w:b/>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b/>
                <w:sz w:val="16"/>
              </w:rPr>
            </w:pPr>
            <w:r>
              <w:rPr>
                <w:b/>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b/>
                <w:sz w:val="16"/>
              </w:rPr>
            </w:pPr>
            <w:r>
              <w:rPr>
                <w:b/>
                <w:sz w:val="16"/>
              </w:rPr>
              <w:t>-</w:t>
            </w:r>
          </w:p>
        </w:tc>
        <w:tc>
          <w:tcPr>
            <w:tcW w:w="95" w:type="dxa"/>
            <w:tcBorders/>
            <w:shd w:fill="FFFFFF" w:val="clear"/>
            <w:vAlign w:val="center"/>
          </w:tcPr>
          <w:p>
            <w:pPr>
              <w:pStyle w:val="TableContents"/>
              <w:bidi w:val="0"/>
              <w:spacing w:before="0" w:after="283"/>
              <w:jc w:val="left"/>
              <w:rPr/>
            </w:pPr>
            <w:r>
              <w:rPr/>
              <w:t> </w:t>
            </w:r>
          </w:p>
        </w:tc>
      </w:tr>
      <w:tr>
        <w:trPr/>
        <w:tc>
          <w:tcPr>
            <w:tcW w:w="4380" w:type="dxa"/>
            <w:tcBorders/>
            <w:shd w:fill="CCEEFF" w:val="clear"/>
            <w:vAlign w:val="center"/>
          </w:tcPr>
          <w:p>
            <w:pPr>
              <w:pStyle w:val="TableContents"/>
              <w:bidi w:val="0"/>
              <w:spacing w:before="0" w:after="283"/>
              <w:jc w:val="left"/>
              <w:rPr>
                <w:sz w:val="16"/>
              </w:rPr>
            </w:pPr>
            <w:r>
              <w:rPr>
                <w:sz w:val="16"/>
              </w:rPr>
              <w:t>Share-based compensation and expenses settled with equity</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b/>
                <w:sz w:val="16"/>
              </w:rPr>
            </w:pPr>
            <w:r>
              <w:rPr>
                <w:b/>
                <w:sz w:val="16"/>
              </w:rPr>
              <w:t>6,896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b/>
                <w:sz w:val="16"/>
              </w:rPr>
            </w:pPr>
            <w:r>
              <w:rPr>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b/>
                <w:sz w:val="16"/>
              </w:rPr>
            </w:pPr>
            <w:r>
              <w:rPr>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b/>
                <w:sz w:val="16"/>
              </w:rPr>
            </w:pPr>
            <w:r>
              <w:rPr>
                <w:b/>
                <w:sz w:val="16"/>
              </w:rPr>
              <w:t>6,896</w:t>
            </w:r>
          </w:p>
        </w:tc>
        <w:tc>
          <w:tcPr>
            <w:tcW w:w="95" w:type="dxa"/>
            <w:tcBorders/>
            <w:shd w:fill="CCEEFF" w:val="clear"/>
            <w:vAlign w:val="center"/>
          </w:tcPr>
          <w:p>
            <w:pPr>
              <w:pStyle w:val="TableContents"/>
              <w:bidi w:val="0"/>
              <w:spacing w:before="0" w:after="283"/>
              <w:jc w:val="left"/>
              <w:rPr/>
            </w:pPr>
            <w:r>
              <w:rPr/>
              <w:t> </w:t>
            </w:r>
          </w:p>
        </w:tc>
      </w:tr>
      <w:tr>
        <w:trPr/>
        <w:tc>
          <w:tcPr>
            <w:tcW w:w="4380" w:type="dxa"/>
            <w:tcBorders/>
            <w:shd w:fill="FFFFFF" w:val="clear"/>
            <w:vAlign w:val="center"/>
          </w:tcPr>
          <w:p>
            <w:pPr>
              <w:pStyle w:val="TableContents"/>
              <w:bidi w:val="0"/>
              <w:spacing w:before="0" w:after="283"/>
              <w:jc w:val="left"/>
              <w:rPr>
                <w:sz w:val="16"/>
              </w:rPr>
            </w:pPr>
            <w:r>
              <w:rPr>
                <w:sz w:val="16"/>
              </w:rPr>
              <w:t>Loss for the period</w:t>
            </w:r>
          </w:p>
        </w:tc>
        <w:tc>
          <w:tcPr>
            <w:tcW w:w="60" w:type="dxa"/>
            <w:tcBorders/>
            <w:shd w:fill="FFFFFF" w:val="clear"/>
            <w:vAlign w:val="center"/>
          </w:tcPr>
          <w:p>
            <w:pPr>
              <w:pStyle w:val="TableContents"/>
              <w:bidi w:val="0"/>
              <w:spacing w:before="0" w:after="283"/>
              <w:jc w:val="left"/>
              <w:rPr/>
            </w:pPr>
            <w:r>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b/>
                <w:sz w:val="16"/>
              </w:rPr>
            </w:pPr>
            <w:r>
              <w:rPr>
                <w:b/>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single" w:sz="8" w:space="0" w:color="000000"/>
            </w:tcBorders>
            <w:shd w:fill="FFFFFF" w:val="clear"/>
            <w:tcMar>
              <w:bottom w:w="28" w:type="dxa"/>
            </w:tcMar>
            <w:vAlign w:val="center"/>
          </w:tcPr>
          <w:p>
            <w:pPr>
              <w:pStyle w:val="TableContents"/>
              <w:bidi w:val="0"/>
              <w:spacing w:before="0" w:after="283"/>
              <w:jc w:val="right"/>
              <w:rPr>
                <w:b/>
                <w:sz w:val="16"/>
              </w:rPr>
            </w:pPr>
            <w:r>
              <w:rPr>
                <w:b/>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b/>
                <w:sz w:val="16"/>
              </w:rPr>
            </w:pPr>
            <w:r>
              <w:rPr>
                <w:b/>
                <w:sz w:val="16"/>
              </w:rPr>
              <w:t>(25,194</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b/>
                <w:sz w:val="16"/>
              </w:rPr>
            </w:pPr>
            <w:r>
              <w:rPr>
                <w:b/>
                <w:sz w:val="16"/>
              </w:rPr>
              <w:t>(25,194</w:t>
            </w:r>
          </w:p>
        </w:tc>
        <w:tc>
          <w:tcPr>
            <w:tcW w:w="95" w:type="dxa"/>
            <w:tcBorders/>
            <w:shd w:fill="FFFFFF" w:val="clear"/>
            <w:vAlign w:val="center"/>
          </w:tcPr>
          <w:p>
            <w:pPr>
              <w:pStyle w:val="TableContents"/>
              <w:bidi w:val="0"/>
              <w:spacing w:before="0" w:after="283"/>
              <w:jc w:val="left"/>
              <w:rPr>
                <w:b/>
                <w:sz w:val="16"/>
              </w:rPr>
            </w:pPr>
            <w:r>
              <w:rPr>
                <w:b/>
                <w:sz w:val="16"/>
              </w:rPr>
              <w:t>)</w:t>
            </w:r>
          </w:p>
        </w:tc>
      </w:tr>
      <w:tr>
        <w:trPr/>
        <w:tc>
          <w:tcPr>
            <w:tcW w:w="4380" w:type="dxa"/>
            <w:tcBorders/>
            <w:shd w:fill="CCEEFF" w:val="clear"/>
            <w:vAlign w:val="center"/>
          </w:tcPr>
          <w:p>
            <w:pPr>
              <w:pStyle w:val="TableContents"/>
              <w:bidi w:val="0"/>
              <w:spacing w:before="0" w:after="283"/>
              <w:jc w:val="left"/>
              <w:rPr>
                <w:b/>
                <w:sz w:val="16"/>
              </w:rPr>
            </w:pPr>
            <w:r>
              <w:rPr>
                <w:b/>
                <w:sz w:val="16"/>
              </w:rPr>
              <w:t>March 31, 2024</w:t>
            </w:r>
          </w:p>
        </w:tc>
        <w:tc>
          <w:tcPr>
            <w:tcW w:w="60" w:type="dxa"/>
            <w:tcBorders/>
            <w:shd w:fill="CCEEFF" w:val="clear"/>
            <w:vAlign w:val="center"/>
          </w:tcPr>
          <w:p>
            <w:pPr>
              <w:pStyle w:val="TableContents"/>
              <w:bidi w:val="0"/>
              <w:spacing w:before="0" w:after="283"/>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318,291,383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454,431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122,691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922"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(1,216</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(574,096</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right"/>
              <w:rPr>
                <w:b/>
                <w:sz w:val="16"/>
              </w:rPr>
            </w:pPr>
            <w:r>
              <w:rPr>
                <w:b/>
                <w:sz w:val="16"/>
              </w:rPr>
              <w:t>1,810</w:t>
            </w:r>
          </w:p>
        </w:tc>
        <w:tc>
          <w:tcPr>
            <w:tcW w:w="95" w:type="dxa"/>
            <w:tcBorders/>
            <w:shd w:fill="CCEEFF" w:val="clear"/>
            <w:vAlign w:val="center"/>
          </w:tcPr>
          <w:p>
            <w:pPr>
              <w:pStyle w:val="TableContents"/>
              <w:bidi w:val="0"/>
              <w:spacing w:before="0" w:after="283"/>
              <w:jc w:val="left"/>
              <w:rPr/>
            </w:pPr>
            <w:r>
              <w:rPr/>
              <w:t> </w:t>
            </w:r>
          </w:p>
        </w:tc>
      </w:tr>
      <w:tr>
        <w:trPr/>
        <w:tc>
          <w:tcPr>
            <w:tcW w:w="4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5" w:type="dxa"/>
            <w:gridSpan w:val="5"/>
            <w:tcBorders>
              <w:bottom w:val="single" w:sz="8" w:space="0" w:color="000000"/>
            </w:tcBorders>
            <w:tcMar>
              <w:bottom w:w="28" w:type="dxa"/>
            </w:tcMar>
            <w:vAlign w:val="center"/>
          </w:tcPr>
          <w:p>
            <w:pPr>
              <w:pStyle w:val="TableContents"/>
              <w:bidi w:val="0"/>
              <w:spacing w:before="0" w:after="283"/>
              <w:jc w:val="center"/>
              <w:rPr>
                <w:b/>
                <w:sz w:val="16"/>
              </w:rPr>
            </w:pPr>
            <w:r>
              <w:rPr>
                <w:b/>
                <w:sz w:val="16"/>
              </w:rPr>
              <w:t>Common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b/>
                <w:sz w:val="16"/>
              </w:rPr>
            </w:pPr>
            <w:r>
              <w:rPr>
                <w:b/>
                <w:sz w:val="16"/>
              </w:rPr>
              <w:t>Additional</w:t>
              <w:br/>
              <w:t>Paid 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sz w:val="16"/>
              </w:rPr>
            </w:pPr>
            <w:r>
              <w:rPr>
                <w:b/>
                <w:sz w:val="16"/>
              </w:rPr>
              <w:t>Accumulated</w:t>
              <w:br/>
              <w:t>Other</w:t>
              <w:b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4380" w:type="dxa"/>
            <w:tcBorders>
              <w:bottom w:val="single" w:sz="8" w:space="0" w:color="000000"/>
            </w:tcBorders>
            <w:tcMar>
              <w:bottom w:w="28" w:type="dxa"/>
            </w:tcMar>
            <w:vAlign w:val="center"/>
          </w:tcPr>
          <w:p>
            <w:pPr>
              <w:pStyle w:val="TableContents"/>
              <w:bidi w:val="0"/>
              <w:spacing w:before="0" w:after="283"/>
              <w:jc w:val="left"/>
              <w:rPr>
                <w:b/>
                <w:sz w:val="16"/>
              </w:rPr>
            </w:pPr>
            <w:r>
              <w:rPr>
                <w:b/>
                <w:sz w:val="16"/>
              </w:rPr>
              <w:t>Three months ended March 31, 2023</w:t>
            </w:r>
          </w:p>
        </w:tc>
        <w:tc>
          <w:tcPr>
            <w:tcW w:w="60" w:type="dxa"/>
            <w:tcBorders/>
            <w:vAlign w:val="center"/>
          </w:tcPr>
          <w:p>
            <w:pPr>
              <w:pStyle w:val="TableContents"/>
              <w:bidi w:val="0"/>
              <w:spacing w:before="0" w:after="283"/>
              <w:jc w:val="center"/>
              <w:rPr/>
            </w:pPr>
            <w:r>
              <w:rPr/>
              <w:t> </w:t>
            </w:r>
          </w:p>
        </w:tc>
        <w:tc>
          <w:tcPr>
            <w:tcW w:w="920"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Capital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Loss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Deficit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Total</w:t>
            </w:r>
          </w:p>
        </w:tc>
        <w:tc>
          <w:tcPr>
            <w:tcW w:w="95" w:type="dxa"/>
            <w:tcBorders/>
            <w:vAlign w:val="center"/>
          </w:tcPr>
          <w:p>
            <w:pPr>
              <w:pStyle w:val="TableContents"/>
              <w:bidi w:val="0"/>
              <w:spacing w:before="0" w:after="283"/>
              <w:jc w:val="center"/>
              <w:rPr/>
            </w:pPr>
            <w:r>
              <w:rPr/>
              <w:t> </w:t>
            </w:r>
          </w:p>
        </w:tc>
      </w:tr>
      <w:tr>
        <w:trPr/>
        <w:tc>
          <w:tcPr>
            <w:tcW w:w="4380" w:type="dxa"/>
            <w:tcBorders/>
            <w:shd w:fill="CCEEFF" w:val="clear"/>
            <w:vAlign w:val="center"/>
          </w:tcPr>
          <w:p>
            <w:pPr>
              <w:pStyle w:val="TableContents"/>
              <w:bidi w:val="0"/>
              <w:spacing w:before="0" w:after="283"/>
              <w:jc w:val="left"/>
              <w:rPr>
                <w:b/>
                <w:sz w:val="16"/>
              </w:rPr>
            </w:pPr>
            <w:r>
              <w:rPr>
                <w:b/>
                <w:sz w:val="16"/>
              </w:rPr>
              <w:t>January 1, 2023</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16"/>
              </w:rPr>
            </w:pPr>
            <w:r>
              <w:rPr>
                <w:sz w:val="16"/>
              </w:rPr>
              <w:t>266,812,131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05" w:type="dxa"/>
            <w:tcBorders/>
            <w:shd w:fill="CCEEFF" w:val="clear"/>
            <w:vAlign w:val="center"/>
          </w:tcPr>
          <w:p>
            <w:pPr>
              <w:pStyle w:val="TableContents"/>
              <w:bidi w:val="0"/>
              <w:spacing w:before="0" w:after="283"/>
              <w:jc w:val="right"/>
              <w:rPr>
                <w:sz w:val="16"/>
              </w:rPr>
            </w:pPr>
            <w:r>
              <w:rPr>
                <w:sz w:val="16"/>
              </w:rPr>
              <w:t>332,882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16"/>
              </w:rPr>
            </w:pPr>
            <w:r>
              <w:rPr>
                <w:sz w:val="16"/>
              </w:rPr>
              <w:t>$</w:t>
            </w:r>
          </w:p>
        </w:tc>
        <w:tc>
          <w:tcPr>
            <w:tcW w:w="665" w:type="dxa"/>
            <w:tcBorders/>
            <w:shd w:fill="CCEEFF" w:val="clear"/>
            <w:vAlign w:val="center"/>
          </w:tcPr>
          <w:p>
            <w:pPr>
              <w:pStyle w:val="TableContents"/>
              <w:bidi w:val="0"/>
              <w:spacing w:before="0" w:after="283"/>
              <w:jc w:val="right"/>
              <w:rPr>
                <w:sz w:val="16"/>
              </w:rPr>
            </w:pPr>
            <w:r>
              <w:rPr>
                <w:sz w:val="16"/>
              </w:rPr>
              <w:t>184,960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sz w:val="16"/>
              </w:rPr>
            </w:pPr>
            <w:r>
              <w:rPr>
                <w:sz w:val="16"/>
              </w:rPr>
              <w:t>$</w:t>
            </w:r>
          </w:p>
        </w:tc>
        <w:tc>
          <w:tcPr>
            <w:tcW w:w="922" w:type="dxa"/>
            <w:tcBorders/>
            <w:shd w:fill="CCEEFF" w:val="clear"/>
            <w:vAlign w:val="center"/>
          </w:tcPr>
          <w:p>
            <w:pPr>
              <w:pStyle w:val="TableContents"/>
              <w:bidi w:val="0"/>
              <w:spacing w:before="0" w:after="283"/>
              <w:jc w:val="right"/>
              <w:rPr>
                <w:sz w:val="16"/>
              </w:rPr>
            </w:pPr>
            <w:r>
              <w:rPr>
                <w:sz w:val="16"/>
              </w:rPr>
              <w:t>(1,216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65" w:type="dxa"/>
            <w:tcBorders/>
            <w:shd w:fill="CCEEFF" w:val="clear"/>
            <w:vAlign w:val="center"/>
          </w:tcPr>
          <w:p>
            <w:pPr>
              <w:pStyle w:val="TableContents"/>
              <w:bidi w:val="0"/>
              <w:spacing w:before="0" w:after="283"/>
              <w:jc w:val="right"/>
              <w:rPr>
                <w:sz w:val="16"/>
              </w:rPr>
            </w:pPr>
            <w:r>
              <w:rPr>
                <w:sz w:val="16"/>
              </w:rPr>
              <w:t>(475,121</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575" w:type="dxa"/>
            <w:tcBorders/>
            <w:shd w:fill="CCEEFF" w:val="clear"/>
            <w:vAlign w:val="center"/>
          </w:tcPr>
          <w:p>
            <w:pPr>
              <w:pStyle w:val="TableContents"/>
              <w:bidi w:val="0"/>
              <w:spacing w:before="0" w:after="283"/>
              <w:jc w:val="right"/>
              <w:rPr>
                <w:sz w:val="16"/>
              </w:rPr>
            </w:pPr>
            <w:r>
              <w:rPr>
                <w:sz w:val="16"/>
              </w:rPr>
              <w:t>41,505</w:t>
            </w:r>
          </w:p>
        </w:tc>
        <w:tc>
          <w:tcPr>
            <w:tcW w:w="95" w:type="dxa"/>
            <w:tcBorders/>
            <w:shd w:fill="CCEEFF" w:val="clear"/>
            <w:vAlign w:val="center"/>
          </w:tcPr>
          <w:p>
            <w:pPr>
              <w:pStyle w:val="TableContents"/>
              <w:bidi w:val="0"/>
              <w:spacing w:before="0" w:after="283"/>
              <w:jc w:val="left"/>
              <w:rPr/>
            </w:pPr>
            <w:r>
              <w:rPr/>
              <w:t> </w:t>
            </w:r>
          </w:p>
        </w:tc>
      </w:tr>
      <w:tr>
        <w:trPr/>
        <w:tc>
          <w:tcPr>
            <w:tcW w:w="4380" w:type="dxa"/>
            <w:tcBorders/>
            <w:shd w:fill="FFFFFF" w:val="clear"/>
            <w:vAlign w:val="center"/>
          </w:tcPr>
          <w:p>
            <w:pPr>
              <w:pStyle w:val="TableContents"/>
              <w:bidi w:val="0"/>
              <w:spacing w:before="0" w:after="283"/>
              <w:jc w:val="left"/>
              <w:rPr>
                <w:sz w:val="16"/>
              </w:rPr>
            </w:pPr>
            <w:r>
              <w:rPr>
                <w:sz w:val="16"/>
              </w:rPr>
              <w:t>Shares issued to Allseas</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sz w:val="16"/>
              </w:rPr>
            </w:pPr>
            <w:r>
              <w:rPr>
                <w:sz w:val="16"/>
              </w:rPr>
              <w:t>10,850,000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9,394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sz w:val="16"/>
              </w:rPr>
            </w:pPr>
            <w:r>
              <w:rPr>
                <w:sz w:val="16"/>
              </w:rPr>
              <w:t>9,394</w:t>
            </w:r>
          </w:p>
        </w:tc>
        <w:tc>
          <w:tcPr>
            <w:tcW w:w="95" w:type="dxa"/>
            <w:tcBorders/>
            <w:shd w:fill="FFFFFF" w:val="clear"/>
            <w:vAlign w:val="center"/>
          </w:tcPr>
          <w:p>
            <w:pPr>
              <w:pStyle w:val="TableContents"/>
              <w:bidi w:val="0"/>
              <w:spacing w:before="0" w:after="283"/>
              <w:jc w:val="left"/>
              <w:rPr/>
            </w:pPr>
            <w:r>
              <w:rPr/>
              <w:t> </w:t>
            </w:r>
          </w:p>
        </w:tc>
      </w:tr>
      <w:tr>
        <w:trPr/>
        <w:tc>
          <w:tcPr>
            <w:tcW w:w="4380" w:type="dxa"/>
            <w:tcBorders/>
            <w:shd w:fill="CCEEFF" w:val="clear"/>
            <w:vAlign w:val="center"/>
          </w:tcPr>
          <w:p>
            <w:pPr>
              <w:pStyle w:val="TableContents"/>
              <w:bidi w:val="0"/>
              <w:spacing w:before="0" w:after="283"/>
              <w:jc w:val="left"/>
              <w:rPr>
                <w:sz w:val="16"/>
              </w:rPr>
            </w:pPr>
            <w:r>
              <w:rPr>
                <w:sz w:val="16"/>
              </w:rPr>
              <w:t>Conversion of restricted share units, net of shares withheld for taxes</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16"/>
              </w:rPr>
            </w:pPr>
            <w:r>
              <w:rPr>
                <w:sz w:val="16"/>
              </w:rPr>
              <w:t>2,956,154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2,814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(2,814</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sz w:val="16"/>
              </w:rPr>
            </w:pPr>
            <w:r>
              <w:rPr>
                <w:sz w:val="16"/>
              </w:rPr>
              <w:t>-</w:t>
            </w:r>
          </w:p>
        </w:tc>
        <w:tc>
          <w:tcPr>
            <w:tcW w:w="95" w:type="dxa"/>
            <w:tcBorders/>
            <w:shd w:fill="CCEEFF" w:val="clear"/>
            <w:vAlign w:val="center"/>
          </w:tcPr>
          <w:p>
            <w:pPr>
              <w:pStyle w:val="TableContents"/>
              <w:bidi w:val="0"/>
              <w:spacing w:before="0" w:after="283"/>
              <w:jc w:val="left"/>
              <w:rPr/>
            </w:pPr>
            <w:r>
              <w:rPr/>
              <w:t> </w:t>
            </w:r>
          </w:p>
        </w:tc>
      </w:tr>
      <w:tr>
        <w:trPr/>
        <w:tc>
          <w:tcPr>
            <w:tcW w:w="4380" w:type="dxa"/>
            <w:tcBorders/>
            <w:shd w:fill="FFFFFF" w:val="clear"/>
            <w:vAlign w:val="center"/>
          </w:tcPr>
          <w:p>
            <w:pPr>
              <w:pStyle w:val="TableContents"/>
              <w:bidi w:val="0"/>
              <w:spacing w:before="0" w:after="283"/>
              <w:jc w:val="left"/>
              <w:rPr>
                <w:sz w:val="16"/>
              </w:rPr>
            </w:pPr>
            <w:r>
              <w:rPr>
                <w:sz w:val="16"/>
              </w:rPr>
              <w:t>Share-based compensation and Expenses settled with equity</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4,650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sz w:val="16"/>
              </w:rPr>
            </w:pPr>
            <w:r>
              <w:rPr>
                <w:sz w:val="16"/>
              </w:rPr>
              <w:t>4,650</w:t>
            </w:r>
          </w:p>
        </w:tc>
        <w:tc>
          <w:tcPr>
            <w:tcW w:w="95" w:type="dxa"/>
            <w:tcBorders/>
            <w:shd w:fill="FFFFFF" w:val="clear"/>
            <w:vAlign w:val="center"/>
          </w:tcPr>
          <w:p>
            <w:pPr>
              <w:pStyle w:val="TableContents"/>
              <w:bidi w:val="0"/>
              <w:spacing w:before="0" w:after="283"/>
              <w:jc w:val="left"/>
              <w:rPr/>
            </w:pPr>
            <w:r>
              <w:rPr/>
              <w:t> </w:t>
            </w:r>
          </w:p>
        </w:tc>
      </w:tr>
      <w:tr>
        <w:trPr/>
        <w:tc>
          <w:tcPr>
            <w:tcW w:w="4380" w:type="dxa"/>
            <w:tcBorders/>
            <w:shd w:fill="CCEEFF" w:val="clear"/>
            <w:vAlign w:val="center"/>
          </w:tcPr>
          <w:p>
            <w:pPr>
              <w:pStyle w:val="TableContents"/>
              <w:bidi w:val="0"/>
              <w:spacing w:before="0" w:after="283"/>
              <w:jc w:val="left"/>
              <w:rPr>
                <w:sz w:val="16"/>
              </w:rPr>
            </w:pPr>
            <w:r>
              <w:rPr>
                <w:sz w:val="16"/>
              </w:rPr>
              <w:t>Loss for the period</w:t>
            </w:r>
          </w:p>
        </w:tc>
        <w:tc>
          <w:tcPr>
            <w:tcW w:w="60" w:type="dxa"/>
            <w:tcBorders/>
            <w:shd w:fill="CCEEFF" w:val="clear"/>
            <w:vAlign w:val="center"/>
          </w:tcPr>
          <w:p>
            <w:pPr>
              <w:pStyle w:val="TableContents"/>
              <w:bidi w:val="0"/>
              <w:spacing w:before="0" w:after="283"/>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2"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(13,748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(13,748</w:t>
            </w:r>
          </w:p>
        </w:tc>
        <w:tc>
          <w:tcPr>
            <w:tcW w:w="95" w:type="dxa"/>
            <w:tcBorders/>
            <w:shd w:fill="CCEEFF" w:val="clear"/>
            <w:vAlign w:val="center"/>
          </w:tcPr>
          <w:p>
            <w:pPr>
              <w:pStyle w:val="TableContents"/>
              <w:bidi w:val="0"/>
              <w:spacing w:before="0" w:after="283"/>
              <w:jc w:val="left"/>
              <w:rPr>
                <w:sz w:val="16"/>
              </w:rPr>
            </w:pPr>
            <w:r>
              <w:rPr>
                <w:sz w:val="16"/>
              </w:rPr>
              <w:t>)</w:t>
            </w:r>
          </w:p>
        </w:tc>
      </w:tr>
      <w:tr>
        <w:trPr/>
        <w:tc>
          <w:tcPr>
            <w:tcW w:w="4380" w:type="dxa"/>
            <w:tcBorders/>
            <w:shd w:fill="FFFFFF" w:val="clear"/>
            <w:vAlign w:val="center"/>
          </w:tcPr>
          <w:p>
            <w:pPr>
              <w:pStyle w:val="TableContents"/>
              <w:bidi w:val="0"/>
              <w:spacing w:before="0" w:after="283"/>
              <w:jc w:val="left"/>
              <w:rPr>
                <w:b/>
                <w:sz w:val="16"/>
              </w:rPr>
            </w:pPr>
            <w:r>
              <w:rPr>
                <w:b/>
                <w:sz w:val="16"/>
              </w:rPr>
              <w:t>March 31, 2023</w:t>
            </w:r>
          </w:p>
        </w:tc>
        <w:tc>
          <w:tcPr>
            <w:tcW w:w="60" w:type="dxa"/>
            <w:tcBorders/>
            <w:shd w:fill="FFFFFF" w:val="clear"/>
            <w:vAlign w:val="center"/>
          </w:tcPr>
          <w:p>
            <w:pPr>
              <w:pStyle w:val="TableContents"/>
              <w:bidi w:val="0"/>
              <w:spacing w:before="0" w:after="283"/>
              <w:jc w:val="left"/>
              <w:rPr/>
            </w:pPr>
            <w:r>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b/>
                <w:sz w:val="16"/>
              </w:rPr>
            </w:pPr>
            <w:r>
              <w:rPr>
                <w:b/>
                <w:sz w:val="16"/>
              </w:rPr>
              <w:t>280,618,285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b/>
                <w:sz w:val="16"/>
              </w:rPr>
            </w:pPr>
            <w:r>
              <w:rPr>
                <w:b/>
                <w:sz w:val="16"/>
              </w:rPr>
              <w:t>345,090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b/>
                <w:sz w:val="16"/>
              </w:rPr>
            </w:pPr>
            <w:r>
              <w:rPr>
                <w:b/>
                <w:sz w:val="16"/>
              </w:rPr>
              <w:t>186,796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922" w:type="dxa"/>
            <w:tcBorders>
              <w:bottom w:val="single" w:sz="8" w:space="0" w:color="000000"/>
            </w:tcBorders>
            <w:shd w:fill="FFFFFF" w:val="clear"/>
            <w:tcMar>
              <w:bottom w:w="28" w:type="dxa"/>
            </w:tcMar>
            <w:vAlign w:val="center"/>
          </w:tcPr>
          <w:p>
            <w:pPr>
              <w:pStyle w:val="TableContents"/>
              <w:bidi w:val="0"/>
              <w:spacing w:before="0" w:after="283"/>
              <w:jc w:val="right"/>
              <w:rPr>
                <w:b/>
                <w:sz w:val="16"/>
              </w:rPr>
            </w:pPr>
            <w:r>
              <w:rPr>
                <w:b/>
                <w:sz w:val="16"/>
              </w:rPr>
              <w:t>(1,216</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b/>
                <w:sz w:val="16"/>
              </w:rPr>
            </w:pPr>
            <w:r>
              <w:rPr>
                <w:b/>
                <w:sz w:val="16"/>
              </w:rPr>
              <w:t>(488,869</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b/>
                <w:sz w:val="16"/>
              </w:rPr>
            </w:pPr>
            <w:r>
              <w:rPr>
                <w:b/>
                <w:sz w:val="16"/>
              </w:rPr>
              <w:t>41,801</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Consolidated Statements of Cash Flows</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8678" w:type="dxa"/>
        <w:jc w:val="left"/>
        <w:tblInd w:w="0" w:type="dxa"/>
        <w:tblLayout w:type="fixed"/>
        <w:tblCellMar>
          <w:top w:w="0" w:type="dxa"/>
          <w:left w:w="0" w:type="dxa"/>
          <w:bottom w:w="0" w:type="dxa"/>
          <w:right w:w="0" w:type="dxa"/>
        </w:tblCellMar>
      </w:tblPr>
      <w:tblGrid>
        <w:gridCol w:w="4880"/>
        <w:gridCol w:w="60"/>
        <w:gridCol w:w="277"/>
        <w:gridCol w:w="1452"/>
        <w:gridCol w:w="80"/>
        <w:gridCol w:w="60"/>
        <w:gridCol w:w="285"/>
        <w:gridCol w:w="1489"/>
        <w:gridCol w:w="95"/>
      </w:tblGrid>
      <w:tr>
        <w:trPr/>
        <w:tc>
          <w:tcPr>
            <w:tcW w:w="4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2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w:t>
              <w:br/>
              <w:t>March 31, 2024</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7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Three months ended </w:t>
              <w:br/>
              <w:t>March 31, 2023</w:t>
            </w:r>
          </w:p>
        </w:tc>
        <w:tc>
          <w:tcPr>
            <w:tcW w:w="95" w:type="dxa"/>
            <w:tcBorders/>
            <w:vAlign w:val="center"/>
          </w:tcPr>
          <w:p>
            <w:pPr>
              <w:pStyle w:val="TableContents"/>
              <w:bidi w:val="0"/>
              <w:spacing w:before="0" w:after="283"/>
              <w:jc w:val="center"/>
              <w:rPr/>
            </w:pPr>
            <w:r>
              <w:rPr/>
              <w:t> </w:t>
            </w:r>
          </w:p>
        </w:tc>
      </w:tr>
      <w:tr>
        <w:trPr/>
        <w:tc>
          <w:tcPr>
            <w:tcW w:w="4880" w:type="dxa"/>
            <w:tcBorders/>
            <w:shd w:fill="CCEEFF" w:val="clear"/>
            <w:vAlign w:val="center"/>
          </w:tcPr>
          <w:p>
            <w:pPr>
              <w:pStyle w:val="TableContents"/>
              <w:bidi w:val="0"/>
              <w:spacing w:before="0" w:after="283"/>
              <w:jc w:val="left"/>
              <w:rPr>
                <w:b/>
                <w:sz w:val="20"/>
              </w:rPr>
            </w:pPr>
            <w:r>
              <w:rPr>
                <w:b/>
                <w:sz w:val="20"/>
              </w:rPr>
              <w:t>Cash provided by (used in)</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b/>
                <w:sz w:val="20"/>
              </w:rPr>
            </w:pPr>
            <w:r>
              <w:rPr>
                <w:b/>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for the period</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sz w:val="20"/>
              </w:rPr>
            </w:pPr>
            <w:r>
              <w:rPr>
                <w:sz w:val="20"/>
              </w:rPr>
              <w:t>$</w:t>
            </w:r>
          </w:p>
        </w:tc>
        <w:tc>
          <w:tcPr>
            <w:tcW w:w="1452" w:type="dxa"/>
            <w:tcBorders/>
            <w:shd w:fill="FFFFFF" w:val="clear"/>
            <w:vAlign w:val="center"/>
          </w:tcPr>
          <w:p>
            <w:pPr>
              <w:pStyle w:val="TableContents"/>
              <w:bidi w:val="0"/>
              <w:spacing w:before="0" w:after="283"/>
              <w:jc w:val="right"/>
              <w:rPr>
                <w:sz w:val="20"/>
              </w:rPr>
            </w:pPr>
            <w:r>
              <w:rPr>
                <w:sz w:val="20"/>
              </w:rPr>
              <w:t>(25,194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sz w:val="20"/>
              </w:rPr>
            </w:pPr>
            <w:r>
              <w:rPr>
                <w:sz w:val="20"/>
              </w:rPr>
              <w:t>$</w:t>
            </w:r>
          </w:p>
        </w:tc>
        <w:tc>
          <w:tcPr>
            <w:tcW w:w="1489" w:type="dxa"/>
            <w:tcBorders/>
            <w:shd w:fill="FFFFFF" w:val="clear"/>
            <w:vAlign w:val="center"/>
          </w:tcPr>
          <w:p>
            <w:pPr>
              <w:pStyle w:val="TableContents"/>
              <w:bidi w:val="0"/>
              <w:spacing w:before="0" w:after="283"/>
              <w:jc w:val="right"/>
              <w:rPr>
                <w:sz w:val="20"/>
              </w:rPr>
            </w:pPr>
            <w:r>
              <w:rPr>
                <w:sz w:val="20"/>
              </w:rPr>
              <w:t>(13,748</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not affecting cash:</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sz w:val="20"/>
              </w:rPr>
            </w:pPr>
            <w:r>
              <w:rPr>
                <w:sz w:val="20"/>
              </w:rPr>
              <w:t>Amortization</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sz w:val="20"/>
              </w:rPr>
            </w:pPr>
            <w:r>
              <w:rPr>
                <w:sz w:val="20"/>
              </w:rPr>
              <w:t>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sz w:val="20"/>
              </w:rPr>
            </w:pPr>
            <w:r>
              <w:rPr>
                <w:sz w:val="20"/>
              </w:rPr>
              <w:t>88</w:t>
            </w:r>
          </w:p>
        </w:tc>
        <w:tc>
          <w:tcPr>
            <w:tcW w:w="9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sz w:val="20"/>
              </w:rPr>
            </w:pPr>
            <w:r>
              <w:rPr>
                <w:sz w:val="20"/>
              </w:rPr>
              <w:t>Lease expense</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sz w:val="20"/>
              </w:rPr>
            </w:pPr>
            <w:r>
              <w:rPr>
                <w:sz w:val="20"/>
              </w:rPr>
              <w:t>477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sz w:val="20"/>
              </w:rPr>
            </w:pPr>
            <w:r>
              <w:rPr>
                <w:sz w:val="20"/>
              </w:rPr>
              <w:t>Share-based compensation and expenses settled with equity</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sz w:val="20"/>
              </w:rPr>
            </w:pPr>
            <w:r>
              <w:rPr>
                <w:sz w:val="20"/>
              </w:rPr>
              <w:t>6,896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sz w:val="20"/>
              </w:rPr>
            </w:pPr>
            <w:r>
              <w:rPr>
                <w:sz w:val="20"/>
              </w:rPr>
              <w:t>4,650</w:t>
            </w:r>
          </w:p>
        </w:tc>
        <w:tc>
          <w:tcPr>
            <w:tcW w:w="9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Equity-accounted investment loss</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sz w:val="20"/>
              </w:rPr>
            </w:pPr>
            <w:r>
              <w:rPr>
                <w:sz w:val="20"/>
              </w:rPr>
              <w:t>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sz w:val="20"/>
              </w:rPr>
            </w:pPr>
            <w:r>
              <w:rPr>
                <w:sz w:val="20"/>
              </w:rPr>
              <w:t>219</w:t>
            </w:r>
          </w:p>
        </w:tc>
        <w:tc>
          <w:tcPr>
            <w:tcW w:w="9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warrants liability</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sz w:val="20"/>
              </w:rPr>
            </w:pPr>
            <w:r>
              <w:rPr>
                <w:sz w:val="20"/>
              </w:rPr>
              <w:t>531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sz w:val="20"/>
              </w:rPr>
            </w:pPr>
            <w:r>
              <w:rPr>
                <w:sz w:val="20"/>
              </w:rPr>
              <w:t>544</w:t>
            </w:r>
          </w:p>
        </w:tc>
        <w:tc>
          <w:tcPr>
            <w:tcW w:w="9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foreign exchange movement</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sz w:val="20"/>
              </w:rPr>
            </w:pPr>
            <w:r>
              <w:rPr>
                <w:sz w:val="20"/>
              </w:rPr>
              <w:t>(293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sz w:val="20"/>
              </w:rPr>
            </w:pPr>
            <w:r>
              <w:rPr>
                <w:sz w:val="20"/>
              </w:rPr>
              <w:t>(20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working capital:</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and prepayments</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sz w:val="20"/>
              </w:rPr>
            </w:pPr>
            <w:r>
              <w:rPr>
                <w:sz w:val="20"/>
              </w:rPr>
              <w:t>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sz w:val="20"/>
              </w:rPr>
            </w:pPr>
            <w:r>
              <w:rPr>
                <w:sz w:val="20"/>
              </w:rPr>
              <w:t>(459</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5,543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(14,758</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880" w:type="dxa"/>
            <w:tcBorders/>
            <w:shd w:fill="CCEEFF" w:val="clear"/>
            <w:vAlign w:val="center"/>
          </w:tcPr>
          <w:p>
            <w:pPr>
              <w:pStyle w:val="TableContents"/>
              <w:bidi w:val="0"/>
              <w:spacing w:before="0" w:after="283"/>
              <w:jc w:val="left"/>
              <w:rPr>
                <w:b/>
                <w:sz w:val="20"/>
              </w:rPr>
            </w:pPr>
            <w:r>
              <w:rPr>
                <w:b/>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b/>
                <w:sz w:val="20"/>
              </w:rPr>
            </w:pPr>
            <w:r>
              <w:rPr>
                <w:b/>
                <w:sz w:val="20"/>
              </w:rPr>
              <w:t>(11,852</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b/>
                <w:sz w:val="20"/>
              </w:rPr>
            </w:pPr>
            <w:r>
              <w:rPr>
                <w:b/>
                <w:sz w:val="20"/>
              </w:rPr>
              <w:t>(23,484</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4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b/>
                <w:sz w:val="20"/>
              </w:rPr>
            </w:pPr>
            <w:r>
              <w:rPr>
                <w:b/>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sz w:val="20"/>
              </w:rPr>
            </w:pPr>
            <w:r>
              <w:rPr>
                <w:sz w:val="20"/>
              </w:rPr>
              <w:t>Acquisition of equipment and software</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(340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b/>
                <w:sz w:val="20"/>
              </w:rPr>
            </w:pPr>
            <w:r>
              <w:rPr>
                <w:b/>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b/>
                <w:sz w:val="20"/>
              </w:rPr>
            </w:pPr>
            <w:r>
              <w:rPr>
                <w:b/>
                <w:sz w:val="20"/>
              </w:rPr>
              <w:t>(340</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b/>
                <w:sz w:val="20"/>
              </w:rPr>
            </w:pPr>
            <w:r>
              <w:rPr>
                <w:b/>
                <w:sz w:val="20"/>
              </w:rPr>
              <w:t>-</w:t>
            </w:r>
          </w:p>
        </w:tc>
        <w:tc>
          <w:tcPr>
            <w:tcW w:w="9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b/>
                <w:sz w:val="20"/>
              </w:rPr>
            </w:pPr>
            <w:r>
              <w:rPr>
                <w:b/>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sz w:val="20"/>
              </w:rPr>
            </w:pPr>
            <w:r>
              <w:rPr>
                <w:sz w:val="20"/>
              </w:rPr>
              <w:t>Proceeds from Registered Direct Offering</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sz w:val="20"/>
              </w:rPr>
            </w:pPr>
            <w:r>
              <w:rPr>
                <w:sz w:val="20"/>
              </w:rPr>
              <w:t>9,000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sz w:val="20"/>
              </w:rPr>
            </w:pPr>
            <w:r>
              <w:rPr>
                <w:sz w:val="20"/>
              </w:rPr>
              <w:t>Expenses paid for Registered Direct Offering</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sz w:val="20"/>
              </w:rPr>
            </w:pPr>
            <w:r>
              <w:rPr>
                <w:sz w:val="20"/>
              </w:rPr>
              <w:t>(142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sz w:val="20"/>
              </w:rPr>
            </w:pPr>
            <w:r>
              <w:rPr>
                <w:sz w:val="20"/>
              </w:rPr>
              <w:t>Proceeds from exercise of stock options</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sz w:val="20"/>
              </w:rPr>
            </w:pPr>
            <w:r>
              <w:rPr>
                <w:sz w:val="20"/>
              </w:rPr>
              <w:t>190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sz w:val="20"/>
              </w:rPr>
            </w:pPr>
            <w:r>
              <w:rPr>
                <w:sz w:val="20"/>
              </w:rPr>
              <w:t>Proceeds from Low Carbon Royalties investment</w:t>
            </w:r>
          </w:p>
        </w:tc>
        <w:tc>
          <w:tcPr>
            <w:tcW w:w="60" w:type="dxa"/>
            <w:tcBorders/>
            <w:shd w:fill="CCEEFF" w:val="clear"/>
            <w:vAlign w:val="center"/>
          </w:tcPr>
          <w:p>
            <w:pPr>
              <w:pStyle w:val="TableContents"/>
              <w:bidi w:val="0"/>
              <w:spacing w:before="0" w:after="283"/>
              <w:jc w:val="left"/>
              <w:rPr/>
            </w:pPr>
            <w:r>
              <w:rPr/>
              <w:t> </w:t>
            </w:r>
          </w:p>
        </w:tc>
        <w:tc>
          <w:tcPr>
            <w:tcW w:w="2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5,000</w:t>
            </w:r>
          </w:p>
        </w:tc>
        <w:tc>
          <w:tcPr>
            <w:tcW w:w="9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b/>
                <w:sz w:val="20"/>
              </w:rPr>
            </w:pPr>
            <w:r>
              <w:rPr>
                <w:b/>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b/>
                <w:sz w:val="20"/>
              </w:rPr>
            </w:pPr>
            <w:r>
              <w:rPr>
                <w:b/>
                <w:sz w:val="20"/>
              </w:rPr>
              <w:t>9,048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b/>
                <w:sz w:val="20"/>
              </w:rPr>
            </w:pPr>
            <w:r>
              <w:rPr>
                <w:b/>
                <w:sz w:val="20"/>
              </w:rPr>
              <w:t>5,000</w:t>
            </w:r>
          </w:p>
        </w:tc>
        <w:tc>
          <w:tcPr>
            <w:tcW w:w="9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b/>
                <w:sz w:val="20"/>
              </w:rPr>
            </w:pPr>
            <w:r>
              <w:rPr>
                <w:b/>
                <w:sz w:val="20"/>
              </w:rPr>
              <w:t>Decrease in cash</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b/>
                <w:sz w:val="20"/>
              </w:rPr>
            </w:pPr>
            <w:r>
              <w:rPr>
                <w:b/>
                <w:sz w:val="20"/>
              </w:rPr>
              <w:t>$</w:t>
            </w:r>
          </w:p>
        </w:tc>
        <w:tc>
          <w:tcPr>
            <w:tcW w:w="1452" w:type="dxa"/>
            <w:tcBorders/>
            <w:shd w:fill="FFFFFF" w:val="clear"/>
            <w:vAlign w:val="center"/>
          </w:tcPr>
          <w:p>
            <w:pPr>
              <w:pStyle w:val="TableContents"/>
              <w:bidi w:val="0"/>
              <w:spacing w:before="0" w:after="283"/>
              <w:jc w:val="right"/>
              <w:rPr>
                <w:b/>
                <w:sz w:val="20"/>
              </w:rPr>
            </w:pPr>
            <w:r>
              <w:rPr>
                <w:b/>
                <w:sz w:val="20"/>
              </w:rPr>
              <w:t>(3,144</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b/>
                <w:sz w:val="20"/>
              </w:rPr>
            </w:pPr>
            <w:r>
              <w:rPr>
                <w:b/>
                <w:sz w:val="20"/>
              </w:rPr>
              <w:t>$</w:t>
            </w:r>
          </w:p>
        </w:tc>
        <w:tc>
          <w:tcPr>
            <w:tcW w:w="1489" w:type="dxa"/>
            <w:tcBorders/>
            <w:shd w:fill="FFFFFF" w:val="clear"/>
            <w:vAlign w:val="center"/>
          </w:tcPr>
          <w:p>
            <w:pPr>
              <w:pStyle w:val="TableContents"/>
              <w:bidi w:val="0"/>
              <w:spacing w:before="0" w:after="283"/>
              <w:jc w:val="right"/>
              <w:rPr>
                <w:b/>
                <w:sz w:val="20"/>
              </w:rPr>
            </w:pPr>
            <w:r>
              <w:rPr>
                <w:b/>
                <w:sz w:val="20"/>
              </w:rPr>
              <w:t>(18,484</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4880" w:type="dxa"/>
            <w:tcBorders/>
            <w:shd w:fill="CCEEFF" w:val="clear"/>
            <w:vAlign w:val="center"/>
          </w:tcPr>
          <w:p>
            <w:pPr>
              <w:pStyle w:val="TableContents"/>
              <w:bidi w:val="0"/>
              <w:spacing w:before="0" w:after="283"/>
              <w:jc w:val="left"/>
              <w:rPr>
                <w:b/>
                <w:sz w:val="20"/>
              </w:rPr>
            </w:pPr>
            <w:r>
              <w:rPr>
                <w:b/>
                <w:sz w:val="20"/>
              </w:rPr>
              <w:t>Impact of exchange rate changes on cash</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b/>
                <w:sz w:val="20"/>
              </w:rPr>
            </w:pPr>
            <w:r>
              <w:rPr>
                <w:b/>
                <w:sz w:val="20"/>
              </w:rPr>
              <w:t>293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b/>
                <w:sz w:val="20"/>
              </w:rPr>
            </w:pPr>
            <w:r>
              <w:rPr>
                <w:b/>
                <w:sz w:val="20"/>
              </w:rPr>
              <w:t>20</w:t>
            </w:r>
          </w:p>
        </w:tc>
        <w:tc>
          <w:tcPr>
            <w:tcW w:w="9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b/>
                <w:sz w:val="20"/>
              </w:rPr>
            </w:pPr>
            <w:r>
              <w:rPr>
                <w:b/>
                <w:sz w:val="20"/>
              </w:rPr>
              <w:t>Cash - beginning of period</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2"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6,842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46,876</w:t>
            </w:r>
          </w:p>
        </w:tc>
        <w:tc>
          <w:tcPr>
            <w:tcW w:w="9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b/>
                <w:sz w:val="20"/>
              </w:rPr>
            </w:pPr>
            <w:r>
              <w:rPr>
                <w:b/>
                <w:sz w:val="20"/>
              </w:rPr>
              <w:t>Cash - end of period</w:t>
            </w:r>
          </w:p>
        </w:tc>
        <w:tc>
          <w:tcPr>
            <w:tcW w:w="60" w:type="dxa"/>
            <w:tcBorders/>
            <w:shd w:fill="CCEEFF" w:val="clear"/>
            <w:vAlign w:val="center"/>
          </w:tcPr>
          <w:p>
            <w:pPr>
              <w:pStyle w:val="TableContents"/>
              <w:bidi w:val="0"/>
              <w:spacing w:before="0" w:after="283"/>
              <w:jc w:val="left"/>
              <w:rPr/>
            </w:pPr>
            <w:r>
              <w:rPr/>
              <w:t> </w:t>
            </w:r>
          </w:p>
        </w:tc>
        <w:tc>
          <w:tcPr>
            <w:tcW w:w="2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2"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3,991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28,412</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3387</Words>
  <Characters>18634</Characters>
  <CharactersWithSpaces>22464</CharactersWithSpaces>
  <Paragraphs>1436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