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386080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454660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5" w:lineRule="exact"/>
        <w:rPr>
          <w:sz w:val="24"/>
          <w:szCs w:val="24"/>
          <w:color w:val="auto"/>
        </w:rPr>
      </w:pPr>
    </w:p>
    <w:p>
      <w:pPr>
        <w:ind w:left="3850" w:right="3600" w:hanging="3850"/>
        <w:spacing w:after="0" w:line="446" w:lineRule="auto"/>
        <w:tabs>
          <w:tab w:leader="none" w:pos="23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 For the quarterly period ended March 31, 2024</w:t>
      </w:r>
    </w:p>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21" w:lineRule="exact"/>
        <w:rPr>
          <w:sz w:val="24"/>
          <w:szCs w:val="24"/>
          <w:color w:val="auto"/>
        </w:rPr>
      </w:pPr>
    </w:p>
    <w:p>
      <w:pPr>
        <w:ind w:left="210" w:hanging="210"/>
        <w:spacing w:after="0"/>
        <w:tabs>
          <w:tab w:leader="none" w:pos="21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07" w:lineRule="exact"/>
        <w:rPr>
          <w:sz w:val="24"/>
          <w:szCs w:val="24"/>
          <w:color w:val="auto"/>
        </w:rPr>
      </w:pPr>
    </w:p>
    <w:p>
      <w:pPr>
        <w:ind w:left="4030"/>
        <w:spacing w:after="0"/>
        <w:tabs>
          <w:tab w:leader="none" w:pos="585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-4445</wp:posOffset>
            </wp:positionV>
            <wp:extent cx="120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-4445</wp:posOffset>
            </wp:positionV>
            <wp:extent cx="120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7" w:lineRule="exact"/>
        <w:rPr>
          <w:sz w:val="24"/>
          <w:szCs w:val="24"/>
          <w:color w:val="auto"/>
        </w:rPr>
      </w:pPr>
    </w:p>
    <w:p>
      <w:pPr>
        <w:ind w:left="4110"/>
        <w:spacing w:after="0"/>
        <w:rPr>
          <w:sz w:val="20"/>
          <w:szCs w:val="20"/>
          <w:color w:val="auto"/>
        </w:rPr>
      </w:pPr>
      <w:r>
        <w:rPr>
          <w:rFonts w:ascii="Times New Roman" w:cs="Times New Roman" w:eastAsia="Times New Roman" w:hAnsi="Times New Roman"/>
          <w:sz w:val="13"/>
          <w:szCs w:val="13"/>
          <w:b w:val="1"/>
          <w:bCs w:val="1"/>
          <w:color w:val="auto"/>
        </w:rPr>
        <w:t>Commission File Number: 001-39281</w:t>
      </w:r>
    </w:p>
    <w:p>
      <w:pPr>
        <w:spacing w:after="0" w:line="8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TMC THE METALS COMPANY INC.</w:t>
      </w:r>
    </w:p>
    <w:p>
      <w:pPr>
        <w:spacing w:after="0" w:line="45"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426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229"/>
        </w:trPr>
        <w:tc>
          <w:tcPr>
            <w:tcW w:w="4260" w:type="dxa"/>
            <w:vAlign w:val="bottom"/>
            <w:gridSpan w:val="2"/>
          </w:tcPr>
          <w:p>
            <w:pPr>
              <w:jc w:val="center"/>
              <w:ind w:left="6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40" w:type="dxa"/>
            <w:vAlign w:val="bottom"/>
          </w:tcPr>
          <w:p>
            <w:pPr>
              <w:jc w:val="center"/>
              <w:ind w:right="14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90"/>
        </w:trPr>
        <w:tc>
          <w:tcPr>
            <w:tcW w:w="4260" w:type="dxa"/>
            <w:vAlign w:val="bottom"/>
            <w:gridSpan w:val="2"/>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595 Howe Street, 10th Floor</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vMerge w:val="restart"/>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V6C 2T5</w:t>
            </w:r>
          </w:p>
        </w:tc>
        <w:tc>
          <w:tcPr>
            <w:tcW w:w="0" w:type="dxa"/>
            <w:vAlign w:val="bottom"/>
          </w:tcPr>
          <w:p>
            <w:pPr>
              <w:spacing w:after="0"/>
              <w:rPr>
                <w:sz w:val="1"/>
                <w:szCs w:val="1"/>
                <w:color w:val="auto"/>
              </w:rPr>
            </w:pPr>
          </w:p>
        </w:tc>
      </w:tr>
      <w:tr>
        <w:trPr>
          <w:trHeight w:val="190"/>
        </w:trPr>
        <w:tc>
          <w:tcPr>
            <w:tcW w:w="4260" w:type="dxa"/>
            <w:vAlign w:val="bottom"/>
            <w:gridSpan w:val="2"/>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Vancouver, British Columbia</w:t>
            </w: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60" w:type="dxa"/>
            <w:vAlign w:val="bottom"/>
            <w:gridSpan w:val="2"/>
          </w:tcPr>
          <w:p>
            <w:pPr>
              <w:jc w:val="center"/>
              <w:ind w:left="6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4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(574) 252-9333</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680" w:type="dxa"/>
            <w:vAlign w:val="bottom"/>
            <w:gridSpan w:val="5"/>
          </w:tcPr>
          <w:p>
            <w:pPr>
              <w:jc w:val="center"/>
              <w:ind w:left="34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70"/>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53"/>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0"/>
        </w:trPr>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24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auto"/>
              </w:rPr>
              <w:t>TMC</w:t>
            </w:r>
          </w:p>
        </w:tc>
        <w:tc>
          <w:tcPr>
            <w:tcW w:w="354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Redeemable warrants, each whole warrant exercisable for one</w:t>
            </w:r>
          </w:p>
        </w:tc>
        <w:tc>
          <w:tcPr>
            <w:tcW w:w="242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color w:val="auto"/>
              </w:rPr>
              <w:t>TMCWW</w:t>
            </w:r>
          </w:p>
        </w:tc>
        <w:tc>
          <w:tcPr>
            <w:tcW w:w="354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42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Common Share, each at an exercise price of $11.50 per share</w:t>
            </w: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both"/>
        <w:ind w:left="1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left="1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left="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1050" w:type="dxa"/>
        <w:tblCellMar>
          <w:top w:w="0" w:type="dxa"/>
          <w:left w:w="0" w:type="dxa"/>
          <w:bottom w:w="0" w:type="dxa"/>
          <w:right w:w="0" w:type="dxa"/>
        </w:tblCellMar>
      </w:tblPr>
      <w:tr>
        <w:trPr>
          <w:trHeight w:val="189"/>
        </w:trPr>
        <w:tc>
          <w:tcPr>
            <w:tcW w:w="22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left="1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ind w:left="10" w:right="290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10, 2024, the registrant had 320,510,004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624205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67310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101600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11"/>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TMC THE METALS COMPANY INC.</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20" w:type="dxa"/>
            <w:vAlign w:val="bottom"/>
            <w:gridSpan w:val="9"/>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40" w:type="dxa"/>
            <w:vAlign w:val="bottom"/>
            <w:gridSpan w:val="11"/>
          </w:tcPr>
          <w:p>
            <w:pPr>
              <w:jc w:val="center"/>
              <w:ind w:right="2500"/>
              <w:spacing w:after="0"/>
              <w:rPr>
                <w:sz w:val="20"/>
                <w:szCs w:val="20"/>
                <w:color w:val="auto"/>
              </w:rPr>
            </w:pPr>
            <w:r>
              <w:rPr>
                <w:rFonts w:ascii="Times New Roman" w:cs="Times New Roman" w:eastAsia="Times New Roman" w:hAnsi="Times New Roman"/>
                <w:sz w:val="18"/>
                <w:szCs w:val="18"/>
                <w:color w:val="auto"/>
              </w:rPr>
              <w:t>For the quarterly period ended March 31, 2024</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9"/>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 (Unaudited)</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Loss and Comprehensive Loss for the three months ended March</w:t>
            </w: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42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31, 2024 and 2023 (Unaudited)</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Equity for the three months ended March 31, 2024</w:t>
            </w: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220" w:type="dxa"/>
            <w:vAlign w:val="bottom"/>
            <w:tcBorders>
              <w:top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2023 (Unaudited)</w:t>
            </w:r>
          </w:p>
        </w:tc>
        <w:tc>
          <w:tcPr>
            <w:tcW w:w="460" w:type="dxa"/>
            <w:vAlign w:val="bottom"/>
            <w:tcBorders>
              <w:top w:val="single" w:sz="8" w:color="CCEEFF"/>
            </w:tcBorders>
            <w:gridSpan w:val="3"/>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2024 and 2023</w:t>
            </w:r>
          </w:p>
        </w:tc>
        <w:tc>
          <w:tcPr>
            <w:tcW w:w="2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8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this Quarterly Report on Form 10-Q, the terms “we,” “us,” “our,” the “Company” and “TMC” mean TMC the metals company Inc. and our subsidiaries. TMC is incorporated under the laws of the province of British Columbia, Canada. The Company’s common shares and public warrants to purchase common shares trade on the Nasdaq Global Select Market (“Nasdaq”), under the symbols “TMC” and “TMCWW,”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87"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the need for additional financing and our ability to continue as a going concern;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and our ability to define and declare reserve estimates;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on our business;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2023 as filed with the Securities and Exchange Commission (“SEC”), on March 25, 2024, as amended on April 18, 2024 (the “2023 Annual Report on Form 10-K”), as updated and/or supplemented in subsequent filings we make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60" w:type="dxa"/>
            <w:vAlign w:val="bottom"/>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contracts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Royalty liability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Warrants liability</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Common shares (unlimited shares, no par value – issued: 318,291,383</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2023 – 306,558,710))</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(574,096)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0" w:type="dxa"/>
            <w:vAlign w:val="bottom"/>
          </w:tcPr>
          <w:p>
            <w:pPr>
              <w:spacing w:after="0"/>
              <w:rPr>
                <w:sz w:val="1"/>
                <w:szCs w:val="1"/>
                <w:color w:val="auto"/>
              </w:rPr>
            </w:pPr>
          </w:p>
        </w:tc>
      </w:tr>
      <w:tr>
        <w:trPr>
          <w:trHeight w:val="40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Contingent Liabilities </w:t>
            </w:r>
            <w:r>
              <w:rPr>
                <w:rFonts w:ascii="Times New Roman" w:cs="Times New Roman" w:eastAsia="Times New Roman" w:hAnsi="Times New Roman"/>
                <w:sz w:val="18"/>
                <w:szCs w:val="18"/>
                <w:i w:val="1"/>
                <w:iCs w:val="1"/>
                <w:color w:val="auto"/>
              </w:rPr>
              <w:t>(Note 14)</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40" w:type="dxa"/>
            <w:vAlign w:val="bottom"/>
          </w:tcPr>
          <w:p>
            <w:pPr>
              <w:spacing w:after="0"/>
              <w:rPr>
                <w:sz w:val="15"/>
                <w:szCs w:val="15"/>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24,682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private warrants liability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Fees and interest on credit facility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6,13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25,194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 diluted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311,521,854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272,029,603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8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306,558,710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438,239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122,797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(548,902)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10,918</w:t>
            </w:r>
          </w:p>
        </w:tc>
        <w:tc>
          <w:tcPr>
            <w:tcW w:w="0" w:type="dxa"/>
            <w:vAlign w:val="bottom"/>
          </w:tcPr>
          <w:p>
            <w:pPr>
              <w:spacing w:after="0"/>
              <w:rPr>
                <w:sz w:val="1"/>
                <w:szCs w:val="1"/>
                <w:color w:val="auto"/>
              </w:rPr>
            </w:pPr>
          </w:p>
        </w:tc>
      </w:tr>
      <w:tr>
        <w:trPr>
          <w:trHeight w:val="126"/>
        </w:trPr>
        <w:tc>
          <w:tcPr>
            <w:tcW w:w="4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and warrants under Registered Direct Offering, net of</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7,447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171"/>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expenses (Notes 9, 10)</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11)</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26"/>
        </w:trPr>
        <w:tc>
          <w:tcPr>
            <w:tcW w:w="4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 withheld for taxes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7,112,673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(8,601)</w:t>
            </w:r>
          </w:p>
        </w:tc>
        <w:tc>
          <w:tcPr>
            <w:tcW w:w="120" w:type="dxa"/>
            <w:vAlign w:val="bottom"/>
          </w:tcPr>
          <w:p>
            <w:pPr>
              <w:spacing w:after="0"/>
              <w:rPr>
                <w:sz w:val="10"/>
                <w:szCs w:val="10"/>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 with equity (Notes 10,</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(25,194)</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(25,194)</w:t>
            </w: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318,291,383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454,431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122,691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(574,096)</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1,810</w:t>
            </w:r>
          </w:p>
        </w:tc>
        <w:tc>
          <w:tcPr>
            <w:tcW w:w="0" w:type="dxa"/>
            <w:vAlign w:val="bottom"/>
          </w:tcPr>
          <w:p>
            <w:pPr>
              <w:spacing w:after="0"/>
              <w:rPr>
                <w:sz w:val="1"/>
                <w:szCs w:val="1"/>
                <w:color w:val="auto"/>
              </w:rPr>
            </w:pPr>
          </w:p>
        </w:tc>
      </w:tr>
      <w:tr>
        <w:trPr>
          <w:trHeight w:val="401"/>
        </w:trPr>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80" w:type="dxa"/>
            <w:vAlign w:val="bottom"/>
            <w:gridSpan w:val="3"/>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2023</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266,812,131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332,882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184,960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(475,121)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41,505</w:t>
            </w:r>
          </w:p>
        </w:tc>
        <w:tc>
          <w:tcPr>
            <w:tcW w:w="0" w:type="dxa"/>
            <w:vAlign w:val="bottom"/>
          </w:tcPr>
          <w:p>
            <w:pPr>
              <w:spacing w:after="0"/>
              <w:rPr>
                <w:sz w:val="1"/>
                <w:szCs w:val="1"/>
                <w:color w:val="auto"/>
              </w:rPr>
            </w:pPr>
          </w:p>
        </w:tc>
      </w:tr>
      <w:tr>
        <w:trPr>
          <w:trHeight w:val="148"/>
        </w:trPr>
        <w:tc>
          <w:tcPr>
            <w:tcW w:w="4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issued to Allseas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9,394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9,394</w:t>
            </w: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restricted share units, net of shares withheld for taxes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2,956,154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(2,814)</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and Expenses settled with equity</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4,650</w:t>
            </w: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(13,748)</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(13,748)</w:t>
            </w:r>
          </w:p>
        </w:tc>
        <w:tc>
          <w:tcPr>
            <w:tcW w:w="0" w:type="dxa"/>
            <w:vAlign w:val="bottom"/>
          </w:tcPr>
          <w:p>
            <w:pPr>
              <w:spacing w:after="0"/>
              <w:rPr>
                <w:sz w:val="1"/>
                <w:szCs w:val="1"/>
                <w:color w:val="auto"/>
              </w:rPr>
            </w:pPr>
          </w:p>
        </w:tc>
      </w:tr>
      <w:tr>
        <w:trPr>
          <w:trHeight w:val="142"/>
        </w:trPr>
        <w:tc>
          <w:tcPr>
            <w:tcW w:w="4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280,618,285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345,090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186,796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(488,869)</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41,801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60" w:type="dxa"/>
            <w:vAlign w:val="bottom"/>
          </w:tcPr>
          <w:p>
            <w:pPr>
              <w:spacing w:after="0"/>
              <w:rPr>
                <w:sz w:val="12"/>
                <w:szCs w:val="12"/>
                <w:color w:val="auto"/>
              </w:rPr>
            </w:pPr>
          </w:p>
        </w:tc>
        <w:tc>
          <w:tcPr>
            <w:tcW w:w="11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2"/>
                <w:szCs w:val="12"/>
                <w:color w:val="auto"/>
              </w:rPr>
            </w:pPr>
          </w:p>
        </w:tc>
        <w:tc>
          <w:tcPr>
            <w:tcW w:w="10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(25,194)</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foreign exchange movement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equipment and software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Registered Direct Offering</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Low Carbon Royalties investment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9,048</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(3,144)</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was incorporated as a Cayman Islands exempted company limited by shares on December 18, 2019 and continued as a corporation under the laws of the province of British Columbia, Canada on September 9, 2021. The Company’s corporate office, registered address and records office is located at 10th floor, 595 Howe Street, Vancouver, British Columbia, Canada, V6C 2T5. The Company’s common shares and warrants to purchase common shares are listed for trading on the Nasdaq Global Select Market (“Nasdaq”) under tickers “TMC” and “TMCWW”, respectively.</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cobalt and manganese sulfates, or intermediate nickel-copper-cobalt matte) for electric vehicles (“EV”) and renewable energy storage markets, (ii) copper cathode for EV wiring, energy transmission and other applications and (iii) manganese silicate for manganese alloy production required for steel production.</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square kilometers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square kilometers in the CCZ (“TOML Area”). Marawa Research and Exploration Limited (“Marawa”), an entity owned and sponsored by the Republic of Kiribati (“Kiribati”), was granted rights by the ISA to polymetallic nodules exploration in an area of 74,990 square kilometers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deliver a system to collect, lift and transport nodules from the seafloor to shore that meets the requirements of an early commercial production system (Note 6).</w:t>
      </w:r>
    </w:p>
    <w:p>
      <w:pPr>
        <w:spacing w:after="0" w:line="195"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at commercial scale,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2024 or for any other period. These unaudited condensed consolidated interim financial statements should be read in conjunction with the audited annual consolidated financial statements for the year ended December 31, 2023. The Company has applied the same accounting policies as in the prior year, except as disclosed below.</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Comparative figures reported in the Condensed Consolidated Balance Sheet, for cash, receivables and prepayments, software development costs and equipment, and figures reported in the Condensed Consolidated Statements of Cash Flows, for expenses settled with equity and changes in working capital have been reclassified to conform to the current period’s presentation.</w:t>
      </w:r>
    </w:p>
    <w:p>
      <w:pPr>
        <w:spacing w:after="0" w:line="17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incentive stock options (Note 11), valuation of Class A warrants (Note 9) as well as the valuation of private warrants (Note 10), the valuation of the Royalty liability (Note 7) and the valuation of leases (Note 6). Actual results could differ materially from those estimates.</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680" w:right="20" w:hanging="321"/>
        <w:spacing w:after="0" w:line="28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2024, and 2023.</w:t>
      </w:r>
    </w:p>
    <w:p>
      <w:pPr>
        <w:spacing w:after="0" w:line="22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As at March 31, 2024, and December 31, 2023, the carrying values of cash, receivables, and accounts payable and accrued liabilities approximate their fair values due to the short-term nature of these instruments. The financial instruments also include royalty liability, and warrants issued by the Company. These warrants are valued at fair value, which is disclosed in Note 10.</w:t>
      </w:r>
    </w:p>
    <w:p>
      <w:pPr>
        <w:spacing w:after="0" w:line="1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recent accounting pronouncements issued and adopted by the Company during the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Alliance with Allseas and Affiliates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of Project Zero Offshore Nodule Collection System</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a commercial nodule collection system. During the three months ended March 31, 2024, in relation to the development of the commercial nodule collection system, Allseas provided the Company with engineering, project management and vessel use services consisting of lay-up and transit costs totaling $3.7 million, recorded as mining, technological and process development within exploration and evaluation expenses (three months ended March 31, 2023 - $ 1.0 million).</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Vessel Use Agreement with Allseas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 2023, the Company entered into an Exclusive Vessel Use Agreement with Allseas pursuant to which Allseas will give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to the Company in support of the development of the Project Zero Offshore Nodule Collection System until the system is completed or December 31, 2026, whichever is earlier. In consideration of the exclusivity term, the Company, on August 14, 2023, issued 4.15 million common shares to Allseas. Allseas can terminate the agreement if the Company ceases normal operations, assigns assets to creditors, initiates bankruptcy proceedings, or faces unresolved bankruptcy-related actions.</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the Exclusive Vessel Use Agreement with Allseas is a lease agreement, classified as an operating lease. On August 1, 2023, the Company recorded a lease liability amounting to $6.5 million, which represents the fair value of 4.15 million common shares issued to Allseas on August 14, 2023, as consideration. The entire lease liability was settled within 14 days of the commencement of lease. On the date of the agreement, the Company recognized $6.5 million as a right-of-use asset, which represented the present value of the lease payments.</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ended March 31, 2024, the Company has recognized $0.5 million as lease expense recorded as exploration and evaluation expense.</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2024, the net amount of the right-of-use asset is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Right-of-use Asset</w:t>
            </w: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on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16"/>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expense during the period</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10"/>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March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Facility with Allseas Affiliate</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March 22, 2023, the Company entered into an Unsecured Credit Facility Agreement, which was amended on July 31, 2023 (“Credit Facility”), with Argentum Credit Virtuti GCV (the “Lender”), the parent of Allseas Investments S.A. and an affiliate of Allseas, pursuant to which, the Company may borrow from the Lender up to $25 million in the aggregate, from time to time, subject to certain conditions. All amounts drawn under the Credit Facility will bear interest based on the 6-month Secured Overnight Financing Rate, 180-day average plus a margin of 4.0% per annum payable in cash semi-annually (or plus 5% if paid-in-kind at maturity, at the Company’s election) on the first business day of each of June and January. The Company will pay an underutilization fee equal to 4.0% per annum payable semi-annually for any amounts that remain undrawn under the Credit Facility. The Company has the right to pre-pay the entire amount outstanding under the Credit Facility at any time before the Credit Facility’s maturity. The Company has the ability to settle certain charges under this Credit Facility in cash or in equity at the discretion of the Company. The Credit Facility also contains customary events of default. On March 22, 2024, the Company entered into the Second Amendment to the Unsecured Credit Facility with the Lender, the parent of Allseas Investments S.A. and an affiliate of Allseas, to extend the Credit Facility to August 31, 2025 and to provide that the underutilization fee thereunder shall cease to be payable after the date on which the Company or the Lender gives notice of termination of the agreement. Under the amended Credit Facility, the Company may borrow from the Lender up to $25,000,000 in the aggregate through August 31, 2025.</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has not drawn any amount from the Credit Facility and has incurred $0.2 million (three months ended March 31, 2023: $27 thousand) as underutilization fees.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March 31, 2024, the total amount payable to Allseas and its affiliates was $17.5 million (December 31, 2023: $13.8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March 31, 2024, Allseas and its affiliates owned 53.8 million TMC common shares (2023: 53.8 million TMC common shares)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which constituted 16.9% (December 31, 2023: 17.6%) of total common shares outstanding.</w:t>
      </w:r>
    </w:p>
    <w:p>
      <w:pPr>
        <w:spacing w:after="0" w:line="20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Low Carbon Royalties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2023 (the “Closing Date”), the Company and its wholly-owned subsidiary, NORI, entered into an investment agreement (the “Royalty Agreement”) with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Royalty Agreement, NORI contributed a 2% gross overriding royalty (the “NORI Royalty”) on the Company’s NORI project area in the CCZ in which NORI currently holds exclusive exploration rights for polymetallic nodules from the ISA to Low Carbon Royalties. The Company retained the right to repurchase up to 75% of the NORI Royalty at an agreed capped return, exercisable in two transactions, between the second and the tenth anniversaries of the Partnership. If both repurchase transactions are executed, the NORI Royalty will be reduced to 0.5%. At the Closing Date, Low Carbon Royalties also owned a 1.56% gross overriding royalty on a producing natural gas field in Latin America (the “LCR – owned Royalty”). In consideration of the NORI Royalty, TMC received 35.0% of the common shares issued by Low Carbon Royalties and $5 million in cash, as of the Closing Date.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w:t>
      </w:r>
    </w:p>
    <w:p>
      <w:pPr>
        <w:spacing w:after="0" w:line="19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of closing the Royalty Agreement, the parties entered into an agreement with Low Carbon Royalties to mitigate risks associated with the potential termination of the exploitation license granted for one of the royalty-producing natural gas fields in Latin America (the “Exploitation License”). As per the agreement, 5 million contingent value rights (“CVR”) were issued to NORI. The CVR would convert into 5 million additional shares of Low Carbon Royalties being issued to NORI, in the event the Exploitation License is found, in a final decision, to be invalid by the Colombian National Agency of Hydrocarbons prior to the earlier of (1) five years from the issuance of the CVR and (2) the date Low Carbon Royalties becomes a publicly listed entity.</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does not control Low Carbon Royalties (as per ASC 810), it does however exercise significant influence and therefore the equity method of accounting is applied (as per ASC 323).</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21, 2023, Low Carbon Royalties acquired additional gross overriding royalties on natural gas fields in Latin America, increasing its total gross overriding royalty on the existing first license block from 1.56% to 3.13% and acquiring a new gross overriding royalty of 1.44% on a second license block. The royalty acquisitions were financed through the issuance of Low Carbon Royalties common shares to the third-party vendor of such royalties, thereby reducing the Company’s ownership in the Partnership to 32% from 35%.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Based on the fair value of the NORI Royalty granted and the cash received, the Company recorded $9 million as investment in Low Carbon Royalties on the Closing Date. For the three months ended March 31, 2024, the Company’s share of the net loss generated by the Low Carbon Royalties was $78 thousand (share of net loss for three months ended March 31, 2023: $0.2 million).</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80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NORI Royalty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Investment on Closing Date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year ended 2023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as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r>
      <w:tr>
        <w:trPr>
          <w:trHeight w:val="21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period ended March 31, 2024</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as at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8,351</w:t>
            </w: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NORI Royalty was recorded as a royalty liability in the consolidated Balance Sheet in accordance with ASC 470, Debt (“ASC 470”). The Company elected to account for the royalty liability at fair value through profit and loss. The fair value was determined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The fair value of the royalty liability as at March 31, 2024, remained unchanged at $14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results of Low Carbon Royalties for the three months ended March 31, 2024 and March 31, 2023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3540" w:type="dxa"/>
            <w:vAlign w:val="bottom"/>
            <w:tcBorders>
              <w:bottom w:val="single" w:sz="8" w:color="CCEEFF"/>
            </w:tcBorders>
          </w:tcPr>
          <w:p>
            <w:pPr>
              <w:spacing w:after="0"/>
              <w:rPr>
                <w:sz w:val="17"/>
                <w:szCs w:val="17"/>
                <w:color w:val="auto"/>
              </w:rPr>
            </w:pPr>
          </w:p>
        </w:tc>
        <w:tc>
          <w:tcPr>
            <w:tcW w:w="3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34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Comprehensive Loss for the period</w:t>
            </w:r>
          </w:p>
        </w:tc>
        <w:tc>
          <w:tcPr>
            <w:tcW w:w="34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40" w:type="dxa"/>
            <w:vAlign w:val="bottom"/>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Studies</w:t>
            </w: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Exploration Labor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11)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Prefeasibility Studies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Exploration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Studies</w:t>
            </w: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Exploration Labor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Prefeasibility Studies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6,432</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Direct Offering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14, 2023, the Company entered into a securities purchase agreement with certain investors, pursuant to which the Company agreed to sell and issue, in a registered direct offering (the “Registered Direct Offering”) 12,461,540 common shares and issue Class A Warrants to purchase 6,230,770 common shares (“Class A Warrants) (Note 10). Each common share and accompanying Class A Warrant were sold at a price of $2.00 per unit. The exercise price to purchase one common share under the Class A warrants is $3.00, subject to adjustment as provided in the warrant agreement.</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2024, the Company received the remaining committed funding of $9 million (representing 4,500,000 common shares and 2,250,000 warrants) from an investor affiliated with the Company. The common shares and warrants were issued on January 31, 2024.</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2024, 12,461,540 common shares and Class A Warrants to purchase 6,230,770 common shares had been issued and the Company received gross proceeds amounting to $24.9 million. The Company incurred $1.3 million as offering expenses, resulting in net proceeds received of $23.6 million. Out of the total net proceeds received of $23.6 million, the net proceeds attributable to common shares were $18.9 million and the net proceeds attributable to Class A Warrants were $4.7 million.</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15,000,000 common share warrants as part of its predecessor’s initial public offering in May 2020 (“Public Warrants”) and 9,500,000 private placement common share warrants in a private placement simultaneously with the closing of its predecessor’s initial public offering (“Private Warrants”).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2024, 15,000,000 (March 31, 2023 - 15,000,000) Public Warrants were outstanding. Public Warrants may only be exercised for a whole number of shares.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2024, the value of outstanding Public Warrants of $19.5 million was recorded in additional paid in capital.</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2024, 9,500,000 (March 31, 2023 - 9,500,000) Private Warrants were outstanding.</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30-day trading period and historical volatility of the share price of the common shares.</w:t>
      </w:r>
    </w:p>
    <w:p>
      <w:pPr>
        <w:spacing w:after="0" w:line="183"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2024, the fair value of outstanding Private Warrants of $2.5 million is recorded as warrants liability. The following table presents the changes in the fair value of warrants liability: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2023</w:t>
            </w:r>
          </w:p>
        </w:tc>
        <w:tc>
          <w:tcPr>
            <w:tcW w:w="39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in fair value of warrants liability</w:t>
            </w:r>
          </w:p>
        </w:tc>
        <w:tc>
          <w:tcPr>
            <w:tcW w:w="39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March 31, 2024</w:t>
            </w:r>
          </w:p>
        </w:tc>
        <w:tc>
          <w:tcPr>
            <w:tcW w:w="39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94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Private Warrants was estimated using the following assumptions: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74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CCEEFF"/>
            </w:tcBorders>
          </w:tcPr>
          <w:p>
            <w:pPr>
              <w:spacing w:after="0"/>
              <w:rPr>
                <w:sz w:val="15"/>
                <w:szCs w:val="15"/>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103.00 %</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105.34 %</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years</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 years</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4.39 %</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3.98 %</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three-month period ended March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Warrants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January 31, 2024, the Company issued the remaining 2,250,000 Class A Warrants, after receiving the remaining committed funding from the Registered Direct Offering of $9 million (Notes 9 and 13). These Class A Warrants were valued on January 31, 2024 using a Monte Carlo simulation, at a fair value of $0.69 per warrant. The fair value of the Class A Warrants was estimated using the following assumptions: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458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price threshold</w:t>
            </w:r>
          </w:p>
        </w:tc>
        <w:tc>
          <w:tcPr>
            <w:tcW w:w="3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105.08 %</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3.89 %</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January 31, 2024, the Company recorded the fair value of the remaining 2,250,000 Class A warrants amounting to $1.6 million as additional paid in capital. As at March 31, 2024, the value recorded in additional paid in capital of all outstanding Class A Warrants was $4.8 million (December 31, 2023 - $3.2 million).</w:t>
      </w:r>
    </w:p>
    <w:p>
      <w:pPr>
        <w:spacing w:after="0" w:line="18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as of March 31, 2024, is 56,634,518 common shares, including 12,262,348 shares added to the Plan in January 2024 pursuant to the Plan’s automatic annual increase provision, provided that 2,243,853 of the outstanding common shares shall only be available for awards made to non-employee directors of the Company. On the first day of each fiscal year from 2022 to 2031, the number of common shares that may be issued pursuant to the Plan is automatically increased by an amount equal to the lesser of 4% of the number of outstanding common shares or an amount determined by the board of directors.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2024, there were 14,954,240 stock options outstanding under the Company’s Short-Term Incentive Plan (“STIP”) and 9,644,874 stock options outstanding under the Company’s Long-Term Incentive Plan (“LTIP”). The Company makes awards under the STIP and LTIP under its equity incentive plans in effect at the time of the award, which is currently the Plan.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continuity schedule summarizing the movements in the Company’s stock options under the STIP and LTIP plans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9"/>
        </w:trPr>
        <w:tc>
          <w:tcPr>
            <w:tcW w:w="702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r>
      <w:tr>
        <w:trPr>
          <w:trHeight w:val="148"/>
        </w:trPr>
        <w:tc>
          <w:tcPr>
            <w:tcW w:w="702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73"/>
        </w:trPr>
        <w:tc>
          <w:tcPr>
            <w:tcW w:w="702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under STIP</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under LTIP</w:t>
            </w: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15,356,340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9,783,922</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15,074,240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9,783,922</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(139,048)</w:t>
            </w:r>
          </w:p>
        </w:tc>
      </w:tr>
      <w:tr>
        <w:trPr>
          <w:trHeight w:val="216"/>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March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14,954,240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9,644,874</w:t>
            </w:r>
          </w:p>
        </w:tc>
      </w:tr>
    </w:tbl>
    <w:p>
      <w:pPr>
        <w:spacing w:after="0" w:line="200" w:lineRule="exact"/>
        <w:rPr>
          <w:sz w:val="20"/>
          <w:szCs w:val="20"/>
          <w:color w:val="auto"/>
        </w:rPr>
      </w:pPr>
    </w:p>
    <w:p>
      <w:pPr>
        <w:spacing w:after="0" w:line="21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$47 thousand of share-based compensation expense for stock options (issued under STIP plans) in the statement of loss and comprehensive loss (three months ended March 31, 2023: $0.2 million). For the three months ended March 31, 2024, a total of $14 thousand of this share-based compensation expense was related to exploration and evaluation activities (three months ended March 31, 2023 - $0.1 million). The amount of this share-based compensation expense recognized related to general and administrative matters for three months ended March 31, 2024, was $33 thousand (three months ended March 31, 2023 - $0.1 million).</w:t>
      </w:r>
    </w:p>
    <w:p>
      <w:pPr>
        <w:spacing w:after="0" w:line="1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reversed $0.6 million of previously recognized share-based compensation expense to record the forfeiture of unvested stock options (issued under LTIP plans) in the statement of loss and comprehensive loss (three months ended March 31, 2023: $nil) evenly apportioned between exploration and evaluation expenses (Note 8) and general and administration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On each vesting date, RSU holders are issued common shares equivalent to the number of RSUs held provided the holder is providing service to the Company on such vesting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RSU activity during the three months ended March 31, 2024 is presented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173"/>
        </w:trPr>
        <w:tc>
          <w:tcPr>
            <w:tcW w:w="3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8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10"/>
        </w:trPr>
        <w:tc>
          <w:tcPr>
            <w:tcW w:w="34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4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12,484,880</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10,962,024</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(226,054)</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(7,112,673)</w:t>
            </w:r>
          </w:p>
        </w:tc>
        <w:tc>
          <w:tcPr>
            <w:tcW w:w="5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2024</w:t>
            </w:r>
          </w:p>
        </w:tc>
        <w:tc>
          <w:tcPr>
            <w:tcW w:w="4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16,108,177</w:t>
            </w:r>
          </w:p>
        </w:tc>
        <w:tc>
          <w:tcPr>
            <w:tcW w:w="580" w:type="dxa"/>
            <w:vAlign w:val="bottom"/>
          </w:tcPr>
          <w:p>
            <w:pPr>
              <w:spacing w:after="0"/>
              <w:rPr>
                <w:sz w:val="18"/>
                <w:szCs w:val="18"/>
                <w:color w:val="auto"/>
              </w:rPr>
            </w:pPr>
          </w:p>
        </w:tc>
      </w:tr>
      <w:tr>
        <w:trPr>
          <w:trHeight w:val="857"/>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140" w:type="dxa"/>
            <w:vAlign w:val="bottom"/>
          </w:tcPr>
          <w:p>
            <w:pPr>
              <w:jc w:val="right"/>
              <w:ind w:right="289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61"/>
        </w:trPr>
        <w:tc>
          <w:tcPr>
            <w:tcW w:w="3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details of RSUs granted by the Company during the three months ended March 31, 2024 are as follows:</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24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55"/>
        </w:trPr>
        <w:tc>
          <w:tcPr>
            <w:tcW w:w="6740" w:type="dxa"/>
            <w:vAlign w:val="bottom"/>
            <w:tcBorders>
              <w:bottom w:val="single" w:sz="8" w:color="CCEEFF"/>
            </w:tcBorders>
            <w:gridSpan w:val="2"/>
            <w:vMerge w:val="continue"/>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Vesting Immediately</w:t>
            </w:r>
            <w:r>
              <w:rPr>
                <w:rFonts w:ascii="Times New Roman" w:cs="Times New Roman" w:eastAsia="Times New Roman" w:hAnsi="Times New Roman"/>
                <w:sz w:val="24"/>
                <w:szCs w:val="24"/>
                <w:color w:val="auto"/>
                <w:vertAlign w:val="superscript"/>
              </w:rPr>
              <w:t>(1)(2)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3,800,435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3,237,710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fully on the first anniversary of the grant date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Vesting in thirds on each anniversary of the grant date</w:t>
            </w:r>
            <w:r>
              <w:rPr>
                <w:rFonts w:ascii="Times New Roman" w:cs="Times New Roman" w:eastAsia="Times New Roman" w:hAnsi="Times New Roman"/>
                <w:sz w:val="25"/>
                <w:szCs w:val="25"/>
                <w:color w:val="auto"/>
                <w:vertAlign w:val="superscript"/>
              </w:rPr>
              <w:t>(3)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7,144,348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8,683,486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in fourths on each anniversary of the grant date</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343,750</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Units Granted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10,962,024</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12,264,946</w:t>
            </w:r>
          </w:p>
        </w:tc>
        <w:tc>
          <w:tcPr>
            <w:tcW w:w="0" w:type="dxa"/>
            <w:vAlign w:val="bottom"/>
          </w:tcPr>
          <w:p>
            <w:pPr>
              <w:spacing w:after="0"/>
              <w:rPr>
                <w:sz w:val="1"/>
                <w:szCs w:val="1"/>
                <w:color w:val="auto"/>
              </w:rPr>
            </w:pPr>
          </w:p>
        </w:tc>
      </w:tr>
      <w:tr>
        <w:trPr>
          <w:trHeight w:val="102"/>
        </w:trPr>
        <w:tc>
          <w:tcPr>
            <w:tcW w:w="24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3,800,435 RSUs vesting immediately on grant date, 2,812,802 RSUs were issued to settle liabilities with a carrying amount of $4.1 million, at a weighted average grant date fair value of $1.44 per RSU.</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Company granted 46,333 RSUs to consultants (three months ended March 31, 2023: 23,438 RSUs) resulting in $84 thousand, charged as general and administrative expenses for the three months ended March 31, 2024 (three months ended March 31, 2023: $23 thousand of general and administrative expenses). During the three months ended March 31, 2024, the Company also granted 27,323 RSUs to consultants as a prepayment for their services (three months ended March 31, 2023: nil).</w:t>
      </w:r>
    </w:p>
    <w:p>
      <w:pPr>
        <w:spacing w:after="0" w:line="183" w:lineRule="exact"/>
        <w:rPr>
          <w:rFonts w:ascii="Times New Roman" w:cs="Times New Roman" w:eastAsia="Times New Roman" w:hAnsi="Times New Roman"/>
          <w:sz w:val="18"/>
          <w:szCs w:val="18"/>
          <w:color w:val="auto"/>
        </w:rPr>
      </w:pPr>
    </w:p>
    <w:p>
      <w:pPr>
        <w:ind w:left="720" w:right="20" w:hanging="334"/>
        <w:spacing w:after="0" w:line="282" w:lineRule="auto"/>
        <w:tabs>
          <w:tab w:leader="none" w:pos="7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Company granted 7,144,348 RSUs, as payment for the 2023 LTIP awards (three months ended March 31, 2023: 8,645,465 RSUs were issued as payment for the 2022 LTIP awards).</w:t>
      </w:r>
    </w:p>
    <w:p>
      <w:pPr>
        <w:spacing w:after="0" w:line="16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8"/>
          <w:szCs w:val="18"/>
          <w:color w:val="auto"/>
        </w:rPr>
        <w:t>The grant date fair value of RSUs is equivalent to the closing share price of the Company’s common shares on the date of grant. During the three months ended March 31, 2024, a total of $3.2 million was charged to the statement of loss and comprehensive loss as share-based compensation expense for RSUs (three months ended March 31, 2023: $1.6 million). Share-based compensation expense for RSUs totaling $2 million related to general and administration matters was charged to the statement of loss and comprehensive loss for the three months ended March 31, 2024 (three months ended March 31, 2023: $0.7 million). The Company recorded a total of $1.2 million of share-based compensation expense for RSUs related to exploration and evaluation activities for the three months ended March 31, 2024 (three months ended March 31, 2023: $0.9 million). As at March 31, 2024, total unrecognized share-based compensation expense for RSUs was $14.8 million (December 31, 2023 - $6.9 million).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at March 31, 2024, an aggregate of 402,922 vested RSUs were being processed and due to be converted into common shares.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On May 31, 2022, TMC’s 2021 Employee Stock Purchase Plan (“ESPP”) was approved at the Company’s 2022 annual shareholders meeting. As of March 31, 2024, there were 10,998,032 common shares reserved for issuance under the ESPP. This included 3,065,587 shares added to the ESPP in January 2024 pursuant to the ESPP’s automatic annual increase provision.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8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a total of $18 thousand (three months ended March 31, 2023: $19 thousand) was charged to the statement of loss and comprehensive loss as share-based compensation expense, representing the share price purchase discount offered by the Company. From the amount charged during the three months ended March 31, 2024, $9 thousand was recorded in exploration and evaluation expenses (three months ended March 31,2023: $7 thousand) and $9 thousand was recorded in general and administrative expenses (three months ended March 31,2023: $12 thousand).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Anti-dilutive equivalent common shares were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w:t>
            </w:r>
          </w:p>
        </w:tc>
      </w:tr>
      <w:tr>
        <w:trPr>
          <w:trHeight w:val="148"/>
        </w:trPr>
        <w:tc>
          <w:tcPr>
            <w:tcW w:w="670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48"/>
        </w:trPr>
        <w:tc>
          <w:tcPr>
            <w:tcW w:w="6700" w:type="dxa"/>
            <w:vAlign w:val="bottom"/>
          </w:tcPr>
          <w:p>
            <w:pPr>
              <w:spacing w:after="0"/>
              <w:rPr>
                <w:sz w:val="12"/>
                <w:szCs w:val="12"/>
                <w:color w:val="auto"/>
              </w:rPr>
            </w:pPr>
          </w:p>
        </w:tc>
        <w:tc>
          <w:tcPr>
            <w:tcW w:w="12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7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24,599,114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25,140,262</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16,108,177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13,123,935</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under ESPP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68,333</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30,730,770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36,078,620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207,706,821</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210,651,114</w:t>
            </w:r>
          </w:p>
        </w:tc>
      </w:tr>
    </w:tbl>
    <w:p>
      <w:pPr>
        <w:spacing w:after="0" w:line="20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DeepGreen Engineering Pte. Ltd., is engaged in a consulting agreement with SSCS Pte. Ltd. (“SSCS”) to manage offshore engineering studies. A director of DGE is employed through SSCS. Consulting services during the three months ended March 31, 2024 totaled $25 thousand, (three months ended March 31, 2023: $69 thousand), out of which a total $18 thousand (2023: $55 thousand), is disclosed as exploration labor within exploration and evaluation expenses (Note 8) and $7 thousand is disclosed as general and administrative expenses (2023: $14 thousand). As at March 31, 2024, the amount payable to SSCS was $8 thousand (December 31, 2023 - $17 thousand).</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three months ended March 31, 2024 amounted to $50 thousand (2023: $94 thousand), out of which $23 thousand (2023: $42 thousand:), is disclosed as exploration labor within exploration and evaluation expenses (Note 8) and $27 thousand is disclosed as general and administrative expenses (2023: $52 thousand). As at March 31, 2024, the amount payable to Ocean Renaissance was $25 thousand (December 31, 2023- $25 thousand).</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2024, as part of the Registered Direct Offering (Note 9), the Company received the remaining committed funding of $9 million from ERAS Capital LLC, the investment fund of one of the Company’s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March 22, 2024, the Company entered into an Unsecured Credit Facility (the “2024 Credit Facility”) with Gerard Barron, the Company’s Chief Executive Officer and Chairman, and ERAS Capital LLC, the family fund of one of the Company’s director, (collectively, the “2024 Lenders”), pursuant to which, the Company may borrow from the 2024 Lenders up to $20,000,000 in the aggregate ( $10,000,000 from each of the 2024 Lenders), from time to time, subject to certain conditions. All amounts drawn under the 2024 Credit Facility will bear interest at the 6-month Secured Overnight Funding Rate (SOFR), 180-day average plus 4.0% per annum payable in cash semi - annually (or plus 5% if paid - in - kind at maturity, at our election) on the first business day of each of June and January. The Company will pay an underutilization fee equal to 4.0% per annum payable semi-annually for any amounts that remain undrawn under the 2024 Credit Facility. The Company has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the Company or any of its subsidiaries raise at least $50,000,000 in the aggregate (i) through the issuance of any of the Company’s or its subsidiaries’ debt or equity securities, or (ii) in prepayments under an off-take agreement or similar commercial agreement. During the three months ended March 31, 2024, the Company had not drawn any amount from the 2024 Credit Facility and had incurred $22 thousand as underutilization fees, which would be payable only in the event the 2024 Credit Facility is not drawn down upon at the time such fees are payable. As of May 13, 2024, the Company drew $2.9 million from the 2024 Credit Facility.</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Apart from the above-mentioned transactions, the Company had transactions with Allseas which are detailed in Note 6.</w:t>
      </w:r>
    </w:p>
    <w:p>
      <w:pPr>
        <w:spacing w:after="0" w:line="221" w:lineRule="exact"/>
        <w:rPr>
          <w:sz w:val="20"/>
          <w:szCs w:val="20"/>
          <w:color w:val="auto"/>
        </w:rPr>
      </w:pPr>
    </w:p>
    <w:p>
      <w:pPr>
        <w:ind w:left="340" w:right="7920" w:hanging="332"/>
        <w:spacing w:after="0" w:line="532" w:lineRule="auto"/>
        <w:tabs>
          <w:tab w:leader="none" w:pos="3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Contingent Liabilities </w:t>
      </w:r>
      <w:r>
        <w:rPr>
          <w:rFonts w:ascii="Times New Roman" w:cs="Times New Roman" w:eastAsia="Times New Roman" w:hAnsi="Times New Roman"/>
          <w:sz w:val="17"/>
          <w:szCs w:val="17"/>
          <w:b w:val="1"/>
          <w:bCs w:val="1"/>
          <w:i w:val="1"/>
          <w:iCs w:val="1"/>
          <w:color w:val="auto"/>
        </w:rPr>
        <w:t>Contingent Liability</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October 28, 2021, a shareholder filed a putative class action against the Company, one of the Company’s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The Company denies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the Company or the other defendants will be successful in its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January 23, 2023, certain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its motion to dismiss the breach of the Subscription Agreement claim. There is no assurance that the Company will be successful in its defense of this lawsuit or that insurance will be available or adequate to fund any settlement or judgment or the litigation costs of this action. Such losses or range of possible losses cannot be reliably estimated.</w:t>
      </w:r>
    </w:p>
    <w:p>
      <w:pPr>
        <w:spacing w:after="0" w:line="183"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2023 contained in our 2023 Annual Report on Form 10-K. This discussion contains forward looking statements and involves numerous risks and uncertainties, including, but not limited to, those described in “Risk Factors” in Item 1A of Part I of the 2023 Annual Report on Form 10-K, as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months ended March 31, 2024 and 2023, respectively, present the financial position and results of operations of TMC the metals company Inc.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1,500 miles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renewable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seafloor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three of the 17 polymetallic nodule contract areas in the CCZ; two based on ISA exploration contracts through our subsidiaries Nauru Ocean Resources Inc. (“NORI”) and Tonga Offshore Mining Limited (“TOML”), sponsored by the Republic of Nauru (“Nauru”) and the Kingdom of Tonga (“Tonga”), respectively, and exclusive commercial rights through our subsidiary, DeepGreen Engineering Pte. Ltd.’s (“DGE”), and its arrangement with Marawa Research and Exploration Limited (“Marawa”), a company owned and sponsored by the Republic of Kiribati (“Kiribati”).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developed and tested a pilot collection system, which is expected to be modified into the first commercial production system and (ii) Glencore which holds offtake rights to 50% of the NORI nickel and copper production. In addition, we have worked with an engineering firm Hatch Ltd. (Hatch) and consultants Kingston Process Metallurgy Inc. (KPM) to develop a near-zero solid waste flowsheet.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After several months of pre-feasibility work in 2022 on the possibility of building a processing facility in India for Project Zero, we decided to adopt a capital-light approach and focus on sourcing an existing processing facility requiring lower capital expenditures and which we believe may offer a lower risk solution to get Project Zero into production. In November 2022, we entered into a non-binding Memorandum of Understanding (“MoU”) with Pacific Metals Co Ltd (PAMCO) of Japan pursuant to which PAMCO completed prefeasibility work assessing the prospect of processing nodules using their existing facilities. In November 2023, we entered into a binding MoU with PAMCO whereby they must complete a feasibility study (expected to be completed during the fourth quarter of 2024) to toll treat 1.3 million tonnes of wet polymetallic nodules per year at its Hachinohe, Japan smelting facility expected to start in the second quarter of 2026, provided we obtain an exploitation contract from the ISA as expected. The toll treatment is intended to take place on a dedicated Rotary Kiln Electric Arc Furnace (RKEF) processing line and produce two products: nickel-copper-cobalt alloy, an intermediate product used as feedstock to produce Li-ion battery cathodes, and a manganese silicate product used to make silico-manganese alloy, a critical input into steel manufacturing. We expect this partnership to progress to a definitive tolling agreement before the end of 2024, subject to successful evaluation study outcomes and agreement to mutually acceptable commercial terms. There can be no assurance that we will enter into such definitive strategic alliance in a particular time period, or at all, or on terms similar to those set forth in the binding MoU, or that if such definitive tolling agreement is entered into by us or that the existing facility will be able to successfully process nodules in a particular time period, or at all.</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currently focused on preparing our application to the ISA for our first exploitation contract for the NORI Area D contract area following the July 2024 meetings of the ISA.</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commence production offshore at the end of the first quarter of 2026, assuming an ISA application review and approval process of approximately one year.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alloy or matte product and/or end-products like nickel and cobalt sulfates, and copper cathode.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In addition, we do not have the applicable environmental and other permits required to build and/or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First Quarter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some of the major developments that occurred in the first quarter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Credit Facility with Allseas Affiliate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22, 2024, we entered into the Second Amendment to the Unsecured Credit Facility with Argentum Credit Virtuti GCV (the Lender), the parent of Allseas Investments S.A. and an affiliate of Allseas, to further extend the Credit Facility to August 31, 2025 and to provide that the underutilization fee thereunder shall cease to be payable after the date on which we or the Lender gives notice of termination of the agreement (as amended by this amendment and the July 2023 amendment, the “Credit Facility”). Under the Credit Facility, we may borrow from the Lender up to $25,000,000 in the aggregate through August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ERAS Capital LLC and Gerard Barron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 As of May 13, 2024, the Company drew $2.9 million from the 2024 Credit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ISA Consolidated Draft Regulations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2024, the ISA published a consolidated set of draft regulations for the first time, harmonizing and cleaning up the text thereof. The 225-page text is comprehensive and signals the next phase in the negotiations to finalize the regulations. Part 1 of the ISA’s 29th Session took place between March 18-29, 2024. During the Session, the ISA Council commenced negotiations on the new consolidated text and identified a number of issues for negotiation inter-sessionally.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Responsible Use of Seafloor Resources Act (RUSRA)</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March 2024, legislation was introduced in the U.S. House of Representatives calling for the U.S. to “support international governance of seafloor resource exploration and responsible polymetallic nodule collection by allied partners”, and to “provide financial, diplomatic, or other forms of support for seafloor nodule collection, processing and refining.”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World-First Production of Nickel Sulfate from Deep-Seafloor Polymetallic Nodules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2024, we announced that we had successfully produced the world’s first nickel sulfate derived exclusively from seafloor polymetallic nodules during pilot-scale nodule processing. In partnership with SGS Canada Inc, the testing was undertaken on samples of nickel-cobalt-copper matte produced by TMC in 2021 using the Company’s efficient flowsheet to process high-grade nickel matte directly to nickel sulfate without making nickel metal, while producing fertilizer byproducts instead of solid waste or tailings.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Extensive Submission of Deep-Sea Environmental Data to the ISA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2024, we announced that our subsidiary NORI had made a second submission of key environmental data from all prior environmental baseline campaigns conducted in the NORI-D exploration area up to January 2022 to DeepData, an open database of contractor data managed by the ISA. The submission of this batch of data includes an extensive set of geochemical and biological samples from across the water column.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Steve Jurvetson Joins TMC’s Board of Directors as Vice Chairman and Special Advisor to the CEO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2024, renowned Silicon Valley investor Steve Jurvetson joined our board of directors as Vice Chairman and special advisor to the CEO. Mr. Jurvetson is an investor focused on founder-led, mission-driven companies at the cutting edge of disruptive technology and new industry formation. His investments include pioneering technology companies like Tesla, Planet Labs, SpaceX and Commonwealth Fusion Systems, and represent over $800 billion in aggregate value creation.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7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covering 74,830 square 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in our 2023 Annual Report on Form 10-K.</w:t>
      </w:r>
    </w:p>
    <w:p>
      <w:pPr>
        <w:spacing w:after="0" w:line="185"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 74,713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in our 2023 Annual Report on Form 10-K.</w:t>
      </w:r>
    </w:p>
    <w:p>
      <w:pPr>
        <w:spacing w:after="0" w:line="18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 exclusive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exploration rights to an area covering 74,990 square kilometers in the CCZ (the “Marawa Contract Area”). The exploration contract between Marawa and the ISA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the 2023 Annual Report on Form 10-K, as further updated and/or supplemented in subsequent filings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$25.2 million for the three months ended March 31, 2024, compared to a net loss of $13.7 million in the same period of 2023. We have an accumulated deficit of approximately $574.1 million from inception through March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2026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gain or loss for the periods reported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our 9,500,000 Private Warrants, which is re-measured at the end of each reporting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months ended March 31, 2024 and 2023. Our accounting policies are described in Note 3 “Significant Accounting Policies” in our financial statements filed as part of the 2023 Annual Report on Form 10-K.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unaudited condensed consolidated interim financial statement for the three months ended March 31, 2023 have been revised to correct prior period errors as discussed in Note 22 “Quarterly Financial Data (Unaudited) Restatement of Previously Issued Financial Statements” to the consolidated financial statement included in Part II, Item 8 of our 2023 Annual Report on Form 10-K. Accordingly, the Management’s Discussion and Analysis of Financial Condition and Results of Operations reflects the effects of the revisions.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as noted)</w:t>
            </w: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7"/>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interest on credit facility</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904 %</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6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approximately $25.2 million in the first quarter of 2024, compared to a net loss of $13.7 million in the same period of 2023. The following explains the major reasons for the increase in the net loss in the first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March 31, 2024 were $18.1 million, compared to $7.2 million for the same period in 2023. The increase of $10.9 million was primarily due to an increase in mining, technological and process development of $10.5 million due to increased engineering work and expenses incurred on the transportation of nodules to PAMCO’s facility in Japan, and higher personnel costs. This was partially offset by a decrease in environmental studies as the cost for Campaign 8 which commenced in the fourth quarter of 2023 was completed in the first quarter of 2024 and was lower than the cost of the environmental work in the first quarter of 2023 following the completion of the NORI integrated collector test.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G&amp;A expenses for the three months ended March 31, 2024 were $6.6 million compared to $6.2 million for the same period in 2023. The increase of $0.4 million is due to higher amortization of share-based compensation and higher consulting fees, offset by lower legal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Private Warrants. The charge recorded in both years reflects the increase in the market price of our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financing have come from private placements and public offerings of Common Shares and warrants, the issuance of convertible debentures and from credit facilities. As of March 31, 2024, we had cash on hand of $4.0 million.</w:t>
      </w:r>
    </w:p>
    <w:p>
      <w:pPr>
        <w:sectPr>
          <w:pgSz w:w="11900" w:h="16838" w:orient="portrait"/>
          <w:cols w:equalWidth="0" w:num="1">
            <w:col w:w="9920"/>
          </w:cols>
          <w:pgMar w:left="980" w:top="675"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or provisional approvals. While we have obtained financing in the past, there is no assurance that such financing will continue to be available on favorable terms, in sufficient amounts, or at all.</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credit facility with Allseas and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16, 2022, we filed a registration statement on Form S-3 with the SEC, which the SEC declared effective on October 14, 2022, to sell up to $100 million of securities, which includes the $30 million that may be sold under the At-the-Market Equity Distribution Agreement discussed below and the Common Shares and shares underlying the Class A Warrants issued in the Registered Direct Offering.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In April 2024, we sold 1,607,821 Common Shares pursuant to the Sales Agreement for gross proceeds of $2.6 million ($2.5 million net of fees and commissions).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22, 2023, we entered into a Credit Facility with Argentum Credit Virtuti GCV, the parent of Allseas Investments S.A. and an affiliate of Allseas, which was amended on July 31, 2023 and March 22, 2024, pursuant to which, we may borrow from the Lender up to $25 million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August 31, 2025. The Credit Facility also contains customary events of default. As of the date of this Quarterly Report on Form 10-Q, no amounts have been drawn under this Credit Facility.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for a Registered Direct Offering of our Common Shares and Class A Warrants, the final closing of which occurred on January 31, 2024. The purchase price for each Common Share and Class A Warrant to purchase 0.5 Common Shares was $2.00 per unit. The exercise price to purchase one Common Share under the Class A Warrants is $3.00, subject to adjustment as provided in the warrant agreement. The aggregate gross proceeds from the Registered Direct Offering were approximately $24.9 million, before deducting fees payable to financial advisors and other estimated offering expenses payable by the Company ($23.6 million net of fees).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 As of May 13, 2024, the Company drew $2.9 million from the 2024 Credit Facility.</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In addition, the exercise price to purchase one Common Share under the outstanding Class A Warrants is $3.00 (subject to customary adjustments) and there can be no assurance that such warrants will be exercised prior to their expiration, and as such, such warrants may expire, and we will not receive any proceeds from the excise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48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(340)</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provided by financing activities</w:t>
            </w:r>
          </w:p>
        </w:tc>
        <w:tc>
          <w:tcPr>
            <w:tcW w:w="2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w:t>
            </w:r>
          </w:p>
        </w:tc>
        <w:tc>
          <w:tcPr>
            <w:tcW w:w="2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2024 and March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major operating activities over this period involved Campaign 8, as well as advanced work on engineering and pre-feasibility studies as we advance towards our application to the ISA for an exploitation contract and prepare for potential future commercial production. Net cash used in operating activities in the first quarter of 2024, amounted to $11.8 million, and consisted mainly of $6.7 million on various environmental work, $2.1 million on personnel costs, $0.8 million for sponsorship,</w:t>
      </w:r>
    </w:p>
    <w:p>
      <w:pPr>
        <w:sectPr>
          <w:pgSz w:w="11900" w:h="16838" w:orient="portrait"/>
          <w:cols w:equalWidth="0" w:num="1">
            <w:col w:w="9920"/>
          </w:cols>
          <w:pgMar w:left="980" w:top="675"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training and stakeholder engagement support, $0.6 million spent on engineering and pre-feasibility studies, $0.4 million on legal costs, and additional payments of $1.4 million for various expenses.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2023, operating activities focused mainly on the continuation of environmental work following the completion of the NORI integrated collector test, as well as progressing on engineering work and pre-feasibility studies on the project. Net cash used in operating activities in the first quarter of 2023, amounted to $23.5 million, and consisted mainly of $17.0 million on various environmental work, $2.7 million on personnel costs, $1.4 million on legal costs, $0.8 million for sponsorship, training, and stakeholder engagement support, $0.4 million spent on engineering and pre-feasibility studies, and additional payments of $1.2 million for various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was $0.3 million for the purchase of equipment and software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$9.0 million, representing the net proceeds received from the Registered Direct Offering announced in August 2023, while the 2023 first quarter results represent the cash received of $5 million on closing of our investment in Low Carbon Royalties.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this five-year plan. The cost of NORI’s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DGE’s Marawa’s Exploration Contract, Marawa last submitted periodic review report to the ISA included a proposed work plan and estimated budget for the 2020-2024 five-year period. The five-year estimated expenditure is indicative and subject to change, Marawa will review the program regularly and Marawa will inform the ISA of any changes through its annual reports. To date, limited offshore marine resource definition activities in the Marawa Contract Area have occurred. We are collaborating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Both TOML and NORI require sponsorship from their host sponsoring nations, Tonga and Nauru, respectively. Each company has been registered and incorporated within the applicable host nation’s jurisdiction. The ISA requires that a contractor must obtain and</w:t>
      </w:r>
    </w:p>
    <w:p>
      <w:pPr>
        <w:sectPr>
          <w:pgSz w:w="11900" w:h="16838" w:orient="portrait"/>
          <w:cols w:equalWidth="0" w:num="1">
            <w:col w:w="9920"/>
          </w:cols>
          <w:pgMar w:left="980" w:top="675"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 assuming our future operations are ultimately profitable.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 assuming our future operations are ultimately profitable.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with expected production readiness in the first quarter of 2026.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Nodule Collection System production targets, system design and cost estimates and intend to enter into a binding Heads of Terms by the end of 2024. The parties expect to further detail their relationship in a single definitive agreement using Work Planning and Budgeting procedure to allow for flexibility as the Allseas and NORI project team complete system engineering, upgrades and start commercial production.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Gem</w:t>
      </w:r>
      <w:r>
        <w:rPr>
          <w:rFonts w:ascii="Times New Roman" w:cs="Times New Roman" w:eastAsia="Times New Roman" w:hAnsi="Times New Roman"/>
          <w:sz w:val="18"/>
          <w:szCs w:val="18"/>
          <w:color w:val="auto"/>
        </w:rPr>
        <w:t>, another Samsung 10000, with the potential for an additional production rate of three million tonnes of wet nodules per year.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no assurances, however, that we will enter into a definitive agreement with Allseas contemplated by the non-binding term sheet in a particular time period, or at all, or on terms similar to those set forth in the non-binding term sheet, or that if such a definitive agreement is entered into by us that the proposed commercial systems and second production vessel will be successfully developed or operated in a particular time period, or at all.</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March 31, 2024,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w:t>
      </w:r>
    </w:p>
    <w:p>
      <w:pPr>
        <w:sectPr>
          <w:pgSz w:w="11900" w:h="16838" w:orient="portrait"/>
          <w:cols w:equalWidth="0" w:num="1">
            <w:col w:w="9920"/>
          </w:cols>
          <w:pgMar w:left="980" w:top="675"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of the warrant that was granted to Allseas in March 2021, and receipt of the exercise fee of $115.8 thousand. The warrant vested and became exercisable on successful completion of the PMTS in November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2023, we entered into an Exclusive Vessel Use Agreement with Allseas pursuant to which Allseas will give us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Allseas Affiliate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described above, on March 22, 2023, we entered into the Credit Facility with Argentum Credit Virtuti GCV, an affiliate of Allseas, under which we may borrow up to $25 million pursuant to the terms and conditions of the Credit Facility, which as amended has a maturity date of August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ERAS Capital LLC and Gerard Barron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described above, on March 22, 2024, we entered into the 2024 Credit Facility with ERAS Capital LLC and Gerard Barron under which we may borrow up to $20 million pursuant to the terms and conditions of the 2024 Credit Facility through its maturity on September 22, 2025. As of May 13, 2024, the Company drew $2.9 million from the 2024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condensed consolidated interim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2023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w:t>
      </w:r>
    </w:p>
    <w:p>
      <w:pPr>
        <w:sectPr>
          <w:pgSz w:w="11900" w:h="16838" w:orient="portrait"/>
          <w:cols w:equalWidth="0" w:num="1">
            <w:col w:w="9920"/>
          </w:cols>
          <w:pgMar w:left="980" w:top="67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 and comply with the requirements that apply to non-emerging growth companies, and any such election to not take advantage of the extended transition period is irrevocable.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2024 fiscal year and we expect to continue to take advantage of the benefits of the extended transition period at least through the end of the 2024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ectPr>
          <w:pgSz w:w="11900" w:h="16838" w:orient="portrait"/>
          <w:cols w:equalWidth="0" w:num="1">
            <w:col w:w="9920"/>
          </w:cols>
          <w:pgMar w:left="980" w:top="675"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March 31, 2024.</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inflation and foreign currency translation, commodity pricing risks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March 31, 2024, as a result of a material weakness in our internal control over financial reporting as described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in our 2023 Annual Report on Form 10-K, management identified a material weakness in the operating effectiveness of our internal controls over the accounting for significant non-routine transactions that resulted from the inadequate and untimely involvement of stakeholders and technical advisors with an appropriate level of expertise to account for a non-routine, unusual and complex transaction.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material weakness resulted in errors in the financial statements and related disclosures in our Quarterly Reports on Form 10-Q for the quarter ended March 31, 2023, and for the six months ended June 30, 2023 and nine months ended September 30, 2023. See Note 22 to the audited consolidated financial statements for the year ended December 31, 2023, included in our 2023 Annual Report on form 10-K for more information about these errors and our revisions to these previously issued financial statements in our financial statements as of and for the year ended December 31, 2023 as included in the 2023 Annual report on Form 10-K.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remediate this material weakness, we are in the process of developing and rolling out training on processes and controls related to non-routine transactions and evaluating the circumstances under which we use technical advisors in connections with evaluating non-routine transactions. We are also considering engaging the assistance of additional third-party resources as deemed appropriate to assist management in its remediation efforts.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internal controls over significant non-routine transactions need to be in operation and tested for sufficient instances to be considered effective. Consequently, the controls for non-routine transactions remain ineffective as of March 31,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our material weakness, we have concluded that our unaudited condensed consolidated interim financial statements included in this Quarterly Report on Form 10-Q fairly present in all material respects our financial condition, results of operations and cash flows for the periods presented in conformity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in our internal control over financial reporting identified in connection with the evaluation of such internal controls that occurred during the first quarter ended March 31,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w:t>
      </w:r>
    </w:p>
    <w:p>
      <w:pPr>
        <w:sectPr>
          <w:pgSz w:w="11900" w:h="16838" w:orient="portrait"/>
          <w:cols w:equalWidth="0" w:num="1">
            <w:col w:w="9920"/>
          </w:cols>
          <w:pgMar w:left="980" w:top="675"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20, 2021, we commenced litigation in the New York Supreme Court, New York County against two investors who failed to fund their PIPE commitments in connection with the closing of the Business Combination.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That motion is pending. There can be no assurances, however, that we will be successful in our efforts against these investors.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28, 2021, a shareholder filed a putative class action against us, one of our executive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 A resolution of this lawsuit adverse to us or the other defendants, however, could have a material effect on our financial position and results of operations in the period in which the lawsuit is resolved.</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Sustainable Opportunities Acquisition Corp. (“SOAC”). The Company is continuing to cooperate with the investigation and respond voluntarily to the SEC’s requests.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that could materially affect our business, consolidated financial condition or results of operations set forth under Item 1A. Risk Factors in our 2023 Annual Report on Form 10-K. There have been no material changes from or additions to the risk factors disclosed in our 2023 Annual Report on Form 10-K. We may disclose changes to risk factors or additional factors from time to time in our future filings with the SEC.</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2024, we issued 4,500,000 common shares and 2,250,000 Class A Warrants to ERAS Capital LLC, the family fund of our director, Andrei Karkar, after receiving the remaining committed funding from the Registered Direct Offering of $9 million. The common share and accompanying Class A Warrant to purchase 0.5 of a common share were sold at a price of $2.00. The exercise price of the Class A Warrants is $3.00, subject to adjustment as provided in the warrant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three months ended March 31, 2024.</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b w:val="1"/>
          <w:bCs w:val="1"/>
          <w:color w:val="auto"/>
        </w:rPr>
        <w:t>Incorporated by</w:t>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b w:val="1"/>
          <w:bCs w:val="1"/>
          <w:color w:val="auto"/>
        </w:rPr>
        <w:t>Reference Herein</w:t>
      </w:r>
    </w:p>
    <w:p>
      <w:pPr>
        <w:spacing w:after="0" w:line="19" w:lineRule="exact"/>
        <w:rPr>
          <w:sz w:val="20"/>
          <w:szCs w:val="20"/>
          <w:color w:val="auto"/>
        </w:rPr>
      </w:pPr>
    </w:p>
    <w:p>
      <w:pPr>
        <w:spacing w:after="0"/>
        <w:tabs>
          <w:tab w:leader="none" w:pos="6440" w:val="left"/>
          <w:tab w:leader="none" w:pos="8780" w:val="left"/>
        </w:tabs>
        <w:rPr>
          <w:sz w:val="20"/>
          <w:szCs w:val="20"/>
          <w:color w:val="auto"/>
        </w:rPr>
      </w:pP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6"/>
          <w:szCs w:val="16"/>
          <w:b w:val="1"/>
          <w:bCs w:val="1"/>
          <w:color w:val="auto"/>
        </w:rPr>
        <w:t>from</w:t>
      </w:r>
      <w:r>
        <w:rPr>
          <w:sz w:val="20"/>
          <w:szCs w:val="20"/>
          <w:color w:val="auto"/>
        </w:rPr>
        <w:tab/>
      </w:r>
      <w:r>
        <w:rPr>
          <w:rFonts w:ascii="Times New Roman" w:cs="Times New Roman" w:eastAsia="Times New Roman" w:hAnsi="Times New Roman"/>
          <w:sz w:val="16"/>
          <w:szCs w:val="16"/>
          <w:b w:val="1"/>
          <w:bCs w:val="1"/>
          <w:color w:val="auto"/>
        </w:rPr>
        <w:t>SEC File/ Reg.</w:t>
      </w:r>
    </w:p>
    <w:p>
      <w:pPr>
        <w:spacing w:after="0" w:line="19" w:lineRule="exact"/>
        <w:rPr>
          <w:sz w:val="20"/>
          <w:szCs w:val="20"/>
          <w:color w:val="auto"/>
        </w:rPr>
      </w:pPr>
    </w:p>
    <w:p>
      <w:pPr>
        <w:spacing w:after="0"/>
        <w:tabs>
          <w:tab w:leader="none" w:pos="1920" w:val="left"/>
          <w:tab w:leader="none" w:pos="4480" w:val="left"/>
          <w:tab w:leader="none" w:pos="6020" w:val="left"/>
          <w:tab w:leader="none" w:pos="7660" w:val="left"/>
          <w:tab w:leader="none" w:pos="900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Exhibit Description</w:t>
      </w:r>
      <w:r>
        <w:rPr>
          <w:sz w:val="20"/>
          <w:szCs w:val="20"/>
          <w:color w:val="auto"/>
        </w:rPr>
        <w:tab/>
      </w:r>
      <w:r>
        <w:rPr>
          <w:rFonts w:ascii="Times New Roman" w:cs="Times New Roman" w:eastAsia="Times New Roman" w:hAnsi="Times New Roman"/>
          <w:sz w:val="16"/>
          <w:szCs w:val="16"/>
          <w:b w:val="1"/>
          <w:bCs w:val="1"/>
          <w:color w:val="auto"/>
        </w:rPr>
        <w:t>Filed Herewith</w:t>
      </w:r>
      <w:r>
        <w:rPr>
          <w:sz w:val="20"/>
          <w:szCs w:val="20"/>
          <w:color w:val="auto"/>
        </w:rPr>
        <w:tab/>
      </w:r>
      <w:r>
        <w:rPr>
          <w:rFonts w:ascii="Times New Roman" w:cs="Times New Roman" w:eastAsia="Times New Roman" w:hAnsi="Times New Roman"/>
          <w:sz w:val="16"/>
          <w:szCs w:val="16"/>
          <w:b w:val="1"/>
          <w:bCs w:val="1"/>
          <w:color w:val="auto"/>
        </w:rPr>
        <w:t>Form or Schedule</w:t>
      </w:r>
      <w:r>
        <w:rPr>
          <w:sz w:val="20"/>
          <w:szCs w:val="20"/>
          <w:color w:val="auto"/>
        </w:rPr>
        <w:tab/>
      </w:r>
      <w:r>
        <w:rPr>
          <w:rFonts w:ascii="Times New Roman" w:cs="Times New Roman" w:eastAsia="Times New Roman" w:hAnsi="Times New Roman"/>
          <w:sz w:val="16"/>
          <w:szCs w:val="16"/>
          <w:b w:val="1"/>
          <w:bCs w:val="1"/>
          <w:color w:val="auto"/>
        </w:rPr>
        <w:t>Filing Date</w:t>
      </w:r>
      <w:r>
        <w:rPr>
          <w:sz w:val="20"/>
          <w:szCs w:val="20"/>
          <w:color w:val="auto"/>
        </w:rPr>
        <w:tab/>
      </w:r>
      <w:r>
        <w:rPr>
          <w:rFonts w:ascii="Times New Roman" w:cs="Times New Roman" w:eastAsia="Times New Roman" w:hAnsi="Times New Roman"/>
          <w:sz w:val="16"/>
          <w:szCs w:val="16"/>
          <w:b w:val="1"/>
          <w:bCs w:val="1"/>
          <w:color w:val="auto"/>
        </w:rPr>
        <w:t>Number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Borders>
              <w:top w:val="single" w:sz="8" w:color="auto"/>
              <w:right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5"/>
              </w:rPr>
              <w:t>10.1</w:t>
            </w: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auto"/>
            </w:tcBorders>
            <w:gridSpan w:val="19"/>
            <w:shd w:val="clear" w:color="auto" w:fill="CCEEFF"/>
          </w:tcPr>
          <w:p>
            <w:pPr>
              <w:spacing w:after="0" w:line="175"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Second Amendment to the Unsecured Credit</w:t>
              </w:r>
            </w:hyperlink>
          </w:p>
        </w:tc>
        <w:tc>
          <w:tcPr>
            <w:tcW w:w="1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Form 10-K</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w w:val="98"/>
              </w:rPr>
              <w:t>03/25/2024</w:t>
            </w: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399"/>
              <w:spacing w:after="0" w:line="175" w:lineRule="exact"/>
              <w:rPr>
                <w:sz w:val="20"/>
                <w:szCs w:val="20"/>
                <w:color w:val="auto"/>
              </w:rPr>
            </w:pPr>
            <w:r>
              <w:rPr>
                <w:rFonts w:ascii="Times New Roman" w:cs="Times New Roman" w:eastAsia="Times New Roman" w:hAnsi="Times New Roman"/>
                <w:sz w:val="16"/>
                <w:szCs w:val="16"/>
                <w:color w:val="auto"/>
                <w:w w:val="98"/>
              </w:rPr>
              <w:t>001-39281</w:t>
            </w:r>
          </w:p>
        </w:tc>
      </w:tr>
      <w:tr>
        <w:trPr>
          <w:trHeight w:val="196"/>
        </w:trPr>
        <w:tc>
          <w:tcPr>
            <w:tcW w:w="2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780" w:type="dxa"/>
            <w:vAlign w:val="bottom"/>
            <w:tcBorders>
              <w:top w:val="single" w:sz="8" w:color="0000EE"/>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Facility, dated March 22, 2024, by and</w:t>
              </w:r>
            </w:hyperlink>
          </w:p>
        </w:tc>
        <w:tc>
          <w:tcPr>
            <w:tcW w:w="44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CCEEFF"/>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(Exhibit 10.33)</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2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between TMC the metals company Inc. and</w:t>
              </w:r>
            </w:hyperlink>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7"/>
        </w:trPr>
        <w:tc>
          <w:tcPr>
            <w:tcW w:w="2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Argentum Credit Virtuti GCV</w:t>
              </w:r>
            </w:hyperlink>
          </w:p>
        </w:tc>
        <w:tc>
          <w:tcPr>
            <w:tcW w:w="98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8"/>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62"/>
        </w:trPr>
        <w:tc>
          <w:tcPr>
            <w:tcW w:w="9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10.2†</w:t>
            </w:r>
          </w:p>
        </w:tc>
        <w:tc>
          <w:tcPr>
            <w:tcW w:w="3480" w:type="dxa"/>
            <w:vAlign w:val="bottom"/>
            <w:gridSpan w:val="20"/>
          </w:tcPr>
          <w:p>
            <w:pPr>
              <w:spacing w:after="0" w:line="162" w:lineRule="exact"/>
              <w:rPr>
                <w:rFonts w:ascii="Times New Roman" w:cs="Times New Roman" w:eastAsia="Times New Roman" w:hAnsi="Times New Roman"/>
                <w:sz w:val="16"/>
                <w:szCs w:val="16"/>
                <w:color w:val="0000EE"/>
              </w:rPr>
            </w:pPr>
            <w:hyperlink r:id="rId49">
              <w:r>
                <w:rPr>
                  <w:rFonts w:ascii="Times New Roman" w:cs="Times New Roman" w:eastAsia="Times New Roman" w:hAnsi="Times New Roman"/>
                  <w:sz w:val="16"/>
                  <w:szCs w:val="16"/>
                  <w:color w:val="0000EE"/>
                </w:rPr>
                <w:t>Unsecured Credit Facility, dated March 22, 2024,</w:t>
              </w:r>
            </w:hyperlink>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Form 10-K</w:t>
            </w:r>
          </w:p>
        </w:tc>
        <w:tc>
          <w:tcPr>
            <w:tcW w:w="1000" w:type="dxa"/>
            <w:vAlign w:val="bottom"/>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w w:val="98"/>
              </w:rPr>
              <w:t>03/25/2024</w:t>
            </w:r>
          </w:p>
        </w:tc>
        <w:tc>
          <w:tcPr>
            <w:tcW w:w="160" w:type="dxa"/>
            <w:vAlign w:val="bottom"/>
          </w:tcPr>
          <w:p>
            <w:pPr>
              <w:spacing w:after="0"/>
              <w:rPr>
                <w:sz w:val="14"/>
                <w:szCs w:val="14"/>
                <w:color w:val="auto"/>
              </w:rPr>
            </w:pPr>
          </w:p>
        </w:tc>
        <w:tc>
          <w:tcPr>
            <w:tcW w:w="1180" w:type="dxa"/>
            <w:vAlign w:val="bottom"/>
          </w:tcPr>
          <w:p>
            <w:pPr>
              <w:jc w:val="right"/>
              <w:ind w:right="399"/>
              <w:spacing w:after="0" w:line="162" w:lineRule="exact"/>
              <w:rPr>
                <w:sz w:val="20"/>
                <w:szCs w:val="20"/>
                <w:color w:val="auto"/>
              </w:rPr>
            </w:pPr>
            <w:r>
              <w:rPr>
                <w:rFonts w:ascii="Times New Roman" w:cs="Times New Roman" w:eastAsia="Times New Roman" w:hAnsi="Times New Roman"/>
                <w:sz w:val="16"/>
                <w:szCs w:val="16"/>
                <w:color w:val="auto"/>
                <w:w w:val="98"/>
              </w:rPr>
              <w:t>001-39281</w:t>
            </w:r>
          </w:p>
        </w:tc>
      </w:tr>
      <w:tr>
        <w:trPr>
          <w:trHeight w:val="183"/>
        </w:trPr>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9"/>
          </w:tcPr>
          <w:p>
            <w:pPr>
              <w:spacing w:after="0" w:line="183" w:lineRule="exact"/>
              <w:rPr>
                <w:rFonts w:ascii="Times New Roman" w:cs="Times New Roman" w:eastAsia="Times New Roman" w:hAnsi="Times New Roman"/>
                <w:sz w:val="16"/>
                <w:szCs w:val="16"/>
                <w:color w:val="0000EE"/>
              </w:rPr>
            </w:pPr>
            <w:hyperlink r:id="rId49">
              <w:r>
                <w:rPr>
                  <w:rFonts w:ascii="Times New Roman" w:cs="Times New Roman" w:eastAsia="Times New Roman" w:hAnsi="Times New Roman"/>
                  <w:sz w:val="16"/>
                  <w:szCs w:val="16"/>
                  <w:color w:val="0000EE"/>
                </w:rPr>
                <w:t>by and among TMC the metals company Inc.,</w:t>
              </w:r>
            </w:hyperlink>
          </w:p>
        </w:tc>
        <w:tc>
          <w:tcPr>
            <w:tcW w:w="220" w:type="dxa"/>
            <w:vAlign w:val="bottom"/>
            <w:tcBorders>
              <w:top w:val="single" w:sz="8" w:color="0000EE"/>
            </w:tcBorders>
            <w:gridSpan w:val="5"/>
          </w:tcPr>
          <w:p>
            <w:pPr>
              <w:spacing w:after="0"/>
              <w:rPr>
                <w:sz w:val="15"/>
                <w:szCs w:val="15"/>
                <w:color w:val="auto"/>
              </w:rPr>
            </w:pPr>
          </w:p>
        </w:tc>
        <w:tc>
          <w:tcPr>
            <w:tcW w:w="280" w:type="dxa"/>
            <w:vAlign w:val="bottom"/>
            <w:gridSpan w:val="6"/>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jc w:val="center"/>
              <w:ind w:right="140"/>
              <w:spacing w:after="0" w:line="183" w:lineRule="exact"/>
              <w:rPr>
                <w:sz w:val="20"/>
                <w:szCs w:val="20"/>
                <w:color w:val="auto"/>
              </w:rPr>
            </w:pPr>
            <w:r>
              <w:rPr>
                <w:rFonts w:ascii="Times New Roman" w:cs="Times New Roman" w:eastAsia="Times New Roman" w:hAnsi="Times New Roman"/>
                <w:sz w:val="16"/>
                <w:szCs w:val="16"/>
                <w:color w:val="auto"/>
              </w:rPr>
              <w:t>(Exhibit 10.34)</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80" w:type="dxa"/>
            <w:vAlign w:val="bottom"/>
            <w:gridSpan w:val="20"/>
          </w:tcPr>
          <w:p>
            <w:pPr>
              <w:spacing w:after="0" w:line="183" w:lineRule="exact"/>
              <w:rPr>
                <w:rFonts w:ascii="Times New Roman" w:cs="Times New Roman" w:eastAsia="Times New Roman" w:hAnsi="Times New Roman"/>
                <w:sz w:val="16"/>
                <w:szCs w:val="16"/>
                <w:color w:val="0000EE"/>
              </w:rPr>
            </w:pPr>
            <w:hyperlink r:id="rId49">
              <w:r>
                <w:rPr>
                  <w:rFonts w:ascii="Times New Roman" w:cs="Times New Roman" w:eastAsia="Times New Roman" w:hAnsi="Times New Roman"/>
                  <w:sz w:val="16"/>
                  <w:szCs w:val="16"/>
                  <w:color w:val="0000EE"/>
                </w:rPr>
                <w:t>Gerard Barron and ERAS Capital LLC</w:t>
              </w:r>
            </w:hyperlink>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2"/>
        </w:trPr>
        <w:tc>
          <w:tcPr>
            <w:tcW w:w="76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10.3+</w:t>
            </w:r>
          </w:p>
        </w:tc>
        <w:tc>
          <w:tcPr>
            <w:tcW w:w="200" w:type="dxa"/>
            <w:vAlign w:val="bottom"/>
            <w:tcBorders>
              <w:bottom w:val="single" w:sz="8" w:color="CCEEFF"/>
            </w:tcBorders>
            <w:shd w:val="clear" w:color="auto" w:fill="CCEEFF"/>
          </w:tcPr>
          <w:p>
            <w:pPr>
              <w:spacing w:after="0"/>
              <w:rPr>
                <w:sz w:val="14"/>
                <w:szCs w:val="14"/>
                <w:color w:val="auto"/>
              </w:rPr>
            </w:pPr>
          </w:p>
        </w:tc>
        <w:tc>
          <w:tcPr>
            <w:tcW w:w="3300" w:type="dxa"/>
            <w:vAlign w:val="bottom"/>
            <w:tcBorders>
              <w:bottom w:val="single" w:sz="8" w:color="0000EE"/>
            </w:tcBorders>
            <w:gridSpan w:val="18"/>
            <w:shd w:val="clear" w:color="auto" w:fill="CCEEFF"/>
          </w:tcPr>
          <w:p>
            <w:pPr>
              <w:spacing w:after="0" w:line="162" w:lineRule="exact"/>
              <w:rPr>
                <w:rFonts w:ascii="Times New Roman" w:cs="Times New Roman" w:eastAsia="Times New Roman" w:hAnsi="Times New Roman"/>
                <w:sz w:val="16"/>
                <w:szCs w:val="16"/>
                <w:color w:val="0000EE"/>
              </w:rPr>
            </w:pPr>
            <w:hyperlink r:id="rId50">
              <w:r>
                <w:rPr>
                  <w:rFonts w:ascii="Times New Roman" w:cs="Times New Roman" w:eastAsia="Times New Roman" w:hAnsi="Times New Roman"/>
                  <w:sz w:val="16"/>
                  <w:szCs w:val="16"/>
                  <w:color w:val="0000EE"/>
                </w:rPr>
                <w:t>Consulting Agreement, dated April 9, 2024 by and</w:t>
              </w:r>
            </w:hyperlink>
          </w:p>
        </w:tc>
        <w:tc>
          <w:tcPr>
            <w:tcW w:w="180" w:type="dxa"/>
            <w:vAlign w:val="bottom"/>
            <w:tcBorders>
              <w:bottom w:val="single" w:sz="8" w:color="CCEEFF"/>
            </w:tcBorders>
            <w:gridSpan w:val="2"/>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Form 8-K</w:t>
            </w:r>
          </w:p>
        </w:tc>
        <w:tc>
          <w:tcPr>
            <w:tcW w:w="1000" w:type="dxa"/>
            <w:vAlign w:val="bottom"/>
            <w:tcBorders>
              <w:bottom w:val="single" w:sz="8" w:color="CCEEFF"/>
            </w:tcBorders>
            <w:shd w:val="clear" w:color="auto" w:fill="CCEEFF"/>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w w:val="98"/>
              </w:rPr>
              <w:t>04/11/2024</w:t>
            </w:r>
          </w:p>
        </w:tc>
        <w:tc>
          <w:tcPr>
            <w:tcW w:w="1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399"/>
              <w:spacing w:after="0" w:line="162" w:lineRule="exact"/>
              <w:rPr>
                <w:sz w:val="20"/>
                <w:szCs w:val="20"/>
                <w:color w:val="auto"/>
              </w:rPr>
            </w:pPr>
            <w:r>
              <w:rPr>
                <w:rFonts w:ascii="Times New Roman" w:cs="Times New Roman" w:eastAsia="Times New Roman" w:hAnsi="Times New Roman"/>
                <w:sz w:val="16"/>
                <w:szCs w:val="16"/>
                <w:color w:val="auto"/>
                <w:w w:val="98"/>
              </w:rPr>
              <w:t>001-39281</w:t>
            </w:r>
          </w:p>
        </w:tc>
      </w:tr>
      <w:tr>
        <w:trPr>
          <w:trHeight w:val="183"/>
        </w:trPr>
        <w:tc>
          <w:tcPr>
            <w:tcW w:w="2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8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EE"/>
              </w:rPr>
            </w:pPr>
            <w:hyperlink r:id="rId50">
              <w:r>
                <w:rPr>
                  <w:rFonts w:ascii="Times New Roman" w:cs="Times New Roman" w:eastAsia="Times New Roman" w:hAnsi="Times New Roman"/>
                  <w:sz w:val="16"/>
                  <w:szCs w:val="16"/>
                  <w:color w:val="0000EE"/>
                </w:rPr>
                <w:t>between TMC the metals company Inc. and Steve</w:t>
              </w:r>
            </w:hyperlink>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60"/>
              <w:spacing w:after="0" w:line="183" w:lineRule="exact"/>
              <w:rPr>
                <w:sz w:val="20"/>
                <w:szCs w:val="20"/>
                <w:color w:val="auto"/>
              </w:rPr>
            </w:pPr>
            <w:r>
              <w:rPr>
                <w:rFonts w:ascii="Times New Roman" w:cs="Times New Roman" w:eastAsia="Times New Roman" w:hAnsi="Times New Roman"/>
                <w:sz w:val="16"/>
                <w:szCs w:val="16"/>
                <w:color w:val="auto"/>
              </w:rPr>
              <w:t>(Exhibit 10.1)</w:t>
            </w: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3"/>
        </w:trPr>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0000EE"/>
            </w:tcBorders>
            <w:gridSpan w:val="15"/>
            <w:shd w:val="clear" w:color="auto" w:fill="CCEEFF"/>
          </w:tcPr>
          <w:p>
            <w:pPr>
              <w:spacing w:after="0" w:line="183" w:lineRule="exact"/>
              <w:rPr>
                <w:rFonts w:ascii="Times New Roman" w:cs="Times New Roman" w:eastAsia="Times New Roman" w:hAnsi="Times New Roman"/>
                <w:sz w:val="16"/>
                <w:szCs w:val="16"/>
                <w:color w:val="0000EE"/>
              </w:rPr>
            </w:pPr>
            <w:hyperlink r:id="rId50">
              <w:r>
                <w:rPr>
                  <w:rFonts w:ascii="Times New Roman" w:cs="Times New Roman" w:eastAsia="Times New Roman" w:hAnsi="Times New Roman"/>
                  <w:sz w:val="16"/>
                  <w:szCs w:val="16"/>
                  <w:color w:val="0000EE"/>
                </w:rPr>
                <w:t>Jurvetson</w:t>
              </w:r>
            </w:hyperlink>
          </w:p>
        </w:tc>
        <w:tc>
          <w:tcPr>
            <w:tcW w:w="260" w:type="dxa"/>
            <w:vAlign w:val="bottom"/>
            <w:tcBorders>
              <w:top w:val="single" w:sz="8" w:color="CCEEFF"/>
            </w:tcBorders>
            <w:gridSpan w:val="5"/>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203"/>
        </w:trPr>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r>
      <w:tr>
        <w:trPr>
          <w:trHeight w:val="162"/>
        </w:trPr>
        <w:tc>
          <w:tcPr>
            <w:tcW w:w="76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10.4+</w:t>
            </w:r>
          </w:p>
        </w:tc>
        <w:tc>
          <w:tcPr>
            <w:tcW w:w="200" w:type="dxa"/>
            <w:vAlign w:val="bottom"/>
            <w:tcBorders>
              <w:bottom w:val="single" w:sz="8" w:color="CCEEFF"/>
            </w:tcBorders>
            <w:shd w:val="clear" w:color="auto" w:fill="CCEEFF"/>
          </w:tcPr>
          <w:p>
            <w:pPr>
              <w:spacing w:after="0"/>
              <w:rPr>
                <w:sz w:val="14"/>
                <w:szCs w:val="14"/>
                <w:color w:val="auto"/>
              </w:rPr>
            </w:pPr>
          </w:p>
        </w:tc>
        <w:tc>
          <w:tcPr>
            <w:tcW w:w="3280" w:type="dxa"/>
            <w:vAlign w:val="bottom"/>
            <w:tcBorders>
              <w:bottom w:val="single" w:sz="8" w:color="0000EE"/>
            </w:tcBorders>
            <w:gridSpan w:val="17"/>
            <w:shd w:val="clear" w:color="auto" w:fill="CCEEFF"/>
          </w:tcPr>
          <w:p>
            <w:pPr>
              <w:spacing w:after="0" w:line="162" w:lineRule="exact"/>
              <w:rPr>
                <w:rFonts w:ascii="Times New Roman" w:cs="Times New Roman" w:eastAsia="Times New Roman" w:hAnsi="Times New Roman"/>
                <w:sz w:val="16"/>
                <w:szCs w:val="16"/>
                <w:color w:val="0000EE"/>
              </w:rPr>
            </w:pPr>
            <w:hyperlink r:id="rId51">
              <w:r>
                <w:rPr>
                  <w:rFonts w:ascii="Times New Roman" w:cs="Times New Roman" w:eastAsia="Times New Roman" w:hAnsi="Times New Roman"/>
                  <w:sz w:val="16"/>
                  <w:szCs w:val="16"/>
                  <w:color w:val="0000EE"/>
                </w:rPr>
                <w:t>Employment Agreement, dated April 16, 2024, by</w:t>
              </w:r>
            </w:hyperlink>
          </w:p>
        </w:tc>
        <w:tc>
          <w:tcPr>
            <w:tcW w:w="200" w:type="dxa"/>
            <w:vAlign w:val="bottom"/>
            <w:tcBorders>
              <w:bottom w:val="single" w:sz="8" w:color="CCEEFF"/>
            </w:tcBorders>
            <w:gridSpan w:val="3"/>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Form 8-K</w:t>
            </w:r>
          </w:p>
        </w:tc>
        <w:tc>
          <w:tcPr>
            <w:tcW w:w="1000" w:type="dxa"/>
            <w:vAlign w:val="bottom"/>
            <w:tcBorders>
              <w:bottom w:val="single" w:sz="8" w:color="CCEEFF"/>
            </w:tcBorders>
            <w:shd w:val="clear" w:color="auto" w:fill="CCEEFF"/>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w w:val="98"/>
              </w:rPr>
              <w:t>04/18/2024</w:t>
            </w:r>
          </w:p>
        </w:tc>
        <w:tc>
          <w:tcPr>
            <w:tcW w:w="1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399"/>
              <w:spacing w:after="0" w:line="162" w:lineRule="exact"/>
              <w:rPr>
                <w:sz w:val="20"/>
                <w:szCs w:val="20"/>
                <w:color w:val="auto"/>
              </w:rPr>
            </w:pPr>
            <w:r>
              <w:rPr>
                <w:rFonts w:ascii="Times New Roman" w:cs="Times New Roman" w:eastAsia="Times New Roman" w:hAnsi="Times New Roman"/>
                <w:sz w:val="16"/>
                <w:szCs w:val="16"/>
                <w:color w:val="auto"/>
                <w:w w:val="98"/>
              </w:rPr>
              <w:t>001-39281</w:t>
            </w:r>
          </w:p>
        </w:tc>
      </w:tr>
      <w:tr>
        <w:trPr>
          <w:trHeight w:val="183"/>
        </w:trPr>
        <w:tc>
          <w:tcPr>
            <w:tcW w:w="2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8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EE"/>
              </w:rPr>
            </w:pPr>
            <w:hyperlink r:id="rId51">
              <w:r>
                <w:rPr>
                  <w:rFonts w:ascii="Times New Roman" w:cs="Times New Roman" w:eastAsia="Times New Roman" w:hAnsi="Times New Roman"/>
                  <w:sz w:val="16"/>
                  <w:szCs w:val="16"/>
                  <w:color w:val="0000EE"/>
                </w:rPr>
                <w:t>and between TMC the metals company Inc. and</w:t>
              </w:r>
            </w:hyperlink>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60"/>
              <w:spacing w:after="0" w:line="183" w:lineRule="exact"/>
              <w:rPr>
                <w:sz w:val="20"/>
                <w:szCs w:val="20"/>
                <w:color w:val="auto"/>
              </w:rPr>
            </w:pPr>
            <w:r>
              <w:rPr>
                <w:rFonts w:ascii="Times New Roman" w:cs="Times New Roman" w:eastAsia="Times New Roman" w:hAnsi="Times New Roman"/>
                <w:sz w:val="16"/>
                <w:szCs w:val="16"/>
                <w:color w:val="auto"/>
              </w:rPr>
              <w:t>(Exhibit 10.1)</w:t>
            </w: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3"/>
        </w:trPr>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0000EE"/>
            </w:tcBorders>
            <w:gridSpan w:val="11"/>
            <w:shd w:val="clear" w:color="auto" w:fill="CCEEFF"/>
          </w:tcPr>
          <w:p>
            <w:pPr>
              <w:spacing w:after="0" w:line="183" w:lineRule="exact"/>
              <w:rPr>
                <w:rFonts w:ascii="Times New Roman" w:cs="Times New Roman" w:eastAsia="Times New Roman" w:hAnsi="Times New Roman"/>
                <w:sz w:val="16"/>
                <w:szCs w:val="16"/>
                <w:color w:val="0000EE"/>
              </w:rPr>
            </w:pPr>
            <w:hyperlink r:id="rId51">
              <w:r>
                <w:rPr>
                  <w:rFonts w:ascii="Times New Roman" w:cs="Times New Roman" w:eastAsia="Times New Roman" w:hAnsi="Times New Roman"/>
                  <w:sz w:val="16"/>
                  <w:szCs w:val="16"/>
                  <w:color w:val="0000EE"/>
                </w:rPr>
                <w:t>Gerard Barron</w:t>
              </w:r>
            </w:hyperlink>
          </w:p>
        </w:tc>
        <w:tc>
          <w:tcPr>
            <w:tcW w:w="380" w:type="dxa"/>
            <w:vAlign w:val="bottom"/>
            <w:tcBorders>
              <w:top w:val="single" w:sz="8" w:color="CCEEFF"/>
            </w:tcBorders>
            <w:gridSpan w:val="9"/>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203"/>
        </w:trPr>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r>
      <w:tr>
        <w:trPr>
          <w:trHeight w:val="162"/>
        </w:trPr>
        <w:tc>
          <w:tcPr>
            <w:tcW w:w="28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w w:val="85"/>
              </w:rPr>
              <w:t>31.</w:t>
            </w:r>
            <w:r>
              <w:rPr>
                <w:rFonts w:ascii="Times New Roman" w:cs="Times New Roman" w:eastAsia="Times New Roman" w:hAnsi="Times New Roman"/>
                <w:sz w:val="16"/>
                <w:szCs w:val="16"/>
                <w:u w:val="single" w:color="auto"/>
                <w:color w:val="0000EE"/>
                <w:w w:val="85"/>
              </w:rPr>
              <w:t>1</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80" w:type="dxa"/>
            <w:vAlign w:val="bottom"/>
            <w:gridSpan w:val="20"/>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Certification of the Principal Executive Officer</w:t>
            </w:r>
          </w:p>
        </w:tc>
        <w:tc>
          <w:tcPr>
            <w:tcW w:w="3120" w:type="dxa"/>
            <w:vAlign w:val="bottom"/>
            <w:gridSpan w:val="4"/>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X</w:t>
            </w: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r>
        <w:trPr>
          <w:trHeight w:val="183"/>
        </w:trPr>
        <w:tc>
          <w:tcPr>
            <w:tcW w:w="28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300" w:type="dxa"/>
            <w:vAlign w:val="bottom"/>
            <w:tcBorders>
              <w:bottom w:val="single" w:sz="8" w:color="0000EE"/>
            </w:tcBorders>
            <w:gridSpan w:val="18"/>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 Sarbanes-Oxley Act</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203"/>
        </w:trPr>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w w:val="97"/>
              </w:rPr>
              <w:t>of 2002</w:t>
            </w:r>
          </w:p>
        </w:tc>
        <w:tc>
          <w:tcPr>
            <w:tcW w:w="2980" w:type="dxa"/>
            <w:vAlign w:val="bottom"/>
            <w:tcBorders>
              <w:bottom w:val="single" w:sz="8" w:color="CCEEFF"/>
            </w:tcBorders>
            <w:gridSpan w:val="1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62"/>
        </w:trPr>
        <w:tc>
          <w:tcPr>
            <w:tcW w:w="2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0000EE"/>
                <w:w w:val="85"/>
              </w:rPr>
              <w:t>31.</w:t>
            </w:r>
            <w:r>
              <w:rPr>
                <w:rFonts w:ascii="Times New Roman" w:cs="Times New Roman" w:eastAsia="Times New Roman" w:hAnsi="Times New Roman"/>
                <w:sz w:val="16"/>
                <w:szCs w:val="16"/>
                <w:u w:val="single" w:color="auto"/>
                <w:color w:val="0000EE"/>
                <w:w w:val="85"/>
              </w:rPr>
              <w:t>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20"/>
          </w:tcPr>
          <w:p>
            <w:pPr>
              <w:spacing w:after="0" w:line="162" w:lineRule="exact"/>
              <w:rPr>
                <w:sz w:val="20"/>
                <w:szCs w:val="20"/>
                <w:color w:val="auto"/>
              </w:rPr>
            </w:pPr>
            <w:r>
              <w:rPr>
                <w:rFonts w:ascii="Times New Roman" w:cs="Times New Roman" w:eastAsia="Times New Roman" w:hAnsi="Times New Roman"/>
                <w:sz w:val="16"/>
                <w:szCs w:val="16"/>
                <w:color w:val="0000EE"/>
              </w:rPr>
              <w:t>Certification of the Principal Financial Officer</w:t>
            </w:r>
          </w:p>
        </w:tc>
        <w:tc>
          <w:tcPr>
            <w:tcW w:w="3120" w:type="dxa"/>
            <w:vAlign w:val="bottom"/>
            <w:gridSpan w:val="4"/>
          </w:tcPr>
          <w:p>
            <w:pPr>
              <w:ind w:left="520"/>
              <w:spacing w:after="0" w:line="162" w:lineRule="exact"/>
              <w:rPr>
                <w:sz w:val="20"/>
                <w:szCs w:val="20"/>
                <w:color w:val="auto"/>
              </w:rPr>
            </w:pPr>
            <w:r>
              <w:rPr>
                <w:rFonts w:ascii="Times New Roman" w:cs="Times New Roman" w:eastAsia="Times New Roman" w:hAnsi="Times New Roman"/>
                <w:sz w:val="16"/>
                <w:szCs w:val="16"/>
                <w:color w:val="auto"/>
              </w:rPr>
              <w:t>X</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2"/>
        </w:trPr>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tcBorders>
              <w:bottom w:val="single" w:sz="8" w:color="0000EE"/>
            </w:tcBorders>
            <w:gridSpan w:val="18"/>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 Sarbanes-Oxley Act</w:t>
            </w:r>
          </w:p>
        </w:tc>
        <w:tc>
          <w:tcPr>
            <w:tcW w:w="18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EE"/>
              </w:rPr>
              <w:t>of 2002</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2"/>
        </w:trPr>
        <w:tc>
          <w:tcPr>
            <w:tcW w:w="28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w w:val="99"/>
              </w:rPr>
              <w:t>32*</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80" w:type="dxa"/>
            <w:vAlign w:val="bottom"/>
            <w:gridSpan w:val="20"/>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Certifications of the Chief Executive Officer and</w:t>
            </w:r>
          </w:p>
        </w:tc>
        <w:tc>
          <w:tcPr>
            <w:tcW w:w="3120" w:type="dxa"/>
            <w:vAlign w:val="bottom"/>
            <w:gridSpan w:val="4"/>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X</w:t>
            </w: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0"/>
        </w:trPr>
        <w:tc>
          <w:tcPr>
            <w:tcW w:w="280" w:type="dxa"/>
            <w:vAlign w:val="bottom"/>
            <w:tcBorders>
              <w:right w:val="single" w:sz="8" w:color="CCEEFF"/>
            </w:tcBorders>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20" w:type="dxa"/>
            <w:vAlign w:val="bottom"/>
            <w:gridSpan w:val="4"/>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r>
        <w:trPr>
          <w:trHeight w:val="183"/>
        </w:trPr>
        <w:tc>
          <w:tcPr>
            <w:tcW w:w="28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60" w:type="dxa"/>
            <w:vAlign w:val="bottom"/>
            <w:tcBorders>
              <w:bottom w:val="single" w:sz="8" w:color="0000EE"/>
            </w:tcBorders>
            <w:gridSpan w:val="16"/>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Chief Financial Officer pursuant to Section 906 of</w:t>
            </w:r>
          </w:p>
        </w:tc>
        <w:tc>
          <w:tcPr>
            <w:tcW w:w="220" w:type="dxa"/>
            <w:vAlign w:val="bottom"/>
            <w:tcBorders>
              <w:bottom w:val="single" w:sz="8" w:color="CCEEFF"/>
            </w:tcBorders>
            <w:gridSpan w:val="4"/>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83"/>
        </w:trPr>
        <w:tc>
          <w:tcPr>
            <w:tcW w:w="2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80" w:type="dxa"/>
            <w:vAlign w:val="bottom"/>
            <w:gridSpan w:val="20"/>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
        </w:trPr>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34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w:t>
            </w:r>
          </w:p>
        </w:tc>
        <w:tc>
          <w:tcPr>
            <w:tcW w:w="312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X</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document does not appear in the Interactive Data</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File because its XBRL tags are embedded within</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3"/>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the Inline XBRL document)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2"/>
        </w:trPr>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34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31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X</w:t>
            </w: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2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Document</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9"/>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34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w:t>
            </w:r>
          </w:p>
        </w:tc>
        <w:tc>
          <w:tcPr>
            <w:tcW w:w="312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X</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3"/>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Linkbase Document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2"/>
        </w:trPr>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34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w:t>
            </w:r>
          </w:p>
        </w:tc>
        <w:tc>
          <w:tcPr>
            <w:tcW w:w="31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X</w:t>
            </w: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2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Linkbase Document</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9"/>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34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312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X</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3"/>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Document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2"/>
        </w:trPr>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104</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w:t>
            </w:r>
          </w:p>
        </w:tc>
        <w:tc>
          <w:tcPr>
            <w:tcW w:w="31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X</w:t>
            </w: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2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08"/>
        </w:trPr>
        <w:tc>
          <w:tcPr>
            <w:tcW w:w="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r>
    </w:tbl>
    <w:p>
      <w:pPr>
        <w:spacing w:after="0" w:line="76" w:lineRule="exact"/>
        <w:rPr>
          <w:sz w:val="20"/>
          <w:szCs w:val="20"/>
          <w:color w:val="auto"/>
        </w:rPr>
      </w:pPr>
    </w:p>
    <w:p>
      <w:pPr>
        <w:ind w:firstLine="8"/>
        <w:spacing w:after="0" w:line="282" w:lineRule="auto"/>
        <w:tabs>
          <w:tab w:leader="none" w:pos="1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both"/>
        <w:ind w:firstLine="8"/>
        <w:spacing w:after="0" w:line="261" w:lineRule="auto"/>
        <w:tabs>
          <w:tab w:leader="none" w:pos="1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66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2024</w:t>
            </w:r>
          </w:p>
        </w:tc>
        <w:tc>
          <w:tcPr>
            <w:tcW w:w="66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191"/>
        </w:trPr>
        <w:tc>
          <w:tcPr>
            <w:tcW w:w="3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2024</w:t>
            </w:r>
          </w:p>
        </w:tc>
        <w:tc>
          <w:tcPr>
            <w:tcW w:w="66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Craig Shesky</w:t>
            </w:r>
          </w:p>
        </w:tc>
      </w:tr>
      <w:tr>
        <w:trPr>
          <w:trHeight w:val="191"/>
        </w:trPr>
        <w:tc>
          <w:tcPr>
            <w:tcW w:w="3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Barron, certify that:</w:t>
      </w:r>
    </w:p>
    <w:p>
      <w:pPr>
        <w:spacing w:after="0" w:line="225" w:lineRule="exact"/>
        <w:rPr>
          <w:sz w:val="20"/>
          <w:szCs w:val="20"/>
          <w:color w:val="auto"/>
        </w:rPr>
      </w:pPr>
    </w:p>
    <w:p>
      <w:pPr>
        <w:ind w:left="840" w:hanging="184"/>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9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82" w:lineRule="auto"/>
        <w:tabs>
          <w:tab w:leader="none" w:pos="9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Barron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Chief Executive Officer </w:t>
      </w: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Shesky, certify that:</w:t>
      </w:r>
    </w:p>
    <w:p>
      <w:pPr>
        <w:spacing w:after="0" w:line="225" w:lineRule="exact"/>
        <w:rPr>
          <w:sz w:val="20"/>
          <w:szCs w:val="20"/>
          <w:color w:val="auto"/>
        </w:rPr>
      </w:pPr>
    </w:p>
    <w:p>
      <w:pPr>
        <w:ind w:left="1020" w:hanging="36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9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82" w:lineRule="auto"/>
        <w:tabs>
          <w:tab w:leader="none" w:pos="9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Shesky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Chief Financial Officer </w:t>
      </w: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14"/>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14"/>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3"/>
    </w:lvl>
    <w:lvl w:ilvl="1">
      <w:lvlJc w:val="left"/>
      <w:lvlText w:val="●"/>
      <w:numFmt w:val="bullet"/>
      <w:start w:val="1"/>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6"/>
    </w:lvl>
  </w:abstractNum>
  <w:abstractNum w:abstractNumId="9">
    <w:nsid w:val="7C83E458"/>
    <w:multiLevelType w:val="hybridMultilevel"/>
    <w:lvl w:ilvl="0">
      <w:lvlJc w:val="left"/>
      <w:lvlText w:val="%1."/>
      <w:numFmt w:val="decimal"/>
      <w:start w:val="7"/>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1."/>
      <w:numFmt w:val="decimal"/>
      <w:start w:val="1"/>
    </w:lvl>
    <w:lvl w:ilvl="1">
      <w:lvlJc w:val="left"/>
      <w:lvlText w:val="%2."/>
      <w:numFmt w:val="decimal"/>
      <w:start w:val="3"/>
    </w:lvl>
  </w:abstractNum>
  <w:abstractNum w:abstractNumId="14">
    <w:nsid w:val="333AB105"/>
    <w:multiLevelType w:val="hybridMultilevel"/>
    <w:lvl w:ilvl="0">
      <w:lvlJc w:val="left"/>
      <w:lvlText w:val="%1."/>
      <w:numFmt w:val="decimal"/>
      <w:start w:val="12"/>
    </w:lvl>
  </w:abstractNum>
  <w:abstractNum w:abstractNumId="15">
    <w:nsid w:val="721DA317"/>
    <w:multiLevelType w:val="hybridMultilevel"/>
    <w:lvl w:ilvl="0">
      <w:lvlJc w:val="left"/>
      <w:lvlText w:val="%1."/>
      <w:numFmt w:val="decimal"/>
      <w:start w:val="13"/>
    </w:lvl>
  </w:abstractNum>
  <w:abstractNum w:abstractNumId="16">
    <w:nsid w:val="2443A858"/>
    <w:multiLevelType w:val="hybridMultilevel"/>
    <w:lvl w:ilvl="0">
      <w:lvlJc w:val="left"/>
      <w:lvlText w:val="%1."/>
      <w:numFmt w:val="decimal"/>
      <w:start w:val="14"/>
    </w:lvl>
  </w:abstractNum>
  <w:abstractNum w:abstractNumId="17">
    <w:nsid w:val="2D1D5AE9"/>
    <w:multiLevelType w:val="hybridMultilevel"/>
    <w:lvl w:ilvl="0">
      <w:lvlJc w:val="left"/>
      <w:lvlText w:val="%1."/>
      <w:numFmt w:val="decimal"/>
      <w:start w:val="15"/>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5"/>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5"/>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48" Type="http://schemas.openxmlformats.org/officeDocument/2006/relationships/hyperlink" Target="https://www.sec.gov/Archives/edgar/data/1798562/000110465924038505/tmc-20231231xex10d33.htm" TargetMode="External"/><Relationship Id="rId49" Type="http://schemas.openxmlformats.org/officeDocument/2006/relationships/hyperlink" Target="https://www.sec.gov/Archives/edgar/data/1798562/000110465924038505/tmc-20231231xex10d34.htm" TargetMode="External"/><Relationship Id="rId50" Type="http://schemas.openxmlformats.org/officeDocument/2006/relationships/hyperlink" Target="https://www.sec.gov/Archives/edgar/data/1798562/000110465924046107/tm2411549d1_ex10-1.htm" TargetMode="External"/><Relationship Id="rId51" Type="http://schemas.openxmlformats.org/officeDocument/2006/relationships/hyperlink" Target="https://www.sec.gov/Archives/edgar/data/1798562/000110465924048642/tm241191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2024-05-13T15:34:01Z</dcterms:created>
  <dcterms:modified xsi:type="dcterms:W3CDTF">2024-05-13T15:34:01Z</dcterms:modified>
</cp:coreProperties>
</file>