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TMC THE METALS COMPANY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500" w:type="dxa"/>
        <w:tblCellMar>
          <w:top w:w="0" w:type="dxa"/>
          <w:left w:w="0" w:type="dxa"/>
          <w:bottom w:w="0" w:type="dxa"/>
          <w:right w:w="0" w:type="dxa"/>
        </w:tblCellMar>
      </w:tblPr>
      <w:tr>
        <w:trPr>
          <w:trHeight w:val="220"/>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British Columbia, Canada</w:t>
            </w:r>
          </w:p>
        </w:tc>
        <w:tc>
          <w:tcPr>
            <w:tcW w:w="3680" w:type="dxa"/>
            <w:vAlign w:val="bottom"/>
          </w:tcPr>
          <w:p>
            <w:pPr>
              <w:jc w:val="right"/>
              <w:ind w:right="1530"/>
              <w:spacing w:after="0"/>
              <w:rPr>
                <w:sz w:val="20"/>
                <w:szCs w:val="20"/>
                <w:color w:val="auto"/>
              </w:rPr>
            </w:pPr>
            <w:r>
              <w:rPr>
                <w:rFonts w:ascii="Times New Roman" w:cs="Times New Roman" w:eastAsia="Times New Roman" w:hAnsi="Times New Roman"/>
                <w:sz w:val="18"/>
                <w:szCs w:val="18"/>
                <w:b w:val="1"/>
                <w:bCs w:val="1"/>
                <w:color w:val="auto"/>
              </w:rPr>
              <w:t>001-39281</w:t>
            </w: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35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36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rPr>
              <w:t>595 Howe Street, 10th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8"/>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V6C 2T5</w:t>
            </w:r>
          </w:p>
        </w:tc>
      </w:tr>
      <w:tr>
        <w:trPr>
          <w:trHeight w:val="234"/>
        </w:trPr>
        <w:tc>
          <w:tcPr>
            <w:tcW w:w="35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which registered</w:t>
            </w:r>
          </w:p>
        </w:tc>
      </w:tr>
      <w:tr>
        <w:trPr>
          <w:trHeight w:val="191"/>
        </w:trPr>
        <w:tc>
          <w:tcPr>
            <w:tcW w:w="37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 Common Shares without par value</w:t>
            </w:r>
          </w:p>
        </w:tc>
        <w:tc>
          <w:tcPr>
            <w:tcW w:w="1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TMC</w:t>
            </w:r>
          </w:p>
        </w:tc>
        <w:tc>
          <w:tcPr>
            <w:tcW w:w="100" w:type="dxa"/>
            <w:vAlign w:val="bottom"/>
          </w:tcPr>
          <w:p>
            <w:pPr>
              <w:spacing w:after="0"/>
              <w:rPr>
                <w:sz w:val="16"/>
                <w:szCs w:val="16"/>
                <w:color w:val="auto"/>
              </w:rPr>
            </w:pPr>
          </w:p>
        </w:tc>
        <w:tc>
          <w:tcPr>
            <w:tcW w:w="3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Redeemable warrants, each whole warrant</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TMCWW</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exercisable for one TMC Common Share, each at</w:t>
            </w: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23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 exercise price of $11.50 per share</w:t>
            </w: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r>
    </w:tbl>
    <w:p>
      <w:pPr>
        <w:spacing w:after="0" w:line="198" w:lineRule="exact"/>
        <w:rPr>
          <w:sz w:val="24"/>
          <w:szCs w:val="24"/>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ind w:left="9040"/>
        <w:spacing w:after="0"/>
        <w:rPr>
          <w:sz w:val="20"/>
          <w:szCs w:val="20"/>
          <w:color w:val="auto"/>
        </w:rPr>
      </w:pPr>
      <w:r>
        <w:rPr>
          <w:rFonts w:ascii="Times New Roman" w:cs="Times New Roman" w:eastAsia="Times New Roman" w:hAnsi="Times New Roman"/>
          <w:sz w:val="17"/>
          <w:szCs w:val="17"/>
          <w:color w:val="auto"/>
        </w:rPr>
        <w:t xml:space="preserve">Emerging growth company </w:t>
      </w:r>
      <w:r>
        <w:rPr>
          <w:rFonts w:ascii="Wingdings" w:cs="Wingdings" w:eastAsia="Wingdings" w:hAnsi="Wingdings"/>
          <w:sz w:val="17"/>
          <w:szCs w:val="17"/>
          <w:b w:val="1"/>
          <w:bCs w:val="1"/>
          <w:color w:val="auto"/>
        </w:rPr>
        <w:t>x</w:t>
      </w:r>
    </w:p>
    <w:p>
      <w:pPr>
        <w:spacing w:after="0" w:line="237"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0" w:right="339" w:bottom="1440" w:gutter="0" w:footer="0" w:header="0"/>
        </w:sectPr>
      </w:pPr>
    </w:p>
    <w:bookmarkStart w:id="1" w:name="page2"/>
    <w:bookmarkEnd w:id="1"/>
    <w:p>
      <w:pPr>
        <w:spacing w:after="0"/>
        <w:tabs>
          <w:tab w:leader="none" w:pos="17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2024 Annual and Special Meeting of Shareholders of TMC the metals company Inc. (the “Company”) was held on May 30, 2024 at 10:00 a.m. EDT (the “Annual Meeting”). The actions set forth below were taken at the Annual Meeting. Of the Company’s 318,494,226 common shares outstanding and eligible to vote as of the record date of April 3, 2024, a quorum of more than two shareholders representing 199,608,830 shares, or 62.6% of the eligible shares, was present or represented by proxy at the Annual Meeting. Each of the matters set forth below is described in detail in the Company’s Proxy Statement filed with the Securities and Exchange Commission on April 18, 2024.</w:t>
      </w:r>
    </w:p>
    <w:p>
      <w:pPr>
        <w:spacing w:after="0" w:line="183" w:lineRule="exact"/>
        <w:rPr>
          <w:sz w:val="20"/>
          <w:szCs w:val="20"/>
          <w:color w:val="auto"/>
        </w:rPr>
      </w:pPr>
    </w:p>
    <w:p>
      <w:pPr>
        <w:ind w:left="560" w:hanging="552"/>
        <w:spacing w:after="0"/>
        <w:tabs>
          <w:tab w:leader="none" w:pos="5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the number of directors at nine (9).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314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302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Votes Abstained</w:t>
            </w:r>
          </w:p>
        </w:tc>
      </w:tr>
      <w:tr>
        <w:trPr>
          <w:trHeight w:val="209"/>
        </w:trPr>
        <w:tc>
          <w:tcPr>
            <w:tcW w:w="4960" w:type="dxa"/>
            <w:vAlign w:val="bottom"/>
            <w:tcBorders>
              <w:top w:val="single" w:sz="8" w:color="auto"/>
            </w:tcBorders>
            <w:shd w:val="clear" w:color="auto" w:fill="CCEEFF"/>
          </w:tcPr>
          <w:p>
            <w:pPr>
              <w:jc w:val="right"/>
              <w:ind w:right="1930"/>
              <w:spacing w:after="0"/>
              <w:rPr>
                <w:sz w:val="20"/>
                <w:szCs w:val="20"/>
                <w:color w:val="auto"/>
              </w:rPr>
            </w:pPr>
            <w:r>
              <w:rPr>
                <w:rFonts w:ascii="Times New Roman" w:cs="Times New Roman" w:eastAsia="Times New Roman" w:hAnsi="Times New Roman"/>
                <w:sz w:val="18"/>
                <w:szCs w:val="18"/>
                <w:color w:val="auto"/>
              </w:rPr>
              <w:t>198,343,060</w:t>
            </w:r>
          </w:p>
        </w:tc>
        <w:tc>
          <w:tcPr>
            <w:tcW w:w="1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845,144</w:t>
            </w:r>
          </w:p>
        </w:tc>
        <w:tc>
          <w:tcPr>
            <w:tcW w:w="22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420,627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560" w:hanging="552"/>
        <w:spacing w:after="0" w:line="282" w:lineRule="auto"/>
        <w:tabs>
          <w:tab w:leader="none" w:pos="5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following directors of the Company, to serve until the Company’s 2025 annual meeting of shareholders and until their respective successors have been elected and qualified.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20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9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9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Gerard Barron</w:t>
            </w:r>
          </w:p>
        </w:tc>
        <w:tc>
          <w:tcPr>
            <w:tcW w:w="18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139,465,317</w:t>
            </w:r>
          </w:p>
        </w:tc>
        <w:tc>
          <w:tcPr>
            <w:tcW w:w="26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328,377</w:t>
            </w:r>
          </w:p>
        </w:tc>
        <w:tc>
          <w:tcPr>
            <w:tcW w:w="20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59,815,136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Andrew Hall</w:t>
            </w:r>
          </w:p>
        </w:tc>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136,406,198</w:t>
            </w:r>
          </w:p>
        </w:tc>
        <w:tc>
          <w:tcPr>
            <w:tcW w:w="260" w:type="dxa"/>
            <w:vAlign w:val="bottom"/>
          </w:tcPr>
          <w:p>
            <w:pPr>
              <w:spacing w:after="0"/>
              <w:rPr>
                <w:sz w:val="18"/>
                <w:szCs w:val="18"/>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3,387,496</w:t>
            </w:r>
          </w:p>
        </w:tc>
        <w:tc>
          <w:tcPr>
            <w:tcW w:w="200" w:type="dxa"/>
            <w:vAlign w:val="bottom"/>
          </w:tcPr>
          <w:p>
            <w:pPr>
              <w:spacing w:after="0"/>
              <w:rPr>
                <w:sz w:val="18"/>
                <w:szCs w:val="18"/>
                <w:color w:val="auto"/>
              </w:rPr>
            </w:pP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59,815,136</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Greig</w:t>
            </w:r>
          </w:p>
        </w:tc>
        <w:tc>
          <w:tcPr>
            <w:tcW w:w="1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139,409,302</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384,392</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59,815,136</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Andrei Karkar</w:t>
            </w:r>
          </w:p>
        </w:tc>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139,288,404</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505,290</w:t>
            </w:r>
          </w:p>
        </w:tc>
        <w:tc>
          <w:tcPr>
            <w:tcW w:w="200" w:type="dxa"/>
            <w:vAlign w:val="bottom"/>
          </w:tcPr>
          <w:p>
            <w:pPr>
              <w:spacing w:after="0"/>
              <w:rPr>
                <w:sz w:val="18"/>
                <w:szCs w:val="18"/>
                <w:color w:val="auto"/>
              </w:rPr>
            </w:pP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59,815,136</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Sheila Khama</w:t>
            </w:r>
          </w:p>
        </w:tc>
        <w:tc>
          <w:tcPr>
            <w:tcW w:w="1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136,423,080</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3,370,614</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59,815,136</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Christian Madsbjerg</w:t>
            </w:r>
          </w:p>
        </w:tc>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139,222,093</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571,581</w:t>
            </w:r>
          </w:p>
        </w:tc>
        <w:tc>
          <w:tcPr>
            <w:tcW w:w="200" w:type="dxa"/>
            <w:vAlign w:val="bottom"/>
          </w:tcPr>
          <w:p>
            <w:pPr>
              <w:spacing w:after="0"/>
              <w:rPr>
                <w:sz w:val="18"/>
                <w:szCs w:val="18"/>
                <w:color w:val="auto"/>
              </w:rPr>
            </w:pP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59,815,136</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Jurvetson</w:t>
            </w:r>
          </w:p>
        </w:tc>
        <w:tc>
          <w:tcPr>
            <w:tcW w:w="1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139,369,591</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424,103</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59,815,136</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Amelia Kinahoi Siamomua</w:t>
            </w:r>
          </w:p>
        </w:tc>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139,378,097</w:t>
            </w:r>
          </w:p>
        </w:tc>
        <w:tc>
          <w:tcPr>
            <w:tcW w:w="26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415,597</w:t>
            </w:r>
          </w:p>
        </w:tc>
        <w:tc>
          <w:tcPr>
            <w:tcW w:w="200" w:type="dxa"/>
            <w:vAlign w:val="bottom"/>
          </w:tcPr>
          <w:p>
            <w:pPr>
              <w:spacing w:after="0"/>
              <w:rPr>
                <w:sz w:val="18"/>
                <w:szCs w:val="18"/>
                <w:color w:val="auto"/>
              </w:rPr>
            </w:pPr>
          </w:p>
        </w:tc>
        <w:tc>
          <w:tcPr>
            <w:tcW w:w="18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59,815,136</w:t>
            </w:r>
          </w:p>
        </w:tc>
        <w:tc>
          <w:tcPr>
            <w:tcW w:w="100" w:type="dxa"/>
            <w:vAlign w:val="bottom"/>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Brendan May</w:t>
            </w:r>
          </w:p>
        </w:tc>
        <w:tc>
          <w:tcPr>
            <w:tcW w:w="18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139,354,460</w:t>
            </w:r>
          </w:p>
        </w:tc>
        <w:tc>
          <w:tcPr>
            <w:tcW w:w="260" w:type="dxa"/>
            <w:vAlign w:val="bottom"/>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439,234</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59,815,136</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560" w:hanging="552"/>
        <w:spacing w:after="0"/>
        <w:tabs>
          <w:tab w:leader="none" w:pos="5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Ernst &amp; Young LLP as the Company’s independent registered public accounting firm for the 2024 fiscal year.</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5600" w:type="dxa"/>
            <w:vAlign w:val="bottom"/>
            <w:gridSpan w:val="2"/>
          </w:tcPr>
          <w:p>
            <w:pPr>
              <w:ind w:left="2160"/>
              <w:spacing w:after="0"/>
              <w:rPr>
                <w:sz w:val="20"/>
                <w:szCs w:val="20"/>
                <w:color w:val="auto"/>
              </w:rPr>
            </w:pPr>
            <w:r>
              <w:rPr>
                <w:rFonts w:ascii="Times New Roman" w:cs="Times New Roman" w:eastAsia="Times New Roman" w:hAnsi="Times New Roman"/>
                <w:sz w:val="18"/>
                <w:szCs w:val="18"/>
                <w:b w:val="1"/>
                <w:bCs w:val="1"/>
                <w:color w:val="auto"/>
              </w:rPr>
              <w:t>Votes Withheld</w:t>
            </w:r>
          </w:p>
        </w:tc>
      </w:tr>
      <w:tr>
        <w:trPr>
          <w:trHeight w:val="209"/>
        </w:trPr>
        <w:tc>
          <w:tcPr>
            <w:tcW w:w="5400" w:type="dxa"/>
            <w:vAlign w:val="bottom"/>
            <w:tcBorders>
              <w:top w:val="single" w:sz="8" w:color="auto"/>
            </w:tcBorders>
            <w:shd w:val="clear" w:color="auto" w:fill="CCEEFF"/>
          </w:tcPr>
          <w:p>
            <w:pPr>
              <w:jc w:val="right"/>
              <w:ind w:right="2150"/>
              <w:spacing w:after="0"/>
              <w:rPr>
                <w:sz w:val="20"/>
                <w:szCs w:val="20"/>
                <w:color w:val="auto"/>
              </w:rPr>
            </w:pPr>
            <w:r>
              <w:rPr>
                <w:rFonts w:ascii="Times New Roman" w:cs="Times New Roman" w:eastAsia="Times New Roman" w:hAnsi="Times New Roman"/>
                <w:sz w:val="18"/>
                <w:szCs w:val="18"/>
                <w:color w:val="auto"/>
              </w:rPr>
              <w:t>199,182,319</w:t>
            </w:r>
          </w:p>
        </w:tc>
        <w:tc>
          <w:tcPr>
            <w:tcW w:w="24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right"/>
              <w:ind w:right="2330"/>
              <w:spacing w:after="0"/>
              <w:rPr>
                <w:sz w:val="20"/>
                <w:szCs w:val="20"/>
                <w:color w:val="auto"/>
              </w:rPr>
            </w:pPr>
            <w:r>
              <w:rPr>
                <w:rFonts w:ascii="Times New Roman" w:cs="Times New Roman" w:eastAsia="Times New Roman" w:hAnsi="Times New Roman"/>
                <w:sz w:val="18"/>
                <w:szCs w:val="18"/>
                <w:color w:val="auto"/>
              </w:rPr>
              <w:t>426,511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560" w:hanging="552"/>
        <w:spacing w:after="0"/>
        <w:tabs>
          <w:tab w:leader="none" w:pos="5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the Company’s Chief Executive Officer and Chairman.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6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256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Votes Abstained</w:t>
            </w:r>
          </w:p>
        </w:tc>
        <w:tc>
          <w:tcPr>
            <w:tcW w:w="24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3500" w:type="dxa"/>
            <w:vAlign w:val="bottom"/>
            <w:tcBorders>
              <w:top w:val="single" w:sz="8" w:color="auto"/>
            </w:tcBorders>
            <w:shd w:val="clear" w:color="auto" w:fill="CCEEFF"/>
          </w:tcPr>
          <w:p>
            <w:pPr>
              <w:jc w:val="right"/>
              <w:ind w:right="1210"/>
              <w:spacing w:after="0"/>
              <w:rPr>
                <w:sz w:val="20"/>
                <w:szCs w:val="20"/>
                <w:color w:val="auto"/>
              </w:rPr>
            </w:pPr>
            <w:r>
              <w:rPr>
                <w:rFonts w:ascii="Times New Roman" w:cs="Times New Roman" w:eastAsia="Times New Roman" w:hAnsi="Times New Roman"/>
                <w:sz w:val="18"/>
                <w:szCs w:val="18"/>
                <w:color w:val="auto"/>
              </w:rPr>
              <w:t>137,724,800</w:t>
            </w: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1,666,030</w:t>
            </w:r>
          </w:p>
        </w:tc>
        <w:tc>
          <w:tcPr>
            <w:tcW w:w="24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402,864</w:t>
            </w:r>
          </w:p>
        </w:tc>
        <w:tc>
          <w:tcPr>
            <w:tcW w:w="2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rPr>
              <w:t>59,815,136</w:t>
            </w:r>
          </w:p>
        </w:tc>
        <w:tc>
          <w:tcPr>
            <w:tcW w:w="100" w:type="dxa"/>
            <w:vAlign w:val="bottom"/>
            <w:tcBorders>
              <w:top w:val="single" w:sz="8" w:color="CCEEFF"/>
            </w:tcBorders>
            <w:shd w:val="clear" w:color="auto" w:fill="CCEEFF"/>
          </w:tcPr>
          <w:p>
            <w:pPr>
              <w:spacing w:after="0"/>
              <w:rPr>
                <w:sz w:val="18"/>
                <w:szCs w:val="18"/>
                <w:color w:val="auto"/>
              </w:rPr>
            </w:pPr>
          </w:p>
        </w:tc>
      </w:tr>
      <w:tr>
        <w:trPr>
          <w:trHeight w:val="675"/>
        </w:trPr>
        <w:tc>
          <w:tcPr>
            <w:tcW w:w="3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TMC THE METALS COMPANY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31, 2024</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Craig Shesky</w:t>
            </w:r>
          </w:p>
        </w:tc>
      </w:tr>
      <w:tr>
        <w:trPr>
          <w:trHeight w:val="191"/>
        </w:trPr>
        <w:tc>
          <w:tcPr>
            <w:tcW w:w="3540" w:type="dxa"/>
            <w:vAlign w:val="bottom"/>
          </w:tcPr>
          <w:p>
            <w:pPr>
              <w:spacing w:after="0"/>
              <w:rPr>
                <w:sz w:val="16"/>
                <w:szCs w:val="16"/>
                <w:color w:val="auto"/>
              </w:rPr>
            </w:pPr>
          </w:p>
        </w:tc>
        <w:tc>
          <w:tcPr>
            <w:tcW w:w="2660" w:type="dxa"/>
            <w:vAlign w:val="bottom"/>
          </w:tcPr>
          <w:p>
            <w:pPr>
              <w:ind w:left="21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Craig Shesky</w:t>
            </w:r>
          </w:p>
        </w:tc>
      </w:tr>
      <w:tr>
        <w:trPr>
          <w:trHeight w:val="234"/>
        </w:trPr>
        <w:tc>
          <w:tcPr>
            <w:tcW w:w="3540" w:type="dxa"/>
            <w:vAlign w:val="bottom"/>
          </w:tcPr>
          <w:p>
            <w:pPr>
              <w:spacing w:after="0"/>
              <w:rPr>
                <w:sz w:val="20"/>
                <w:szCs w:val="20"/>
                <w:color w:val="auto"/>
              </w:rPr>
            </w:pP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2"/>
    </w:lvl>
  </w:abstractNum>
  <w:abstractNum w:abstractNumId="3">
    <w:nsid w:val="238E1F29"/>
    <w:multiLevelType w:val="hybridMultilevel"/>
    <w:lvl w:ilvl="0">
      <w:lvlJc w:val="left"/>
      <w:lvlText w:val="%1."/>
      <w:numFmt w:val="decimal"/>
      <w:start w:val="3"/>
    </w:lvl>
  </w:abstractNum>
  <w:abstractNum w:abstractNumId="4">
    <w:nsid w:val="46E87CCD"/>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2024-05-31T07:19:24Z</dcterms:created>
  <dcterms:modified xsi:type="dcterms:W3CDTF">2024-05-31T07:19:24Z</dcterms:modified>
</cp:coreProperties>
</file>