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Greig Andrew Carlyle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144,907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4,335,972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68,027</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4,403,999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 vested on May 30, 2024, the date of the Issuer's 2024 annual meeting of shareholders.</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RSUs under the Issuer's 2021 Equity Incentive Plan. Each RSU represents the right to receive one common share upon vesting. The RSUs shall vest on the date of the Issuer's 2025 annual meeting of shareholders, subject to the Reporting Person's continued service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Coombes, General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2486"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2024-06-04T18:25:37Z</dcterms:created>
  <dcterms:modified xsi:type="dcterms:W3CDTF">2024-06-04T18:25:37Z</dcterms:modified>
</cp:coreProperties>
</file>