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Khama Sheila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144,907</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223,466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68,027</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291,493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RSUs vested on May 30, 2024, the date of the Issuer's 2024 annual meeting of shareholders.</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RSUs under the Issuer's 2021 Equity Incentive Plan. Each RSU represents the right to receive one common share upon vesting. The RSUs shall vest on the date of the Issuer's 2025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06/04/2024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814"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2024-06-04T18:28:32Z</dcterms:created>
  <dcterms:modified xsi:type="dcterms:W3CDTF">2024-06-04T18:28:32Z</dcterms:modified>
</cp:coreProperties>
</file>