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001-39281</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700" w:right="339" w:bottom="1440" w:gutter="0" w:footer="0" w:header="0"/>
          <w:type w:val="continuous"/>
        </w:sectPr>
      </w:pPr>
    </w:p>
    <w:p>
      <w:pPr>
        <w:spacing w:after="0" w:line="30"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p>
      <w:pPr>
        <w:spacing w:after="0" w:line="3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color w:val="auto"/>
        </w:rPr>
        <w:t>(Address of principal executive </w:t>
      </w:r>
    </w:p>
    <w:p>
      <w:pPr>
        <w:spacing w:after="0" w:line="9"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color w:val="auto"/>
        </w:rPr>
        <w:t>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V6C 2T5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416" w:lineRule="exact"/>
        <w:rPr>
          <w:sz w:val="24"/>
          <w:szCs w:val="24"/>
          <w:color w:val="auto"/>
        </w:rPr>
      </w:pPr>
    </w:p>
    <w:p>
      <w:pPr>
        <w:sectPr>
          <w:pgSz w:w="11900" w:h="16838" w:orient="portrait"/>
          <w:cols w:equalWidth="0" w:num="2">
            <w:col w:w="8440" w:space="720"/>
            <w:col w:w="208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on</w:t>
            </w:r>
          </w:p>
        </w:tc>
      </w:tr>
      <w:tr>
        <w:trPr>
          <w:trHeight w:val="238"/>
        </w:trPr>
        <w:tc>
          <w:tcPr>
            <w:tcW w:w="6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6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0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r>
        <w:trPr>
          <w:trHeight w:val="216"/>
        </w:trPr>
        <w:tc>
          <w:tcPr>
            <w:tcW w:w="6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 Common Share, each at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TMCWW</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6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14, 2024, TMC the metals company Inc. (the “Company”) issued a press release announcing its results for the second quarter ended June 30, 2024 and providing a business update. A copy of the press release is furnished as Exhibit 99.1 hereto. In addition, the Company will hold a conference call on August 14, 2024 at 4:30 p.m. EDT to discuss these results and the business update.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14,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Metals Company Provides Second Quarter 2024 Corporate Update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YORK, Aug. 14, 2024 (GLOBE NEWSWIRE) -- TMC the metals company Inc. (Nasdaq: TMC) (“TMC” or “the Company”), an explorer of lower-impact battery metals from seafloor polymetallic nodules, today provided a corporate update and financial results for the second quarter ending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liquidity available from credit facilities of approximately $48.3 million</w:t>
      </w:r>
    </w:p>
    <w:p>
      <w:pPr>
        <w:spacing w:after="0" w:line="225" w:lineRule="exact"/>
        <w:rPr>
          <w:rFonts w:ascii="Times New Roman" w:cs="Times New Roman" w:eastAsia="Times New Roman" w:hAnsi="Times New Roman"/>
          <w:sz w:val="18"/>
          <w:szCs w:val="18"/>
          <w:color w:val="auto"/>
        </w:rPr>
      </w:pPr>
    </w:p>
    <w:p>
      <w:pPr>
        <w:ind w:left="980" w:right="3700" w:hanging="648"/>
        <w:spacing w:after="0" w:line="500" w:lineRule="auto"/>
        <w:tabs>
          <w:tab w:leader="none" w:pos="6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borrowing capacity of our unsecured credit facilities by $7.5 million in August 2024: o ERAS/Barron facility from $20 million to $25 million, and</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Allseas Group SA affiliate facility from $25 million to $27.5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cash used in operations for the quarter ended June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$20.2 million and net loss per share of $0.06 for the quarter ended June 30,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Gerard Barron, Chairman &amp; CEO of The Metals Company commented: “This quarter, I was very pleased to welcome two new Directors to our Board, both of whom are leaders in their respective fields. Steve Jurvetson brings invaluable expertise in disruptive technologies — including investments in pioneering technology companies like Tesla, Planet Labs, SpaceX and Commonwealth Fusion Systems — that fits well with our mission to revolutionize how critical minerals are sourced and, ultimately, recycled. We also welcomed sustainability leader Brendan May, whose counsel has been sought by leading companies to help them build bridges with the environmental community and, as a former CEO of the Marine Stewardship Council and Europe Chair of the Rainforest Alliance, we look forward to his help engaging key stakeholder communities.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Amidst disappointing share price performance in recent weeks, driven in part by what we believe is misinterpretation of recent scientific and regulatory headlines, I’m pleased that our three largest shareholders, including myself, have extended further unsecured borrowing capacity to ensure we aren’t forced to tap the market at dilutive terms. Our credit facilities are being used as intended, as a bridge to keep our project moving forward as we wait to share more information on some promising strategic developments and take advantage of more attractive financing options.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Geopolitical tailwinds continue to create a favorable environment for our industry. As the U.S., China, India, Japan, and Norway intensify their focus on seafloor resources, we see a growing recognition of the strategic importance of diversifying supply chains away from single-jurisdiction, terrestrial sources. Additionally, the International Seabed Authority’s recent progress with the full, combined-text draft of the regulations, and the election of Brazil's Leticia Carvalho as Secretary-General, are critical steps forward. I have met with Ms. Carvalho, and I commend her commitment to adopting regulations which will allow this industry to move forward. With all parties at the table recognizing the primacy of the UN Convention on the Law of the Sea, we remain optimistic as the ISA’s Council advances towards finalizing the Mining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Operational Highlights Since Last Corporate Update</w:t>
      </w:r>
    </w:p>
    <w:p>
      <w:pPr>
        <w:spacing w:after="0" w:line="225" w:lineRule="exact"/>
        <w:rPr>
          <w:sz w:val="20"/>
          <w:szCs w:val="20"/>
          <w:color w:val="auto"/>
        </w:rPr>
      </w:pPr>
    </w:p>
    <w:p>
      <w:pPr>
        <w:ind w:left="660" w:right="2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TMC Publishes Third Annual Impact Report: </w:t>
      </w:r>
      <w:r>
        <w:rPr>
          <w:rFonts w:ascii="Times New Roman" w:cs="Times New Roman" w:eastAsia="Times New Roman" w:hAnsi="Times New Roman"/>
          <w:sz w:val="18"/>
          <w:szCs w:val="18"/>
          <w:color w:val="auto"/>
        </w:rPr>
        <w:t>On July 29, 2024, we published our third annual Impact Report to provide an update on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achieved in our assessment of the environmental impacts of nodule collection, including what we believe is the successful collection of sufficient quantities of environmental baseline and impact data to develop an Environmental Impact Statement and Environmental Mitigation and Management Plan (EMMP) for the world’s first deep-seafloor nodule collection project.</w:t>
      </w:r>
    </w:p>
    <w:p>
      <w:pPr>
        <w:spacing w:after="0" w:line="176"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World-First Cobalt Sulfate from Deep-Seafloor Polymetallic Nodules: </w:t>
      </w:r>
      <w:r>
        <w:rPr>
          <w:rFonts w:ascii="Times New Roman" w:cs="Times New Roman" w:eastAsia="Times New Roman" w:hAnsi="Times New Roman"/>
          <w:sz w:val="18"/>
          <w:szCs w:val="18"/>
          <w:color w:val="auto"/>
        </w:rPr>
        <w:t>On June 12, 2024, we announced that we successfully produced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world’s first cobalt sulfate derived exclusively from seafloor polymetallic nodules. The cobalt sulfate was generated during bench-scale testing of our hydrometallurgical flowsheet design with SGS Canada Inc. Based on samples of nickel-cobalt-copper matte first produced by us in 2021, SGS tested our efficient flowsheet to process high-grade nickel-copper-cobalt matte directly to high-purity cobalt sulfate without making cobalt metal, while producing fertilizer byproducts instead of solid waste or tailings. The milestone followed the news in May of our successful production of nickel sulfate, a key raw material input used in the production of energy-dense electric vehicle batteries.</w:t>
      </w:r>
    </w:p>
    <w:p>
      <w:pPr>
        <w:spacing w:after="0" w:line="182"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Steve Jurvetson Joins TMC’s Board of Directors as Vice Chairman and Special Advisor to the CEO: </w:t>
      </w:r>
      <w:r>
        <w:rPr>
          <w:rFonts w:ascii="Times New Roman" w:cs="Times New Roman" w:eastAsia="Times New Roman" w:hAnsi="Times New Roman"/>
          <w:sz w:val="18"/>
          <w:szCs w:val="18"/>
          <w:color w:val="auto"/>
        </w:rPr>
        <w:t>On April 10, 2024, renowned Silicon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179" w:lineRule="exact"/>
        <w:rPr>
          <w:rFonts w:ascii="Times New Roman" w:cs="Times New Roman" w:eastAsia="Times New Roman" w:hAnsi="Times New Roman"/>
          <w:sz w:val="18"/>
          <w:szCs w:val="18"/>
          <w:color w:val="auto"/>
        </w:rPr>
      </w:pPr>
    </w:p>
    <w:p>
      <w:pPr>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Prominent Sustainability Strategist Brendan May Joins TMC’s Board of Directors: </w:t>
      </w:r>
      <w:r>
        <w:rPr>
          <w:rFonts w:ascii="Times New Roman" w:cs="Times New Roman" w:eastAsia="Times New Roman" w:hAnsi="Times New Roman"/>
          <w:sz w:val="18"/>
          <w:szCs w:val="18"/>
          <w:color w:val="auto"/>
        </w:rPr>
        <w:t>On June 3, 2024, we announced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Brendan May to our Board of Directors. As a former Chief Executive of the Marine Stewardship Council (MSC) and European Chairman of the Rainforest Alliance, Mr. May has spent over two decades at the forefront of sustainability challenges in globally significant ecosystems. In 2010, he formed renowned global sustainability consultancy, Robertsbridge, whose counsel has been sought by leading companies and NGOs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left="660" w:right="20" w:hanging="328"/>
        <w:spacing w:after="0" w:line="214"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Part II of the ISA’s 29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Session: </w:t>
      </w:r>
      <w:r>
        <w:rPr>
          <w:rFonts w:ascii="Times New Roman" w:cs="Times New Roman" w:eastAsia="Times New Roman" w:hAnsi="Times New Roman"/>
          <w:sz w:val="18"/>
          <w:szCs w:val="18"/>
          <w:color w:val="auto"/>
        </w:rPr>
        <w:t>At its July 2024 session, the ISA agreed to continue the negotiations of the Mining Code with a continued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adoption during the 30th session of the ISA in 2025. The ISA Council has scheduled two ISA Council meetings in March and July 2025 to progress the Mining Code and has agreed to continue working inter-sessionally to advance the text. In addition, on August 2, 2024, the ISA Assembly elected Leticia Carvalho of Brazil as the new Secretary-General of the ISA for the period 2025-2028.</w:t>
      </w:r>
    </w:p>
    <w:p>
      <w:pPr>
        <w:spacing w:after="0" w:line="194" w:lineRule="exact"/>
        <w:rPr>
          <w:rFonts w:ascii="Times New Roman" w:cs="Times New Roman" w:eastAsia="Times New Roman" w:hAnsi="Times New Roman"/>
          <w:sz w:val="36"/>
          <w:szCs w:val="36"/>
          <w:color w:val="auto"/>
          <w:vertAlign w:val="superscript"/>
        </w:rPr>
      </w:pPr>
    </w:p>
    <w:p>
      <w:pPr>
        <w:ind w:left="660" w:right="12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India, Japan and Norway outline marine mineral plans: </w:t>
      </w:r>
      <w:r>
        <w:rPr>
          <w:rFonts w:ascii="Times New Roman" w:cs="Times New Roman" w:eastAsia="Times New Roman" w:hAnsi="Times New Roman"/>
          <w:sz w:val="18"/>
          <w:szCs w:val="18"/>
          <w:color w:val="auto"/>
        </w:rPr>
        <w:t>During the second quarter of 2024, India announced its intention to secure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 exploration contracts while Norway proposed opening parts of its continental shelf for mineral exploration. Elsewhere, Japan announced that it would begin trial collection of polymetallic nodules within its Exclusive Economic Zone in 2025. In light of recent industry developments in the United States and China, four of the world’s five largest economies are now focussed on the potential of nodules.</w:t>
      </w:r>
    </w:p>
    <w:p>
      <w:pPr>
        <w:spacing w:after="0" w:line="176"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House Allocates Defense Department Funding to Assess the Feasibility of Domestic Nodule Refining Capacity: </w:t>
      </w:r>
      <w:r>
        <w:rPr>
          <w:rFonts w:ascii="Times New Roman" w:cs="Times New Roman" w:eastAsia="Times New Roman" w:hAnsi="Times New Roman"/>
          <w:sz w:val="18"/>
          <w:szCs w:val="18"/>
          <w:color w:val="auto"/>
        </w:rPr>
        <w:t>On May 23, 2024,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welcomed the allocation of $2 million under the House version of the fiscal year 2025 National Defense Authorization Act (NDAA) to the Defense Department’s Industrial Base Policy Office to study the feasibility of developing domestic capacity to refine polymetallic nodule-derived intermediates to high-purity nickel, copper and cobalt products. In addition, TMC's U.S. subsidiary has an outstanding application seeking a $9 million grant under the Defense Production Act Title III program for feasibility work on a domestic refinery for nodule-derived intermediate products. Our U.S. subsidiary may pursue larger grants and/or loans through the Department of Energy’s Loan Programs Office, Export-Import Bank and other departments to fund construction of a refinery later this decade.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June 30, 2024, we held cash of approximately $0.5 million and short-term debt of $5.9 million, with an affiliate of Allseas Group SA ($2 million) and with the Barron/ERAS unsecured credit facility ($3.9 million). We believe that our total liquidity including cash and borrowing availability under a credit facility with an affiliate of Allseas, and our credit facility with ERAS Capital LLC and Mr. Barron, will be sufficient to meet our working capital and capital expenditure commitments for at least the next twelve months from today.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reported a net loss of approximately $20.2 million, or $0.06 per share for the quarter ended June 30, 2024, compared to net loss of $14.1 million, or $0.05 per share, for the quarter ended June 30, 2023. Exploration and evaluation expenses during the quarter ended June 30, 2024 were $12.4 million compared to $8.1 million for the quarter ended June 30, 2023. The increase in the exploration and evaluation expenses in the second quarter of 2024 was primarily due to an increase in mining, technological and process development of $1.8 million resulting from increased engineering work by Allseas, increase in share-based compensation of $1.7 million due to amortization of the fair value of RSUs and options granted to the directors and officers in the second quarter of 2024 and higher personnel costs. This was partially offset by a decrease in environmental studies as the costs to complete Campaign 8b in the second quarter of 2024 was lower than the cost of the environmental work spent in the second quarter of 2023 to complete the NORI pilot nodule collection system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$7.9 million for the quarter ended June 30, 2024 compared to $5.1 million for the quarter ended June 30, 2023, reflecting an increase in share-based compensation due to amortization of the fair value of RSUs and options granted to the directors and officers in the second quarter of 2024, higher personnel costs and an increase in legal and consulting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hold a conference call today at 4:30 p.m. EDT to provide an update on recent corporate developments, second quarter 2024 financial results and upcoming milestones.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Conference Call Details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Wednesday, 14 August, 2024</w:t>
            </w: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 pm EDT</w:t>
            </w:r>
          </w:p>
        </w:tc>
      </w:tr>
      <w:tr>
        <w:trPr>
          <w:trHeight w:val="202"/>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98"/>
              </w:rPr>
              <w:t>Register Here</w:t>
            </w:r>
          </w:p>
        </w:tc>
        <w:tc>
          <w:tcPr>
            <w:tcW w:w="1100" w:type="dxa"/>
            <w:vAlign w:val="bottom"/>
          </w:tcPr>
          <w:p>
            <w:pPr>
              <w:spacing w:after="0"/>
              <w:rPr>
                <w:sz w:val="17"/>
                <w:szCs w:val="17"/>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Virtual webcast w/ slides:</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1100" w:type="dxa"/>
            <w:vAlign w:val="bottom"/>
          </w:tcPr>
          <w:p>
            <w:pPr>
              <w:spacing w:after="0"/>
              <w:rPr>
                <w:sz w:val="19"/>
                <w:szCs w:val="19"/>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with respect to [the potential impact of the Company’s potential commercial operations, the Company’s expected application to the ISA for an exploitation contract, the potential outcome of actions of the U.S. government, the Company’s dialogue with members of the U.S. government, the status and timing of adopting final regulations, or Mining Code, for the exploitation of deep-sea polymetallic nodules and the Company’s financial and operating plans moving forward].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including Pacific Metals Company of Japan;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and risk that such financing may not be available on acceptable terms, or at all; risks associated with the Company’s intellectual property; Low Carbon Royalties’ limited operating history; the sufficiency of our cash on hand and the borrowing ability under our credit facility with a company related to Allseas Group S.A., as we expect it to be amended, and credit facility with ERAS Capital LLC/Gerard Barron to meet our working capital and capital expenditure requirements, the need for additional financing and our ability to continue as a going concern; our agreement in principle to amend our credit facility with a company related to Allseas Group S.A.; any litigation to which we are a party;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2023 filed with the SEC on March 25, 2024, as amended.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of US Dollars, except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As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6,842</w:t>
            </w: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contracts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43,150</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5,721</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shd w:val="clear" w:color="auto" w:fill="CCEEFF"/>
          </w:tcPr>
          <w:p>
            <w:pPr>
              <w:spacing w:after="0"/>
              <w:rPr>
                <w:sz w:val="18"/>
                <w:szCs w:val="18"/>
                <w:color w:val="auto"/>
              </w:rPr>
            </w:pP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8,429</w:t>
            </w:r>
          </w:p>
        </w:tc>
        <w:tc>
          <w:tcPr>
            <w:tcW w:w="80" w:type="dxa"/>
            <w:vAlign w:val="bottom"/>
          </w:tcPr>
          <w:p>
            <w:pPr>
              <w:spacing w:after="0"/>
              <w:rPr>
                <w:sz w:val="19"/>
                <w:szCs w:val="19"/>
                <w:color w:val="auto"/>
              </w:rPr>
            </w:pPr>
          </w:p>
        </w:tc>
      </w:tr>
      <w:tr>
        <w:trPr>
          <w:trHeight w:val="209"/>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31,334</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70,254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322,241,883 (December 31, 2023 – 306,558,710))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438,239</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122,797</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(594,264)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(548,902)</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60,647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9"/>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12,403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30,526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15,267</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5,131</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11,345</w:t>
            </w:r>
          </w:p>
        </w:tc>
        <w:tc>
          <w:tcPr>
            <w:tcW w:w="80" w:type="dxa"/>
            <w:vAlign w:val="bottom"/>
            <w:shd w:val="clear" w:color="auto" w:fill="CCEEFF"/>
          </w:tcPr>
          <w:p>
            <w:pPr>
              <w:spacing w:after="0"/>
              <w:rPr>
                <w:sz w:val="19"/>
                <w:szCs w:val="19"/>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13,229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26,612</w:t>
            </w:r>
          </w:p>
        </w:tc>
        <w:tc>
          <w:tcPr>
            <w:tcW w:w="100" w:type="dxa"/>
            <w:vAlign w:val="bottom"/>
            <w:gridSpan w:val="2"/>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 for the period</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20,168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45,362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27,855</w:t>
            </w: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0.06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0.10</w:t>
            </w:r>
          </w:p>
        </w:tc>
      </w:tr>
      <w:tr>
        <w:trPr>
          <w:trHeight w:val="210"/>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4"/>
        </w:trPr>
        <w:tc>
          <w:tcPr>
            <w:tcW w:w="5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2"/>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320,891,977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281,323,151</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316,206,916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276,702,050</w:t>
            </w:r>
          </w:p>
        </w:tc>
        <w:tc>
          <w:tcPr>
            <w:tcW w:w="80" w:type="dxa"/>
            <w:vAlign w:val="bottom"/>
          </w:tcPr>
          <w:p>
            <w:pPr>
              <w:spacing w:after="0"/>
              <w:rPr>
                <w:sz w:val="21"/>
                <w:szCs w:val="21"/>
                <w:color w:val="auto"/>
              </w:rPr>
            </w:pPr>
          </w:p>
        </w:tc>
      </w:tr>
      <w:tr>
        <w:trPr>
          <w:trHeight w:val="695"/>
        </w:trPr>
        <w:tc>
          <w:tcPr>
            <w:tcW w:w="5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4"/>
        </w:trPr>
        <w:tc>
          <w:tcPr>
            <w:tcW w:w="1840" w:type="dxa"/>
            <w:vAlign w:val="bottom"/>
            <w:gridSpan w:val="3"/>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1, 2024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318,291,383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454,431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122,691</w:t>
            </w:r>
          </w:p>
        </w:tc>
        <w:tc>
          <w:tcPr>
            <w:tcW w:w="32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(574,096)</w:t>
            </w:r>
          </w:p>
        </w:tc>
        <w:tc>
          <w:tcPr>
            <w:tcW w:w="220" w:type="dxa"/>
            <w:vAlign w:val="bottom"/>
            <w:tcBorders>
              <w:top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1,810</w:t>
            </w: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shares withheld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taxes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1,777,466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from</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ATM</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1,634,588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Exercise of stock</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511,052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8"/>
        </w:trPr>
        <w:tc>
          <w:tcPr>
            <w:tcW w:w="1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purchase under</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27,394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 settled with</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30"/>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(20,168)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0" w:type="dxa"/>
            <w:vAlign w:val="bottom"/>
          </w:tcPr>
          <w:p>
            <w:pPr>
              <w:spacing w:after="0"/>
              <w:rPr>
                <w:sz w:val="1"/>
                <w:szCs w:val="1"/>
                <w:color w:val="auto"/>
              </w:rPr>
            </w:pPr>
          </w:p>
        </w:tc>
      </w:tr>
      <w:tr>
        <w:trPr>
          <w:trHeight w:val="209"/>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322,241,883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(594,264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3"/>
        </w:trPr>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4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24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4"/>
        </w:trPr>
        <w:tc>
          <w:tcPr>
            <w:tcW w:w="1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20"/>
                <w:szCs w:val="20"/>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280,618,285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345,090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186,796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0" w:type="dxa"/>
            <w:vAlign w:val="bottom"/>
            <w:tcBorders>
              <w:top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(488,869)</w:t>
            </w:r>
          </w:p>
        </w:tc>
        <w:tc>
          <w:tcPr>
            <w:tcW w:w="220" w:type="dxa"/>
            <w:vAlign w:val="bottom"/>
            <w:tcBorders>
              <w:top w:val="single" w:sz="8" w:color="CCEEFF"/>
            </w:tcBorders>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Conversion of restricted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units, net of shares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withheld for taxes</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434,558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purchase under</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 settled with</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(14,107)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10"/>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281,136,415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345,775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(502,976</w:t>
            </w:r>
          </w:p>
        </w:tc>
        <w:tc>
          <w:tcPr>
            <w:tcW w:w="2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40" w:type="dxa"/>
            <w:vAlign w:val="bottom"/>
          </w:tcPr>
          <w:p>
            <w:pPr>
              <w:spacing w:after="0"/>
              <w:rPr>
                <w:sz w:val="18"/>
                <w:szCs w:val="18"/>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2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4"/>
        </w:trPr>
        <w:tc>
          <w:tcPr>
            <w:tcW w:w="1920" w:type="dxa"/>
            <w:vAlign w:val="bottom"/>
            <w:gridSpan w:val="4"/>
            <w:vMerge w:val="continue"/>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306,558,710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122,797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(548,902)</w:t>
            </w:r>
          </w:p>
        </w:tc>
        <w:tc>
          <w:tcPr>
            <w:tcW w:w="280" w:type="dxa"/>
            <w:vAlign w:val="bottom"/>
            <w:tcBorders>
              <w:top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shares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warrants under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Registered Direct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Offering,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4,500,000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 restricted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units, net of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withheld for taxes</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8,890,139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(10,485)</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2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as per At-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the-Market Equity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Distribution Agreement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1,634,588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Exercise of stock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631,052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2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purchase under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Employee Share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27,394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settled with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12,817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(45,362)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(45,362)</w:t>
            </w: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322,241,883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460,573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(594,264</w:t>
            </w:r>
          </w:p>
        </w:tc>
        <w:tc>
          <w:tcPr>
            <w:tcW w:w="160" w:type="dxa"/>
            <w:vAlign w:val="bottom"/>
            <w:tcBorders>
              <w:top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(9,607</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40" w:type="dxa"/>
            <w:vAlign w:val="bottom"/>
          </w:tcPr>
          <w:p>
            <w:pPr>
              <w:spacing w:after="0"/>
              <w:rPr>
                <w:sz w:val="18"/>
                <w:szCs w:val="18"/>
                <w:color w:val="auto"/>
              </w:rPr>
            </w:pPr>
          </w:p>
        </w:tc>
        <w:tc>
          <w:tcPr>
            <w:tcW w:w="14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c>
          <w:tcPr>
            <w:tcW w:w="222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4"/>
        </w:trPr>
        <w:tc>
          <w:tcPr>
            <w:tcW w:w="1820" w:type="dxa"/>
            <w:vAlign w:val="bottom"/>
            <w:gridSpan w:val="3"/>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266,812,131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332,882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184,960</w:t>
            </w:r>
          </w:p>
        </w:tc>
        <w:tc>
          <w:tcPr>
            <w:tcW w:w="32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(1,216)</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(475,121)</w:t>
            </w:r>
          </w:p>
        </w:tc>
        <w:tc>
          <w:tcPr>
            <w:tcW w:w="2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41,505</w:t>
            </w:r>
          </w:p>
        </w:tc>
        <w:tc>
          <w:tcPr>
            <w:tcW w:w="0" w:type="dxa"/>
            <w:vAlign w:val="bottom"/>
          </w:tcPr>
          <w:p>
            <w:pPr>
              <w:spacing w:after="0"/>
              <w:rPr>
                <w:sz w:val="1"/>
                <w:szCs w:val="1"/>
                <w:color w:val="auto"/>
              </w:rPr>
            </w:pPr>
          </w:p>
        </w:tc>
      </w:tr>
      <w:tr>
        <w:trPr>
          <w:trHeight w:val="198"/>
        </w:trPr>
        <w:tc>
          <w:tcPr>
            <w:tcW w:w="192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of shares withheld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3,390,712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19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purchase under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83,572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192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Allseas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10,850,000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9,394</w:t>
            </w:r>
          </w:p>
        </w:tc>
        <w:tc>
          <w:tcPr>
            <w:tcW w:w="0" w:type="dxa"/>
            <w:vAlign w:val="bottom"/>
          </w:tcPr>
          <w:p>
            <w:pPr>
              <w:spacing w:after="0"/>
              <w:rPr>
                <w:sz w:val="1"/>
                <w:szCs w:val="1"/>
                <w:color w:val="auto"/>
              </w:rPr>
            </w:pPr>
          </w:p>
        </w:tc>
      </w:tr>
      <w:tr>
        <w:trPr>
          <w:trHeight w:val="198"/>
        </w:trPr>
        <w:tc>
          <w:tcPr>
            <w:tcW w:w="19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settled with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30"/>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(27,855)</w:t>
            </w:r>
          </w:p>
        </w:tc>
        <w:tc>
          <w:tcPr>
            <w:tcW w:w="0" w:type="dxa"/>
            <w:vAlign w:val="bottom"/>
          </w:tcPr>
          <w:p>
            <w:pPr>
              <w:spacing w:after="0"/>
              <w:rPr>
                <w:sz w:val="1"/>
                <w:szCs w:val="1"/>
                <w:color w:val="auto"/>
              </w:rPr>
            </w:pPr>
          </w:p>
        </w:tc>
      </w:tr>
      <w:tr>
        <w:trPr>
          <w:trHeight w:val="209"/>
        </w:trPr>
        <w:tc>
          <w:tcPr>
            <w:tcW w:w="182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281,136,415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(502,976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0"/>
        </w:trPr>
        <w:tc>
          <w:tcPr>
            <w:tcW w:w="7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(27,855)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Expense</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6,857</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(14,152)</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(23,941)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(31,883)</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2,546</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3,875</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Allseas Debt Agreement</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amounts drawn from credit facilities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17,687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301</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1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6,842</w:t>
            </w:r>
          </w:p>
        </w:tc>
        <w:tc>
          <w:tcPr>
            <w:tcW w:w="16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46,876</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668"/>
        </w:trPr>
        <w:tc>
          <w:tcPr>
            <w:tcW w:w="7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2024-08-14T16:19:16Z</dcterms:created>
  <dcterms:modified xsi:type="dcterms:W3CDTF">2024-08-14T16:19:16Z</dcterms:modified>
</cp:coreProperties>
</file>