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August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001-39281</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700" w:right="339" w:bottom="1440" w:gutter="0" w:footer="0" w:header="0"/>
          <w:type w:val="continuous"/>
        </w:sectPr>
      </w:pPr>
    </w:p>
    <w:p>
      <w:pPr>
        <w:spacing w:after="0" w:line="30"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1111 West Hastings Street, 15th Floor</w:t>
      </w:r>
    </w:p>
    <w:p>
      <w:pPr>
        <w:spacing w:after="0" w:line="43"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Vancouver, BC</w:t>
      </w:r>
    </w:p>
    <w:p>
      <w:pPr>
        <w:spacing w:after="0" w:line="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color w:val="auto"/>
        </w:rPr>
        <w:t>(Address of principal executive </w:t>
      </w:r>
    </w:p>
    <w:p>
      <w:pPr>
        <w:spacing w:after="0" w:line="9"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color w:val="auto"/>
        </w:rPr>
        <w:t>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V6E 2J3</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(Zip Code)</w:t>
      </w:r>
    </w:p>
    <w:p>
      <w:pPr>
        <w:spacing w:after="0" w:line="416" w:lineRule="exact"/>
        <w:rPr>
          <w:sz w:val="24"/>
          <w:szCs w:val="24"/>
          <w:color w:val="auto"/>
        </w:rPr>
      </w:pPr>
    </w:p>
    <w:p>
      <w:pPr>
        <w:sectPr>
          <w:pgSz w:w="11900" w:h="16838" w:orient="portrait"/>
          <w:cols w:equalWidth="0" w:num="2">
            <w:col w:w="8440" w:space="720"/>
            <w:col w:w="208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(574) 252-9333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exchange on</w:t>
            </w:r>
          </w:p>
        </w:tc>
      </w:tr>
      <w:tr>
        <w:trPr>
          <w:trHeight w:val="238"/>
        </w:trPr>
        <w:tc>
          <w:tcPr>
            <w:tcW w:w="6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6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0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r>
        <w:trPr>
          <w:trHeight w:val="216"/>
        </w:trPr>
        <w:tc>
          <w:tcPr>
            <w:tcW w:w="6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 Common Share, each at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TMCWW</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6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16, 2024, in furtherance of TMC the metals company Inc.’s (the “Company”) previously disclosed agreement in principle with Allseas Group S.A. (“Allseas”), the Company entered into the Third Amendment to the Unsecured Credit Facility with Argentum Cedit Virtuti GCV, a company related to Allseas, to increase the borrowing limit of the Unsecured Credit Facility to $27.5 million in the aggregate. Under the terms of the Third Amendment, the borrowing limit will return to $25 million in the aggregate upon certain financing events. The foregoing description of the Third Amendment does not purport to be a complete description of the rights and obligations of the parties thereunder and is qualified in its entirety by reference to the full text of the Third Amendment attached as Exhibit 10.1 to this Current Report on Form 8-K and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1.01 is incorporated into this Item 2.03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34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Third Amendment to the Unsecured Credit Facility, dated August 16, 2024, by and between TMC the metals company Inc. Argentum</w:t>
            </w:r>
          </w:p>
        </w:tc>
      </w:tr>
      <w:tr>
        <w:trPr>
          <w:trHeight w:val="196"/>
        </w:trPr>
        <w:tc>
          <w:tcPr>
            <w:tcW w:w="4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Cedit Virtuti GCV</w:t>
            </w:r>
          </w:p>
        </w:tc>
        <w:tc>
          <w:tcPr>
            <w:tcW w:w="8660" w:type="dxa"/>
            <w:vAlign w:val="bottom"/>
            <w:tcBorders>
              <w:top w:val="single" w:sz="8" w:color="0000EE"/>
            </w:tcBorders>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firstLine="8"/>
        <w:spacing w:after="0" w:line="282" w:lineRule="auto"/>
        <w:tabs>
          <w:tab w:leader="none" w:pos="1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spacing w:after="0" w:line="1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THIRD AMENDMENT TO THE UNSECURED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THIRD AMENDMENT </w:t>
      </w:r>
      <w:r>
        <w:rPr>
          <w:rFonts w:ascii="Times New Roman" w:cs="Times New Roman" w:eastAsia="Times New Roman" w:hAnsi="Times New Roman"/>
          <w:sz w:val="18"/>
          <w:szCs w:val="18"/>
          <w:color w:val="auto"/>
        </w:rPr>
        <w:t>is dated August 16,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ARGENTUM CEDIT VIRTUTI GCV</w:t>
      </w:r>
      <w:r>
        <w:rPr>
          <w:rFonts w:ascii="Times New Roman" w:cs="Times New Roman" w:eastAsia="Times New Roman" w:hAnsi="Times New Roman"/>
          <w:sz w:val="18"/>
          <w:szCs w:val="18"/>
          <w:color w:val="auto"/>
        </w:rPr>
        <w:t>, a corporation organized under the laws of Belgium and the parent of Allseas Investments S.A. (“</w:t>
      </w:r>
      <w:r>
        <w:rPr>
          <w:rFonts w:ascii="Times New Roman" w:cs="Times New Roman" w:eastAsia="Times New Roman" w:hAnsi="Times New Roman"/>
          <w:sz w:val="18"/>
          <w:szCs w:val="18"/>
          <w:b w:val="1"/>
          <w:bCs w:val="1"/>
          <w:color w:val="auto"/>
        </w:rPr>
        <w:t>Argentum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TMC and Argentum entered into an Unsecured Credit Facility Agreement on March 22, 2023 (the “</w:t>
      </w:r>
      <w:r>
        <w:rPr>
          <w:rFonts w:ascii="Times New Roman" w:cs="Times New Roman" w:eastAsia="Times New Roman" w:hAnsi="Times New Roman"/>
          <w:sz w:val="18"/>
          <w:szCs w:val="18"/>
          <w:b w:val="1"/>
          <w:bCs w:val="1"/>
          <w:color w:val="auto"/>
        </w:rPr>
        <w:t>UCF</w:t>
      </w:r>
      <w:r>
        <w:rPr>
          <w:rFonts w:ascii="Times New Roman" w:cs="Times New Roman" w:eastAsia="Times New Roman" w:hAnsi="Times New Roman"/>
          <w:sz w:val="18"/>
          <w:szCs w:val="18"/>
          <w:color w:val="auto"/>
        </w:rPr>
        <w:t>”), which was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July 31, 2023 and March 22, 2024.</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wish to further amend the UCF, as amended, as set forth below.</w:t>
      </w:r>
    </w:p>
    <w:p>
      <w:pPr>
        <w:spacing w:after="0" w:line="225" w:lineRule="exact"/>
        <w:rPr>
          <w:sz w:val="20"/>
          <w:szCs w:val="20"/>
          <w:color w:val="auto"/>
        </w:rPr>
      </w:pPr>
    </w:p>
    <w:p>
      <w:pPr>
        <w:ind w:right="200"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herein contained and for other good and valuable consideration (the receipt and sufficiency of which are acknowledged by each party), the parties to this Agreement covenant and agree as follows:</w:t>
      </w:r>
    </w:p>
    <w:p>
      <w:pPr>
        <w:spacing w:after="0" w:line="17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assigned to them in the UCF, as amended.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UCF, as amended, is hereby further amended as follows:</w:t>
      </w:r>
    </w:p>
    <w:p>
      <w:pPr>
        <w:spacing w:after="0" w:line="221" w:lineRule="exact"/>
        <w:rPr>
          <w:sz w:val="20"/>
          <w:szCs w:val="20"/>
          <w:color w:val="auto"/>
        </w:rPr>
      </w:pPr>
    </w:p>
    <w:p>
      <w:pPr>
        <w:ind w:left="520"/>
        <w:spacing w:after="0"/>
        <w:tabs>
          <w:tab w:leader="none" w:pos="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reference to “USD $25,000,000 (the “</w:t>
      </w:r>
      <w:r>
        <w:rPr>
          <w:rFonts w:ascii="Times New Roman" w:cs="Times New Roman" w:eastAsia="Times New Roman" w:hAnsi="Times New Roman"/>
          <w:sz w:val="17"/>
          <w:szCs w:val="17"/>
          <w:b w:val="1"/>
          <w:bCs w:val="1"/>
          <w:color w:val="auto"/>
        </w:rPr>
        <w:t>Principal Amount</w:t>
      </w:r>
      <w:r>
        <w:rPr>
          <w:rFonts w:ascii="Times New Roman" w:cs="Times New Roman" w:eastAsia="Times New Roman" w:hAnsi="Times New Roman"/>
          <w:sz w:val="17"/>
          <w:szCs w:val="17"/>
          <w:color w:val="auto"/>
        </w:rPr>
        <w:t>”)” in the first whereas clause in the UCF shall be replaced with the following:</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Principal Amount (as defined below)”.</w:t>
      </w:r>
    </w:p>
    <w:p>
      <w:pPr>
        <w:spacing w:after="0" w:line="203" w:lineRule="exact"/>
        <w:rPr>
          <w:sz w:val="20"/>
          <w:szCs w:val="20"/>
          <w:color w:val="auto"/>
        </w:rPr>
      </w:pPr>
    </w:p>
    <w:p>
      <w:pPr>
        <w:ind w:left="980" w:right="20" w:hanging="458"/>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2.2.</w:t>
        <w:tab/>
        <w:t>Section 1.1.15 shall be replaced in its entirety with the following: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means the principal amount advanced and outstanding under this Agreement from time to time, being up to a maximum of USD 27,500,000, and which may be reduced by any Prepayment Amount in accordance with Section 2.8; provided, however, such maximum amount shall be reduced to USD 25,000,000 (which may be reduced by any Prepayment Amount in accordance with Section 2.8) upon TMC’s [***] financing [***]. Notwithstanding anything to the contrary set forth in this Agreement, any outstanding principal in excess of the Principal Amount so reduced by the proviso in the previous sentence shall be promptly repaid with any accrued and unpaid interest thereon, provided, however, such repayment shall not be considered a Prepayment Amount and shall not further reduce the Principal Amount in accordance with Section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972" w:right="80" w:hanging="458"/>
        <w:spacing w:after="0" w:line="286" w:lineRule="auto"/>
        <w:tabs>
          <w:tab w:leader="none" w:pos="952" w:val="left"/>
        </w:tabs>
        <w:rPr>
          <w:sz w:val="20"/>
          <w:szCs w:val="20"/>
          <w:color w:val="auto"/>
        </w:rPr>
      </w:pPr>
      <w:r>
        <w:rPr>
          <w:rFonts w:ascii="Times New Roman" w:cs="Times New Roman" w:eastAsia="Times New Roman" w:hAnsi="Times New Roman"/>
          <w:sz w:val="18"/>
          <w:szCs w:val="18"/>
          <w:color w:val="auto"/>
        </w:rPr>
        <w:t>2.3.</w:t>
        <w:tab/>
        <w:t>Section 1.1.16 shall be replaced in its entirety with the following: “</w:t>
      </w:r>
      <w:r>
        <w:rPr>
          <w:rFonts w:ascii="Times New Roman" w:cs="Times New Roman" w:eastAsia="Times New Roman" w:hAnsi="Times New Roman"/>
          <w:sz w:val="18"/>
          <w:szCs w:val="18"/>
          <w:b w:val="1"/>
          <w:bCs w:val="1"/>
          <w:color w:val="auto"/>
        </w:rPr>
        <w:t>Underutilization Fee</w:t>
      </w:r>
      <w:r>
        <w:rPr>
          <w:rFonts w:ascii="Times New Roman" w:cs="Times New Roman" w:eastAsia="Times New Roman" w:hAnsi="Times New Roman"/>
          <w:sz w:val="18"/>
          <w:szCs w:val="18"/>
          <w:color w:val="auto"/>
        </w:rPr>
        <w:t>” means a fee equal to 4% per annum of any amount of the then current maximum Principal Amount, being $27,500,000 or $25,000,000, as the case may be, less any drawn amounts.</w:t>
      </w:r>
    </w:p>
    <w:p>
      <w:pPr>
        <w:spacing w:after="0" w:line="159" w:lineRule="exact"/>
        <w:rPr>
          <w:sz w:val="20"/>
          <w:szCs w:val="20"/>
          <w:color w:val="auto"/>
        </w:rPr>
      </w:pPr>
    </w:p>
    <w:p>
      <w:pPr>
        <w:ind w:left="652" w:hanging="652"/>
        <w:spacing w:after="0" w:line="255"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shall be read together with the UCF, as amended,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 as previously amended.</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Amendment this 16th day of August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jc w:val="center"/>
        <w:ind w:left="298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ARGENTUM CEDIT VIRTUTI GCV</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Edward Heerema</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Zaakvoerder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2024-08-16T15:39:50Z</dcterms:created>
  <dcterms:modified xsi:type="dcterms:W3CDTF">2024-08-16T15:39:50Z</dcterms:modified>
</cp:coreProperties>
</file>