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October 18,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TMC THE METALS COMPANY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460" w:type="dxa"/>
        <w:tblCellMar>
          <w:top w:w="0" w:type="dxa"/>
          <w:left w:w="0" w:type="dxa"/>
          <w:bottom w:w="0" w:type="dxa"/>
          <w:right w:w="0" w:type="dxa"/>
        </w:tblCellMar>
      </w:tblPr>
      <w:tr>
        <w:trPr>
          <w:trHeight w:val="220"/>
        </w:trPr>
        <w:tc>
          <w:tcPr>
            <w:tcW w:w="358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rPr>
              <w:t>British Columbia, Canada</w:t>
            </w:r>
          </w:p>
        </w:tc>
        <w:tc>
          <w:tcPr>
            <w:tcW w:w="3660" w:type="dxa"/>
            <w:vAlign w:val="bottom"/>
          </w:tcPr>
          <w:p>
            <w:pPr>
              <w:jc w:val="right"/>
              <w:ind w:right="1530"/>
              <w:spacing w:after="0"/>
              <w:rPr>
                <w:sz w:val="20"/>
                <w:szCs w:val="20"/>
                <w:color w:val="auto"/>
              </w:rPr>
            </w:pPr>
            <w:r>
              <w:rPr>
                <w:rFonts w:ascii="Times New Roman" w:cs="Times New Roman" w:eastAsia="Times New Roman" w:hAnsi="Times New Roman"/>
                <w:sz w:val="18"/>
                <w:szCs w:val="18"/>
                <w:b w:val="1"/>
                <w:bCs w:val="1"/>
                <w:color w:val="auto"/>
              </w:rPr>
              <w:t>001-39281</w:t>
            </w: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r>
      <w:tr>
        <w:trPr>
          <w:trHeight w:val="216"/>
        </w:trPr>
        <w:tc>
          <w:tcPr>
            <w:tcW w:w="358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66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36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58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rPr>
              <w:t>incorporation)</w:t>
            </w:r>
          </w:p>
        </w:tc>
        <w:tc>
          <w:tcPr>
            <w:tcW w:w="3660" w:type="dxa"/>
            <w:vAlign w:val="bottom"/>
          </w:tcPr>
          <w:p>
            <w:pPr>
              <w:spacing w:after="0"/>
              <w:rPr>
                <w:sz w:val="20"/>
                <w:szCs w:val="20"/>
                <w:color w:val="auto"/>
              </w:rPr>
            </w:pP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7"/>
        </w:trPr>
        <w:tc>
          <w:tcPr>
            <w:tcW w:w="358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8"/>
              </w:rPr>
              <w:t>1111 West Hastings Street, 15th Floor,</w:t>
            </w:r>
          </w:p>
        </w:tc>
        <w:tc>
          <w:tcPr>
            <w:tcW w:w="366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20"/>
        </w:trPr>
        <w:tc>
          <w:tcPr>
            <w:tcW w:w="358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8"/>
              </w:rPr>
              <w:t>Vancouver, British Columbia</w:t>
            </w:r>
          </w:p>
        </w:tc>
        <w:tc>
          <w:tcPr>
            <w:tcW w:w="3660" w:type="dxa"/>
            <w:vAlign w:val="bottom"/>
          </w:tcPr>
          <w:p>
            <w:pPr>
              <w:spacing w:after="0"/>
              <w:rPr>
                <w:sz w:val="19"/>
                <w:szCs w:val="19"/>
                <w:color w:val="auto"/>
              </w:rPr>
            </w:pP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rPr>
              <w:t>V6E 2J3</w:t>
            </w:r>
          </w:p>
        </w:tc>
      </w:tr>
      <w:tr>
        <w:trPr>
          <w:trHeight w:val="216"/>
        </w:trPr>
        <w:tc>
          <w:tcPr>
            <w:tcW w:w="358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9"/>
              </w:rPr>
              <w:t>(Address of principal executive </w:t>
            </w:r>
          </w:p>
        </w:tc>
        <w:tc>
          <w:tcPr>
            <w:tcW w:w="3660" w:type="dxa"/>
            <w:vAlign w:val="bottom"/>
          </w:tcPr>
          <w:p>
            <w:pPr>
              <w:spacing w:after="0"/>
              <w:rPr>
                <w:sz w:val="18"/>
                <w:szCs w:val="18"/>
                <w:color w:val="auto"/>
              </w:rPr>
            </w:pP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234"/>
        </w:trPr>
        <w:tc>
          <w:tcPr>
            <w:tcW w:w="358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rPr>
              <w:t>offices)</w:t>
            </w:r>
          </w:p>
        </w:tc>
        <w:tc>
          <w:tcPr>
            <w:tcW w:w="3660" w:type="dxa"/>
            <w:vAlign w:val="bottom"/>
          </w:tcPr>
          <w:p>
            <w:pPr>
              <w:spacing w:after="0"/>
              <w:rPr>
                <w:sz w:val="20"/>
                <w:szCs w:val="20"/>
                <w:color w:val="auto"/>
              </w:rPr>
            </w:pPr>
          </w:p>
        </w:tc>
        <w:tc>
          <w:tcPr>
            <w:tcW w:w="236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(604) 631-3115</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Name of each exchange on</w:t>
            </w:r>
          </w:p>
        </w:tc>
      </w:tr>
      <w:tr>
        <w:trPr>
          <w:trHeight w:val="238"/>
        </w:trPr>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which registered</w:t>
            </w:r>
          </w:p>
        </w:tc>
      </w:tr>
      <w:tr>
        <w:trPr>
          <w:trHeight w:val="191"/>
        </w:trPr>
        <w:tc>
          <w:tcPr>
            <w:tcW w:w="38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TMC Common Shares without par value</w:t>
            </w:r>
          </w:p>
        </w:tc>
        <w:tc>
          <w:tcPr>
            <w:tcW w:w="1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TMC</w:t>
            </w:r>
          </w:p>
        </w:tc>
        <w:tc>
          <w:tcPr>
            <w:tcW w:w="1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Redeemable warrants, each whole warrant</w:t>
            </w:r>
          </w:p>
        </w:tc>
        <w:tc>
          <w:tcPr>
            <w:tcW w:w="3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TMCWW</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3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exercisable for one TMC Common Share, each at an</w:t>
            </w: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34"/>
        </w:trPr>
        <w:tc>
          <w:tcPr>
            <w:tcW w:w="3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exercise price of $11.50 per share</w:t>
            </w: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198" w:lineRule="exact"/>
        <w:rPr>
          <w:sz w:val="24"/>
          <w:szCs w:val="24"/>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ind w:left="9040"/>
        <w:spacing w:after="0"/>
        <w:rPr>
          <w:sz w:val="20"/>
          <w:szCs w:val="20"/>
          <w:color w:val="auto"/>
        </w:rPr>
      </w:pPr>
      <w:r>
        <w:rPr>
          <w:rFonts w:ascii="Times New Roman" w:cs="Times New Roman" w:eastAsia="Times New Roman" w:hAnsi="Times New Roman"/>
          <w:sz w:val="17"/>
          <w:szCs w:val="17"/>
          <w:color w:val="auto"/>
        </w:rPr>
        <w:t xml:space="preserve">Emerging growth company </w:t>
      </w:r>
      <w:r>
        <w:rPr>
          <w:rFonts w:ascii="Wingdings" w:cs="Wingdings" w:eastAsia="Wingdings" w:hAnsi="Wingdings"/>
          <w:sz w:val="17"/>
          <w:szCs w:val="17"/>
          <w:b w:val="1"/>
          <w:bCs w:val="1"/>
          <w:color w:val="auto"/>
        </w:rPr>
        <w:t>x</w:t>
      </w:r>
    </w:p>
    <w:p>
      <w:pPr>
        <w:spacing w:after="0" w:line="237" w:lineRule="exact"/>
        <w:rPr>
          <w:sz w:val="24"/>
          <w:szCs w:val="24"/>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October 18, 2024, TMC the metals company Inc. (the “Company”) entered into an amendment to the Working Capital Loan Agreement, dated September 9, 2024, between the Company (as borrower) and Allseas Investments SA (as lender) to increase the loan amount thereunder from $5 million to $7.5 million (the “Amendment”). Such additional loan amount is to be used for general corporate purposes.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212529"/>
        </w:rPr>
        <w:t>The foregoing description of the Amendment does not purport to be a complete description of the rights and obligations of the parties thereunder and is qualified in its entirety by reference to the full text of the Amendment attached as Exhibit 10.1 to this Current Report on Form 8-K and incorporated herein by reference.</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7"/>
          <w:szCs w:val="17"/>
          <w:b w:val="1"/>
          <w:bCs w:val="1"/>
          <w:color w:val="auto"/>
        </w:rPr>
        <w:t>Creation of a Direct Financial Obligation or an Obligation under an Off-Balance Sheet Arrangement of a Registrant.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12529"/>
        </w:rPr>
        <w:t>        The information set forth in Item 1.01 is incorporated into this Item 2.03 by reference.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exhibits are being filed herewith:</w:t>
      </w:r>
    </w:p>
    <w:p>
      <w:pPr>
        <w:spacing w:after="0" w:line="225"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1"/>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p>
        </w:tc>
        <w:tc>
          <w:tcPr>
            <w:tcW w:w="99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Amendment to the Working Capital Loan Agreement, dated October 18, 2024, by and between the Company and Allseas Investments</w:t>
            </w:r>
          </w:p>
        </w:tc>
      </w:tr>
      <w:tr>
        <w:trPr>
          <w:trHeight w:val="196"/>
        </w:trPr>
        <w:tc>
          <w:tcPr>
            <w:tcW w:w="420" w:type="dxa"/>
            <w:vAlign w:val="bottom"/>
            <w:tcBorders>
              <w:top w:val="single" w:sz="8" w:color="0000EE"/>
            </w:tcBorders>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4"/>
              </w:rPr>
              <w:t>SA.</w:t>
            </w:r>
          </w:p>
        </w:tc>
        <w:tc>
          <w:tcPr>
            <w:tcW w:w="9660" w:type="dxa"/>
            <w:vAlign w:val="bottom"/>
            <w:tcBorders>
              <w:top w:val="single" w:sz="8" w:color="0000EE"/>
            </w:tcBorders>
          </w:tcPr>
          <w:p>
            <w:pPr>
              <w:spacing w:after="0"/>
              <w:rPr>
                <w:sz w:val="17"/>
                <w:szCs w:val="17"/>
                <w:color w:val="auto"/>
              </w:rPr>
            </w:pPr>
          </w:p>
        </w:tc>
      </w:tr>
      <w:tr>
        <w:trPr>
          <w:trHeight w:val="453"/>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80" w:type="dxa"/>
            <w:vAlign w:val="bottom"/>
          </w:tcPr>
          <w:p>
            <w:pPr>
              <w:spacing w:after="0"/>
              <w:rPr>
                <w:sz w:val="24"/>
                <w:szCs w:val="24"/>
                <w:color w:val="auto"/>
              </w:rPr>
            </w:pPr>
          </w:p>
        </w:tc>
        <w:tc>
          <w:tcPr>
            <w:tcW w:w="9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198" w:lineRule="exact"/>
        <w:rPr>
          <w:sz w:val="20"/>
          <w:szCs w:val="20"/>
          <w:color w:val="auto"/>
        </w:rPr>
      </w:pPr>
    </w:p>
    <w:p>
      <w:pPr>
        <w:ind w:firstLine="8"/>
        <w:spacing w:after="0" w:line="282" w:lineRule="auto"/>
        <w:tabs>
          <w:tab w:leader="none" w:pos="14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confidential portions of this Exhibit were omitted by means of marking such portions with brackets (“[***]”) because the identified confidential portions (i) are not material and (ii) is the type of information that the Company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7580" w:type="dxa"/>
            <w:vAlign w:val="bottom"/>
            <w:gridSpan w:val="2"/>
          </w:tcPr>
          <w:p>
            <w:pPr>
              <w:ind w:left="1980"/>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tc>
      </w:tr>
      <w:tr>
        <w:trPr>
          <w:trHeight w:val="432"/>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24, 2024</w:t>
            </w:r>
          </w:p>
        </w:tc>
        <w:tc>
          <w:tcPr>
            <w:tcW w:w="25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Gerard Barron</w:t>
            </w:r>
          </w:p>
        </w:tc>
      </w:tr>
      <w:tr>
        <w:trPr>
          <w:trHeight w:val="191"/>
        </w:trPr>
        <w:tc>
          <w:tcPr>
            <w:tcW w:w="3660" w:type="dxa"/>
            <w:vAlign w:val="bottom"/>
          </w:tcPr>
          <w:p>
            <w:pPr>
              <w:spacing w:after="0"/>
              <w:rPr>
                <w:sz w:val="16"/>
                <w:szCs w:val="16"/>
                <w:color w:val="auto"/>
              </w:rPr>
            </w:pPr>
          </w:p>
        </w:tc>
        <w:tc>
          <w:tcPr>
            <w:tcW w:w="2540" w:type="dxa"/>
            <w:vAlign w:val="bottom"/>
          </w:tcPr>
          <w:p>
            <w:pPr>
              <w:ind w:left="19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Gerard Barron</w:t>
            </w:r>
          </w:p>
        </w:tc>
      </w:tr>
      <w:tr>
        <w:trPr>
          <w:trHeight w:val="234"/>
        </w:trPr>
        <w:tc>
          <w:tcPr>
            <w:tcW w:w="3660" w:type="dxa"/>
            <w:vAlign w:val="bottom"/>
          </w:tcPr>
          <w:p>
            <w:pPr>
              <w:spacing w:after="0"/>
              <w:rPr>
                <w:sz w:val="20"/>
                <w:szCs w:val="20"/>
                <w:color w:val="auto"/>
              </w:rPr>
            </w:pPr>
          </w:p>
        </w:tc>
        <w:tc>
          <w:tcPr>
            <w:tcW w:w="25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675"/>
        </w:trPr>
        <w:tc>
          <w:tcPr>
            <w:tcW w:w="36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37"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CERTAIN IDENTIFIED INFORMATION HAS BEEN OMITTED FROM THIS EXHIBIT BECAUSE IT IS NOT MATERIAL AND OF THE TYPE THAT THE REGISTRANT TREATS AS PRIVATE OR CONFIDENTIAL. [***] INDICATES THAT INFORMATION HAS BEEN OMITTED.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AMENDMENT TO WORKING CAPITAL LOAN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THIS FIRST AMENDMENT TO WORKING CAPITAL LOAN AGREEMENT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is dated October 18, 2024 between: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TMC THE METALS COMPANY INC., </w:t>
      </w:r>
      <w:r>
        <w:rPr>
          <w:rFonts w:ascii="Times New Roman" w:cs="Times New Roman" w:eastAsia="Times New Roman" w:hAnsi="Times New Roman"/>
          <w:sz w:val="18"/>
          <w:szCs w:val="18"/>
          <w:color w:val="auto"/>
        </w:rPr>
        <w:t>a company organized under the laws of British Columbia, Canada (“</w:t>
      </w:r>
      <w:r>
        <w:rPr>
          <w:rFonts w:ascii="Times New Roman" w:cs="Times New Roman" w:eastAsia="Times New Roman" w:hAnsi="Times New Roman"/>
          <w:sz w:val="18"/>
          <w:szCs w:val="18"/>
          <w:b w:val="1"/>
          <w:bCs w:val="1"/>
          <w:color w:val="auto"/>
        </w:rPr>
        <w:t>TMC</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ALLSEAS INVESTMENTS SA</w:t>
      </w:r>
      <w:r>
        <w:rPr>
          <w:rFonts w:ascii="Times New Roman" w:cs="Times New Roman" w:eastAsia="Times New Roman" w:hAnsi="Times New Roman"/>
          <w:sz w:val="18"/>
          <w:szCs w:val="18"/>
          <w:color w:val="auto"/>
        </w:rPr>
        <w:t>, a corporation organized under the laws of Switzerland (“</w:t>
      </w:r>
      <w:r>
        <w:rPr>
          <w:rFonts w:ascii="Times New Roman" w:cs="Times New Roman" w:eastAsia="Times New Roman" w:hAnsi="Times New Roman"/>
          <w:sz w:val="18"/>
          <w:szCs w:val="18"/>
          <w:b w:val="1"/>
          <w:bCs w:val="1"/>
          <w:color w:val="auto"/>
        </w:rPr>
        <w:t>Allseas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TMC, as the borrower (the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and Allseas, as the lender (the “</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 entered into a Working Capital Loan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September 9, 2024 (the “</w:t>
      </w:r>
      <w:r>
        <w:rPr>
          <w:rFonts w:ascii="Times New Roman" w:cs="Times New Roman" w:eastAsia="Times New Roman" w:hAnsi="Times New Roman"/>
          <w:sz w:val="18"/>
          <w:szCs w:val="18"/>
          <w:b w:val="1"/>
          <w:bCs w:val="1"/>
          <w:color w:val="auto"/>
        </w:rPr>
        <w:t>Loan Agreement</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AND WHERAS </w:t>
      </w:r>
      <w:r>
        <w:rPr>
          <w:rFonts w:ascii="Times New Roman" w:cs="Times New Roman" w:eastAsia="Times New Roman" w:hAnsi="Times New Roman"/>
          <w:sz w:val="18"/>
          <w:szCs w:val="18"/>
          <w:color w:val="auto"/>
        </w:rPr>
        <w:t>the parties wish to amend the Loan Agreement as set forth below.</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NOW THEREFORE, THIS AMENDMENT WITNESSES THAT </w:t>
      </w:r>
      <w:r>
        <w:rPr>
          <w:rFonts w:ascii="Times New Roman" w:cs="Times New Roman" w:eastAsia="Times New Roman" w:hAnsi="Times New Roman"/>
          <w:sz w:val="18"/>
          <w:szCs w:val="18"/>
          <w:color w:val="auto"/>
        </w:rPr>
        <w:t>in consideration of the respective covenants, agreements, representations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warranties herein contained and for other good and valuable consideration (the receipt and sufficiency of which are acknowledged by each party), the parties to this Amendment covenant and agree as follows:</w:t>
      </w:r>
    </w:p>
    <w:p>
      <w:pPr>
        <w:spacing w:after="0" w:line="175" w:lineRule="exact"/>
        <w:rPr>
          <w:sz w:val="20"/>
          <w:szCs w:val="20"/>
          <w:color w:val="auto"/>
        </w:rPr>
      </w:pPr>
    </w:p>
    <w:p>
      <w:pPr>
        <w:ind w:left="660" w:hanging="652"/>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Capitalized terms used and not defined in this Amendment have the respective meanings assigned to them in the Loan Agreement, as amended hereby.</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The Loan Agreement is hereby amended as follows:</w:t>
      </w:r>
    </w:p>
    <w:p>
      <w:pPr>
        <w:spacing w:after="0" w:line="2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2.1. In the first whereas clause “USD $5,000,000 (the “</w:t>
      </w:r>
      <w:r>
        <w:rPr>
          <w:rFonts w:ascii="Times New Roman" w:cs="Times New Roman" w:eastAsia="Times New Roman" w:hAnsi="Times New Roman"/>
          <w:sz w:val="18"/>
          <w:szCs w:val="18"/>
          <w:b w:val="1"/>
          <w:bCs w:val="1"/>
          <w:color w:val="auto"/>
        </w:rPr>
        <w:t>Loan Amount</w:t>
      </w:r>
      <w:r>
        <w:rPr>
          <w:rFonts w:ascii="Times New Roman" w:cs="Times New Roman" w:eastAsia="Times New Roman" w:hAnsi="Times New Roman"/>
          <w:sz w:val="18"/>
          <w:szCs w:val="18"/>
          <w:color w:val="auto"/>
        </w:rPr>
        <w:t>”)” shall be replaced with “the Loan Amount (as defined below)”.</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2.2. In Section 1.1.10 “USD 5,000,000” shall be replaced with “USD 7,500,000”.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 w:name="page5"/>
    <w:bookmarkEnd w:id="4"/>
    <w:p>
      <w:pPr>
        <w:jc w:val="both"/>
        <w:ind w:left="1620" w:hanging="323"/>
        <w:spacing w:after="0" w:line="266" w:lineRule="auto"/>
        <w:rPr>
          <w:sz w:val="20"/>
          <w:szCs w:val="20"/>
          <w:color w:val="auto"/>
        </w:rPr>
      </w:pPr>
      <w:r>
        <w:rPr>
          <w:rFonts w:ascii="Times New Roman" w:cs="Times New Roman" w:eastAsia="Times New Roman" w:hAnsi="Times New Roman"/>
          <w:sz w:val="18"/>
          <w:szCs w:val="18"/>
          <w:color w:val="auto"/>
        </w:rPr>
        <w:t>2.3. In Section 4.1, the following shall be added after the first sentence: “The Lender agrees, in accordance with the terms and conditions of this Agreement, to make available to the Borrower USD 1,200,000 on October 18, 2024 and 1,300,000 on October 21, 2024 by electronic means.</w:t>
      </w:r>
    </w:p>
    <w:p>
      <w:pPr>
        <w:spacing w:after="0" w:line="176" w:lineRule="exact"/>
        <w:rPr>
          <w:sz w:val="20"/>
          <w:szCs w:val="20"/>
          <w:color w:val="auto"/>
        </w:rPr>
      </w:pPr>
    </w:p>
    <w:p>
      <w:pPr>
        <w:ind w:left="660" w:hanging="652"/>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Payments to be made by the Lender to the Borrower under this Amendment shall be transferred to the following Borrower’s bank account: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ind w:left="660" w:hanging="652"/>
        <w:spacing w:after="0" w:line="255"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Amendment shall be read together with the Loan Agreement, as amended, as a single agreement, and together constitute the entire agreement between the Parties with respect to the subject matter hereof and thereof. Each Party agrees to execute, acknowledge and deliver such further instructions, and to do all such other acts, as may be necessary or appropriate in order to carry out the purposes and intent of this Amendment. This Amendment may be executed in multiple originals, each of which shall be considered an original for all purposes and, collectively, shall be considered to constitute this Amendment. Signatures transmitted by facsimile or in a Portable Document Format (pdf) may be considered an original for all purposes, including, without limitation, the execution of this Amendment and enforcement of this Amendment. This Amendment shall prevail in case of any conflict with the Loan Agreement.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remainder of this page is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parties have executed this Amendment this 17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 of October 2024.</w:t>
      </w:r>
    </w:p>
    <w:p>
      <w:pPr>
        <w:spacing w:after="0" w:line="13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b w:val="1"/>
          <w:bCs w:val="1"/>
          <w:color w:val="auto"/>
        </w:rPr>
        <w:t>TMC THE METALS COMPANY INC.</w:t>
      </w:r>
    </w:p>
    <w:p>
      <w:pPr>
        <w:spacing w:after="0" w:line="24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Gerard Barron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17145</wp:posOffset>
            </wp:positionV>
            <wp:extent cx="33432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Name: Gerard Barron</w:t>
      </w:r>
    </w:p>
    <w:p>
      <w:pPr>
        <w:spacing w:after="0" w:line="23" w:lineRule="exact"/>
        <w:rPr>
          <w:sz w:val="20"/>
          <w:szCs w:val="20"/>
          <w:color w:val="auto"/>
        </w:rPr>
      </w:pPr>
    </w:p>
    <w:p>
      <w:pPr>
        <w:ind w:left="5320"/>
        <w:spacing w:after="0"/>
        <w:tabs>
          <w:tab w:leader="none" w:pos="584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5"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i w:val="1"/>
          <w:iCs w:val="1"/>
          <w:color w:val="auto"/>
        </w:rPr>
        <w:t>signature page to First Amendment to Working Capital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447040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479"/>
          </w:cols>
          <w:pgMar w:left="980" w:top="908" w:right="1440" w:bottom="1440" w:gutter="0" w:footer="0" w:header="0"/>
        </w:sectPr>
      </w:pPr>
    </w:p>
    <w:bookmarkStart w:id="6" w:name="page7"/>
    <w:bookmarkEnd w:id="6"/>
    <w:p>
      <w:pPr>
        <w:ind w:left="4520"/>
        <w:spacing w:after="0"/>
        <w:rPr>
          <w:sz w:val="20"/>
          <w:szCs w:val="20"/>
          <w:color w:val="auto"/>
        </w:rPr>
      </w:pPr>
      <w:r>
        <w:rPr>
          <w:rFonts w:ascii="Times New Roman" w:cs="Times New Roman" w:eastAsia="Times New Roman" w:hAnsi="Times New Roman"/>
          <w:sz w:val="18"/>
          <w:szCs w:val="18"/>
          <w:b w:val="1"/>
          <w:bCs w:val="1"/>
          <w:color w:val="auto"/>
        </w:rPr>
        <w:t>ALLSEAS INVESTMENTS SA</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C.W. Kooger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33432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C.W. Kooger</w:t>
      </w:r>
    </w:p>
    <w:p>
      <w:pPr>
        <w:spacing w:after="0" w:line="23" w:lineRule="exact"/>
        <w:rPr>
          <w:sz w:val="20"/>
          <w:szCs w:val="20"/>
          <w:color w:val="auto"/>
        </w:rPr>
      </w:pPr>
    </w:p>
    <w:p>
      <w:pPr>
        <w:ind w:left="4860"/>
        <w:spacing w:after="0"/>
        <w:tabs>
          <w:tab w:leader="none" w:pos="538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L.H. Gillon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33432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L.H. Gillon</w:t>
      </w:r>
    </w:p>
    <w:p>
      <w:pPr>
        <w:spacing w:after="0" w:line="23" w:lineRule="exact"/>
        <w:rPr>
          <w:sz w:val="20"/>
          <w:szCs w:val="20"/>
          <w:color w:val="auto"/>
        </w:rPr>
      </w:pPr>
    </w:p>
    <w:p>
      <w:pPr>
        <w:ind w:left="4860"/>
        <w:spacing w:after="0"/>
        <w:tabs>
          <w:tab w:leader="none" w:pos="538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signature page to First Amendment to Working Capital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454660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9019"/>
      </w:cols>
      <w:pgMar w:left="1440" w:top="9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3"/>
    </w:lvl>
  </w:abstractNum>
  <w:abstractNum w:abstractNumId="5">
    <w:nsid w:val="507ED7AB"/>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2024-10-24T16:27:26Z</dcterms:created>
  <dcterms:modified xsi:type="dcterms:W3CDTF">2024-10-24T16:27:26Z</dcterms:modified>
</cp:coreProperties>
</file>