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427511d2_8k.htm"/>
      <w:bookmarkStart w:id="1" w:name="kstm2427511d2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411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November 12, 2024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9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9_edei--EntityFileNumber_c20241112"/>
            <w:bookmarkEnd w:id="6"/>
            <w:r>
              <w:rPr>
                <w:b/>
              </w:rPr>
              <w:t>001-39281</w:t>
            </w:r>
          </w:p>
        </w:tc>
        <w:tc>
          <w:tcPr>
            <w:tcW w:w="1775" w:type="dxa"/>
            <w:tcBorders/>
            <w:vAlign w:val="center"/>
          </w:tcPr>
          <w:p>
            <w:pPr>
              <w:pStyle w:val="TableContents"/>
              <w:bidi w:val="0"/>
              <w:spacing w:before="0" w:after="283"/>
              <w:jc w:val="center"/>
              <w:rPr>
                <w:b/>
              </w:rPr>
            </w:pPr>
            <w:bookmarkStart w:id="7" w:name="xdx_901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65" w:type="dxa"/>
        <w:jc w:val="left"/>
        <w:tblInd w:w="0" w:type="dxa"/>
        <w:tblLayout w:type="fixed"/>
        <w:tblCellMar>
          <w:top w:w="0" w:type="dxa"/>
          <w:left w:w="0" w:type="dxa"/>
          <w:bottom w:w="0" w:type="dxa"/>
          <w:right w:w="0" w:type="dxa"/>
        </w:tblCellMar>
      </w:tblPr>
      <w:tblGrid>
        <w:gridCol w:w="3920"/>
        <w:gridCol w:w="60"/>
        <w:gridCol w:w="1085"/>
      </w:tblGrid>
      <w:tr>
        <w:trPr/>
        <w:tc>
          <w:tcPr>
            <w:tcW w:w="3920" w:type="dxa"/>
            <w:tcBorders/>
            <w:vAlign w:val="center"/>
          </w:tcPr>
          <w:p>
            <w:pPr>
              <w:pStyle w:val="TableContents"/>
              <w:bidi w:val="0"/>
              <w:spacing w:before="0" w:after="283"/>
              <w:jc w:val="center"/>
              <w:rPr>
                <w:b/>
              </w:rPr>
            </w:pPr>
            <w:bookmarkStart w:id="8" w:name="xdx_907_edei--EntityAddressAddressLine1_"/>
            <w:bookmarkEnd w:id="8"/>
            <w:r>
              <w:rPr>
                <w:b/>
              </w:rPr>
              <w:t xml:space="preserve">1111 West Hastings Street, </w:t>
            </w:r>
            <w:bookmarkStart w:id="9" w:name="xdx_909_edei--EntityAddressAddressLine2_"/>
            <w:bookmarkEnd w:id="9"/>
            <w:r>
              <w:rPr>
                <w:b/>
              </w:rPr>
              <w:t>15th Floor,</w:t>
              <w:br/>
            </w:r>
            <w:bookmarkStart w:id="10" w:name="xdx_90D_edei--EntityAddressCityOrTown_c2"/>
            <w:bookmarkEnd w:id="10"/>
            <w:r>
              <w:rPr>
                <w:b/>
              </w:rPr>
              <w:t xml:space="preserve">Vancouver, </w:t>
            </w:r>
            <w:bookmarkStart w:id="11" w:name="xdx_902_edei--EntityAddressStateOrProvin"/>
            <w:bookmarkEnd w:id="11"/>
            <w:r>
              <w:rPr>
                <w:b/>
              </w:rPr>
              <w:t>British Columbia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2" w:name="xdx_901_edei--EntityAddressPostalZipCode"/>
            <w:bookmarkEnd w:id="12"/>
            <w:r>
              <w:rPr>
                <w:b/>
              </w:rPr>
              <w:t>V6E 2J3</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41112__20"/>
      <w:bookmarkEnd w:id="13"/>
      <w:r>
        <w:rPr>
          <w:rFonts w:ascii="Times New Roman;Times;Serif" w:hAnsi="Times New Roman;Times;Serif"/>
          <w:b/>
          <w:i w:val="false"/>
          <w:caps w:val="false"/>
          <w:smallCaps w:val="false"/>
          <w:sz w:val="20"/>
        </w:rPr>
        <w:t xml:space="preserve">888) </w:t>
      </w:r>
      <w:bookmarkStart w:id="14" w:name="xdx_90E_edei--LocalPhoneNumber_c20241112"/>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7_edei--EntityAddressAddressLine1_"/>
      <w:bookmarkEnd w:id="15"/>
      <w:r>
        <w:rPr>
          <w:rFonts w:ascii="Times New Roman;Times;Serif" w:hAnsi="Times New Roman;Times;Serif"/>
          <w:b/>
          <w:i w:val="false"/>
          <w:caps w:val="false"/>
          <w:smallCaps w:val="false"/>
          <w:sz w:val="20"/>
        </w:rPr>
        <w:t xml:space="preserve">595 Howe Street, </w:t>
      </w:r>
      <w:bookmarkStart w:id="16" w:name="xdx_900_edei--EntityAddressAddressLine2_"/>
      <w:bookmarkEnd w:id="16"/>
      <w:r>
        <w:rPr>
          <w:rFonts w:ascii="Times New Roman;Times;Serif" w:hAnsi="Times New Roman;Times;Serif"/>
          <w:b/>
          <w:i w:val="false"/>
          <w:caps w:val="false"/>
          <w:smallCaps w:val="false"/>
          <w:sz w:val="20"/>
        </w:rPr>
        <w:t>10th Floor</w:t>
      </w:r>
    </w:p>
    <w:p>
      <w:pPr>
        <w:pStyle w:val="TextBody"/>
        <w:bidi w:val="0"/>
        <w:spacing w:before="0" w:after="0"/>
        <w:jc w:val="center"/>
        <w:rPr>
          <w:rFonts w:ascii="Times New Roman;Times;Serif" w:hAnsi="Times New Roman;Times;Serif"/>
          <w:b/>
          <w:i w:val="false"/>
          <w:caps w:val="false"/>
          <w:smallCaps w:val="false"/>
          <w:sz w:val="20"/>
        </w:rPr>
      </w:pPr>
      <w:bookmarkStart w:id="17" w:name="xdx_90F_edei--EntityAddressCityOrTown_c2"/>
      <w:bookmarkEnd w:id="17"/>
      <w:r>
        <w:rPr>
          <w:rFonts w:ascii="Times New Roman;Times;Serif" w:hAnsi="Times New Roman;Times;Serif"/>
          <w:b/>
          <w:i w:val="false"/>
          <w:caps w:val="false"/>
          <w:smallCaps w:val="false"/>
          <w:sz w:val="20"/>
        </w:rPr>
        <w:t xml:space="preserve">Vancouver, </w:t>
      </w:r>
      <w:bookmarkStart w:id="18" w:name="xdx_90F_edei--EntityAddressStateOrProvin"/>
      <w:bookmarkEnd w:id="18"/>
      <w:r>
        <w:rPr>
          <w:rFonts w:ascii="Times New Roman;Times;Serif" w:hAnsi="Times New Roman;Times;Serif"/>
          <w:b/>
          <w:i w:val="false"/>
          <w:caps w:val="false"/>
          <w:smallCaps w:val="false"/>
          <w:sz w:val="20"/>
        </w:rPr>
        <w:t xml:space="preserve">British Columbia </w:t>
      </w:r>
      <w:bookmarkStart w:id="19" w:name="xdx_900_edei--EntityAddressPostalZipCode"/>
      <w:bookmarkEnd w:id="19"/>
      <w:r>
        <w:rPr>
          <w:rFonts w:ascii="Times New Roman;Times;Serif" w:hAnsi="Times New Roman;Times;Serif"/>
          <w:b/>
          <w:i w:val="false"/>
          <w:caps w:val="false"/>
          <w:smallCaps w:val="false"/>
          <w:sz w:val="20"/>
        </w:rPr>
        <w:t>V6C 2T5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20" w:name="xdx_90D_edei--WrittenCommunications_c202"/>
            <w:bookmarkEnd w:id="20"/>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21" w:name="xdx_90E_edei--SolicitingMaterial_c202411"/>
            <w:bookmarkEnd w:id="21"/>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22" w:name="xdx_907_edei--PreCommencementTenderOffer"/>
            <w:bookmarkEnd w:id="22"/>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23" w:name="xdx_907_edei--PreCommencementIssuerTende"/>
            <w:bookmarkEnd w:id="23"/>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9"/>
        <w:gridCol w:w="60"/>
        <w:gridCol w:w="1299"/>
        <w:gridCol w:w="60"/>
        <w:gridCol w:w="1927"/>
      </w:tblGrid>
      <w:tr>
        <w:trPr/>
        <w:tc>
          <w:tcPr>
            <w:tcW w:w="685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9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B_edei--Security12bTitle_c20241112"/>
            <w:bookmarkEnd w:id="24"/>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9_edei--TradingSymbol_c20241112__2"/>
            <w:bookmarkEnd w:id="25"/>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C_edei--SecurityExchangeName_c2024"/>
            <w:bookmarkEnd w:id="26"/>
            <w:r>
              <w:rPr>
                <w:rFonts w:ascii="Times New Roman;Times;Serif" w:hAnsi="Times New Roman;Times;Serif"/>
                <w:b w:val="false"/>
                <w:i w:val="false"/>
                <w:caps w:val="false"/>
                <w:smallCaps w:val="false"/>
                <w:sz w:val="20"/>
              </w:rPr>
              <w:t>The Nasdaq Stock Market LLC</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 w:name="xdx_908_edei--Security12bTitle_c20241112"/>
            <w:bookmarkEnd w:id="27"/>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 w:name="xdx_905_edei--TradingSymbol_c20241112__2"/>
            <w:bookmarkEnd w:id="28"/>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 w:name="xdx_902_edei--SecurityExchangeName_c2024"/>
            <w:bookmarkEnd w:id="29"/>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0" w:name="xdx_90D_edei--EntityEmergingGrowthCompan"/>
      <w:bookmarkEnd w:id="30"/>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1" w:name="xdx_90C_edei--EntityExTransitionPeriod_c"/>
      <w:bookmarkEnd w:id="3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980"/>
        <w:gridCol w:w="4805"/>
      </w:tblGrid>
      <w:tr>
        <w:trPr/>
        <w:tc>
          <w:tcPr>
            <w:tcW w:w="98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8.01 under “Preliminary Unaudited Financial Information as of and for the three months ended September 30, 2024” is incorporated into this Item 2.02 by reference.</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040"/>
        <w:gridCol w:w="1445"/>
      </w:tblGrid>
      <w:tr>
        <w:trPr/>
        <w:tc>
          <w:tcPr>
            <w:tcW w:w="104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TMC the metals company Inc. (the “Company” or “TMC”) provided the following corporate update regarding the expected submission date of its subsidiary, Nauru Ocean Resources Inc.’s (“NORI”), application (the “Application”) for a plan of work to the International Seabed Authority (“ISA”) for the Company’s first exploitation contract for the collection, processing and refining of polymetallic nodules found on the seafloor in NORI’s contract area in international waters of the Clarion Clipperton Zone (“CCZ”), about 1,500 miles south-west of San Diego, California and NORI’s strategy following the submission of the Application; ISA progress on adopting the final rules, regulations and procedures for exploitation of seafloor polymetallic nodules (“RRPs” or the “Mining Code”), additions to the Company’s business strategy and preliminary unaudited financial information as of and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NORI Application Submission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discussions between NORI and its sponsoring state, the Republic of Nauru, NORI has set the date of June 27, 2025 for its expected submission of the Application to the 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ISA Council's decisions ISBA/28/C/24 and ISBA/28/C/25, if NORI submits an application for a plan of work for exploitation before the RRPs have been adopted, the ISA Council at its next meeting, as a matter of priority, will consider the process for considering such an application. The ISA Council is not scheduled to meet again until March 2025. The Company believes it is unlikely that the ISA Council will consider an application for a plan of work for exploitation before this session. Considering this, Nauru is formally requesting that the ISA clarify the submission and review process for such an application at the March 2025 meetings before NORI submits the Application and, therefore, has decided to submit the Application after the March 2025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Company’s view, the process for the consideration of the Application has already been set forth under the United Nations Convention on the Law of the Sea (“UNCLOS” or “Convention”) and Paragraph 15 of Section 1 of the Annex to the 1994 Agreement relating to the Implementation of Part XI of the United Nations Convention on the Law of the Sea of 10 December 1982 (the “1994 Agreement”). Consistent with NORI’s rights under the Convention and the 1994 Agreement, NORI can submit the Application and have it considered and provisionally approved based on “the provisions of the Convention and any rules, regulations and procedures that the Council may have adopted provisionally, or on the basis of the norms contained in the Convention and the terms and principles contained in the Implementation Agreement as well as the principle of non-discrimination among contractors.” In an effort to ensure clarity on the submission process, consideration of the Application, and timelines, the Republic of Nauru, in consultation with NORI, is formally requesting that this issue be added to the agenda of the ISA Council’s March 2025 meeting. The Company believes that this will allow the ISA Council to agree on the process prior to NORI’s Application submission date of June 27, 2025 and to help provide more certainty to NORI, the Company and the ISA in the submission and review of the Application. The Company and Nauru are confident in their rights under the 1994 Agreement, and if necessary in the future, can also seek action through International Tribunal for the Law of the Sea’s Seabed Disputes Chamber to seek additional clarity on the submission and review of the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Code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ISA Council completed a first reading of the consolidated text of the draft Mining Code at the July 2024 Council meeting. It was agreed that a revised consolidated text of the draft Mining Code would be provided to the ISA Council by the end of November 2024. The Company has engaged with Leticia Reis de Carvalho, the newly-elected Secretary General of the ISA, and expects to work with Ms. Carvalho in a constructive manner as the ISA continues to work to have the final Mining Code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 Reductions and Deferral of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expected submission of the Application by NORI, the Company expects quarterly cash use of less than $5 million. The Company has already begun the process of reducing or eliminating certain operating expenses to ensure the Company’s financial resiliency while the ISA considers NORI’s expected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Company does not expect to raise funds for capital expenditures related to the preparation of the Hidden Gem vessel for commercial production until such time as the final RRPs are adopted, the Application is approved based on the draft RRPs, or until other potential non-dilutive strategic financing is in place. The Company expects to provide further updates on the potential timing of the start of commercial production following sufficient clarity on these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Expanded Company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significant rise in seafloor resource exploration opportunities around the globe and the Company’s leadership position and experience in this industry, having invested over $500 million since inception to achieve milestones in environmental research, resource definition, test mining and test processing, the Company has begun to explore a new strategy to (1) develop a services business for seafloor resource development and (2) optimize and diversify its resource portfolio within the Area and in national jurisdictions. We are in discussions with several parties on services contracts to provide our expertise in the areas of new exploration plans of work, resource definition, environmental impact assessments, data management and offshore campaign execution. We are also actively evaluating opportunities for the Company to enter new exploration contract areas, already permitted properties and producing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 discussions with respect to these new opportunities, there can be no assurances that we will enter into agreements with respect to the development of a services business or to optimize and diversify our portfolio in a particular time period, or at all, or on terms that will allow either of these opportunities to be developed and executed in a profitable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Unaudited Financial Information as of and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2024, the Company estimates that it had cash on hand of $0.4 million. In addition, as of September 30, 2024, the Company estimates that it had short-term debt of approximately $9.2 million, representing amounts outstanding under the Unsecured Credit Facility, dated March 22, 2024, as amended, with Gerard Barron, our Chief Executive Officer and Chairman, and ERAS Capital LLC, the family fund of our director, Andrei Karkar (the “2024 Credit Facility”), and the Working Capital Loan Agreement, dated September 9, 2024, with Allseas Investments S.A. (the “Working Capital Loan Agreement”). The Company also estimates that operating expenses were approximately $20.0 million and net cash used in operating activities was approximately $5.7 million for the three months ended September 30, 2024. As of September 30, 2024, there remained $20.8 million undrawn under the 2024 Credit Facility and the full amount of $27.5 million undrawn from the Unsecured Credit Facility, dated March 22, 2023, as amended, with Argentum Cedit Virtuti GCV, a company related to Allseas Group SA (the “2023 Credit Facility”). In addition, as of September 30, 2024, the Company had approximately $25 million available to be sold under the At-the-Market Equity Distribution Agreement (the “Sales Agreement”), with Wedbush Securities Inc., having raised $4.9 million in the nine months ended September 30, 2024 at an average per share price of $1.53.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above is estimated, unaudited and preliminary and is subject to completion. The Company is in the process of finalizing its financial results for the quarter ended September 30, 2024. As a result, the estimates above may differ from the actual results that will be presented in the Company’s consolidated financial statements as of and for the quarter ended September 30, 2024 when these consolidated financial statements are completed. The information presented above is based upon management estimates to date and is the responsibility of management. The Company’s independent registered public accounting firm has not audited, reviewed, compiled or performed any procedures with respect to this information and, accordingly, does not express an opinion or any other form of assurance upon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reminds investors that they should carefully review and consider the information regarding certain factors that could materially affect the Company’s business, consolidated financial condition or results of operations as set forth under Part I, Item 1A, “Risk Factors” in the Company’s Annual Report on Form 10-K for the year ended December 31, 2023 as filed with the Securities and Exchange Commission (“SEC”) on March 25, 2024, as materially changed or added to as set forth under Part II, Item 1A, “Risk Factors” in the Company’s Quarterly Report on Form 10-Q for the quarter ended June 30, 2024 as filed with the SEC on August 14, 2024 and as set forth in Exhibit 99.1 to this Current Report on Form 8-K, which exhibit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and information within the meaning of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statements regarding the Application and the timing of the submission and review thereof, the adoption of the final Mining Code, the Company’s expected future operating results and expenses, the timing and amount of capital expenses, new business opportunities and strategies for the Company and the Company's preliminary unaudited financial information as of and for the three months ended September 30, 2024.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changes in the Company's financial results for the period ended September 30, 2024 from those set forth in the preliminary unaudited financial information as of and for the three months ended September 30, 2024; TMC’s strategies and future financial performance; the ISA’s ability to timely adopt the final Mining Code and/or willingness to review and/or approve a plan of work for exploitation under UNCLOS; TMC’s ability to obtain exploitation contracts or approved plans of work for exploitation for its areas in the CCZ; regulatory uncertainties and the impact of government regulation and political instability on TMC’s resource activities; TMC’s ability to comply with its exploration contracts and maintain their effectiveness without monetary penalty, suspension or termination; changes to any of the laws, rules, regulations or policies to which TMC is subject, including the terms of the final Mining Code, if any, adopted by ISA and the potential timing thereof;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TMC’s ability to successfully enter into binding agreements with Allseas Group S.A.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TMC’s dependence on Allseas Group S.A.; TMC’s ability to successfully adopt and profitably execute a new business strategy to develop a services business and to optimize and expand its resource portfolio; fluctuations in transportation costs; fluctuations in metals prices; testing and manufacturing of equipment; risks associated with TMC’s limited operating history, limited cash resources and need for additional financing; risks associated with TMC’s intellectual property; Low Carbon Royalties’ limited operating history; and other risks and uncertainties, including those under Part I, Item 1A “Risk Factors” in TMC’s Annual Report on Form 10-K for the year ended December 31, 2023, filed by TMC with the SEC on March 25, 2024, and in TMC’s other future filings with the SEC, including TMC’s Quarterly Reports on Form 10-Q and this Current Report on Form 8-K.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1205"/>
        <w:gridCol w:w="60"/>
        <w:gridCol w:w="653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427511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427511d2_ex99-1.htm">
              <w:r>
                <w:rPr>
                  <w:rStyle w:val="InternetLink"/>
                  <w:rFonts w:ascii="Times New Roman;Times;Serif" w:hAnsi="Times New Roman;Times;Serif"/>
                  <w:sz w:val="20"/>
                </w:rPr>
                <w:t>Risk Factor Updates</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99" w:type="dxa"/>
        <w:jc w:val="left"/>
        <w:tblInd w:w="0" w:type="dxa"/>
        <w:tblLayout w:type="fixed"/>
        <w:tblCellMar>
          <w:top w:w="0" w:type="dxa"/>
          <w:left w:w="0" w:type="dxa"/>
          <w:bottom w:w="0" w:type="dxa"/>
          <w:right w:w="0" w:type="dxa"/>
        </w:tblCellMar>
      </w:tblPr>
      <w:tblGrid>
        <w:gridCol w:w="2210"/>
        <w:gridCol w:w="734"/>
        <w:gridCol w:w="2555"/>
      </w:tblGrid>
      <w:tr>
        <w:trPr/>
        <w:tc>
          <w:tcPr>
            <w:tcW w:w="2210"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2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rFonts w:ascii="Times New Roman;Times;Serif" w:hAnsi="Times New Roman;Times;Serif"/>
                <w:sz w:val="20"/>
              </w:rPr>
              <w:t>Date: November 12</w:t>
            </w:r>
            <w:r>
              <w:rPr/>
              <w:t>, 2024</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2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2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2" w:name="tm2427511d2_ex99-1.htm"/>
      <w:bookmarkStart w:id="33" w:name="kstm2427511d2_ex991"/>
      <w:bookmarkEnd w:id="32"/>
      <w:bookmarkEnd w:id="33"/>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 Update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Investors should carefully review and consider the information regarding certain factors that could materially affect TMC the metals company Inc.’s (the “Company”) business, consolidated financial condition or results of operations set forth under Part I, Item 1A, “Risk Factors” in the Company’s Annual Report on Form 10-K for the year ended December 31, 2023 as filed with the Securities and Exchange Commission (“SEC”) on March 25, 2024 (the “2023 Form 10-K”), as materially changed or added to as set forth under Part II, Item 1A, “Risk Factors” in the Company’s Quarterly Report on Form 10-Q for the quarter ended June 30, 2024 as filed with the SEC on August 14, 2024 (the “2024 Form 10-Q”) and as set forth below. There have been no material changes from or additions to the risk factors disclosed in the 2023 Form 10-K and 2024 Form 10-Q other than the revised and new risk factors set forth below. The Company may disclose changes to risk factors or additional factors from time to time in its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numerous regulatory uncertainties which, if not resolved in our favor, would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2023 the United Nations finalized the UN High Seas Treaty. The treaty does not replace or amend UNCLOS, or the authority of the ISA, and must be interpreted consistently with the rights granted by the Convention.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no commercial collection (also referred to as “mining,” “exploitation” or “harvesting”) of nodules has occurred on the seafloor in the area of the high seas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TOML and Marawa contract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paragraph 15 of the 1994 Agreement Relating to the Implementation of Part XI of UNCLOS (the “1994 Agreement”)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The road map included three scheduled ISA Council meetings through July 2024 to elaborate the Mining Code.  The Mining Code was not completed at the July 2024 ISA Council meetings and during these meetings, the ISA agreed to continue the negotiations of the Mining Code with a continued view to its adoption during the 30th session of the ISA in 2025. The ISA Council has scheduled two ISA Council meetings in March and July 2025 to progress the Mining Code and has agreed to continue working intersessionally to advance the text  Although we believe the ISA will adopt the Mining Code, there can be no assurances that the Mining Code will be adopted within this timeline, or at all, as a result of actions of ISA member States or otherwise. For example, at least 30 ISA member States out of the 169 ISA members have expressed reservations about the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ISA Council did not complete the adoption and elaboration of the Mining Code by the prescribed deadline of July 9, 2023, pursuant to Section 1, Paragraph 15(c) of the Annex to the 1994 Agreement,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including the principle of non-discrimination among contractors.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NORI intends to submit an application to the ISA for an exploitation contract, which will include a plan of work for exploitation for the NORI contract area, on June 27, 2025. If the ISA has not adopted the final Mining Code by the time NORI submits this application, we believe that the ISA will review and provisionally approve the plan of work for exploitation included therein pursuant to Section 1, Paragraph 15(c) of the Annex to the 1994 Agreement discussed above. The ISA released its road map to finalize the Mining Code at its July 2023 session and at its July 2024 session agreed to continue the negotiations of the Mining Code with a continued view to its adoption during the 30th session of the ISA in 2025, however, it has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ISA’s Legal and Technical Commission (LTC) and whether and how long the ISA could delay its consideration of an application past the proscribed 60-day period. As a result, and in light of some ISA Member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  On August 2, 2024, the ISA Assembly elected Leticia Carvalho of Brazil as the new Secretary-General of the ISA for the period 2025-2028.  There can be no assurances that the ISA’s stated target for adoption of the Mining Code of 2025 will be met or that any application for an exploitation contract will be approved before the final Mining Code is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Environment and Social Impact Assessment (ESIA), culminating in an Environmental Impact Statement (“EIS”), prior to collecting nodules at a commercial scale. The EIS would be accompanied by an Environmental Management and Monitoring Plan which is expected to specify the objectives and purpose of all monitoring requirements, the components to be monitored, frequency of monitoring, methods of monitoring, analysis required in each monitoring component, monitoring data management and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move our exploration projects into commercial production, our wholly-owned subsidiaries, NORI and TOML will each need to receive an exploitation contract with the ISA, as will our partner, Marawa,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Tonga and Nauru,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While the rates of payments are yet to be set by the ISA, the 1994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We currently hold exclusive exploration rights through our subsidiaries NORI and TOML and exclusive commercial rights through an agreement with Marawa, to three polymetallic nodule areas in the CCZ. The exploration contracts for each of these three areas require us to conduct certain activities in accordance with approved plans of work. The suspension or termination of our exploration contract for the NORI area would, and any of our other explorations contracts could, have a material and adverse effect on our future business prospects and financial condition. In 2024, the LTC of the ISA established a new process to identify contractors who may be at risk of non-compliance with obligations under their respective exploration contract. In August 2024, as a result of this new process, the ISA sent notifications of such potential risk of non-compliance to TOML and Marawa. TOML and Marawa have until November 30, 2024 to respond to the notices. The LTC’s notification to TOML cited concerns, which relate mainly to the failure to conduct planned sampling campaigns, the need to submit digital data in the revised reporting templates, delays in surveys for environmental baseline development, and the delay in submission of its scoping report. The LTC’s notification to Marawa cited concerns, which relate mainly to the lack of expedition work, absence of study activities or data submission, failure to provide a detailed exploration strategy, delays in conducting planned research cruises, and insufficient analysis of biological samples. Both TOML and Marawa are in the process of responding to the notifications. If the LTC deems either response incomplete or does not effectively address the LTC’s concerns, or if either TOML or Marawa fails to respond in a timely manner, the LTC, in line with its established process, may report TOML or Marawa to the ISA Council for further consideration and action. If either TOML or Marawa is deemed to have not remedied all issues raised by the LTC and the ISA then determines that TOML or Marwara is not in compliance with its respective obligations under its respective exploration contract, the ISA could impose monetary sanctions on TOML or Marawa, suspend some or all rights under the applicable exploration contract, which could include halting exploration activities, or terminate TOML’s or Marawa’s respective exploration contract, any of which could have a material and adverse effect on our future business prospects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color w:val="212529"/>
          <w:sz w:val="20"/>
        </w:rPr>
      </w:pPr>
      <w:r>
        <w:rPr>
          <w:rFonts w:ascii="Times New Roman;Times;Serif" w:hAnsi="Times New Roman;Times;Serif"/>
          <w:b/>
          <w:i/>
          <w:caps w:val="false"/>
          <w:smallCaps w:val="false"/>
          <w:color w:val="212529"/>
          <w:sz w:val="20"/>
        </w:rPr>
        <w:t>We are involved in litigation that may adversely affect us and may not be successful in our litigation related to non-performing Private Investment in Public Equity (“PIPE”) investors.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 xml:space="preserve">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and </w:t>
      </w:r>
      <w:r>
        <w:rPr>
          <w:rFonts w:ascii="Times New Roman;Times;Serif" w:hAnsi="Times New Roman;Times;Serif"/>
          <w:b w:val="false"/>
          <w:i w:val="false"/>
          <w:caps w:val="false"/>
          <w:smallCaps w:val="false"/>
          <w:sz w:val="20"/>
        </w:rPr>
        <w:t>the appeal was heard by the Court on November 8, 2024. The parties are currently awaiting a ruling</w:t>
      </w:r>
      <w:r>
        <w:rPr>
          <w:rFonts w:ascii="Times New Roman;Times;Serif" w:hAnsi="Times New Roman;Times;Serif"/>
          <w:b w:val="false"/>
          <w:i w:val="false"/>
          <w:caps w:val="false"/>
          <w:smallCaps w:val="false"/>
          <w:color w:val="212529"/>
          <w:sz w:val="20"/>
        </w:rPr>
        <w:t>.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captalized exploration contract related to NORI. The alleged misstatements and omissions pertain to our initial classification of this non-financial asset as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We intend to defend against the lawsuit. There can be no assurance, however, that we will be successful in our defense, or that insurance will be available or adequate to fund any settlement or judgment or the litigation costs of this action. Due to the early stage of this litigation, such losses or range of possible losses cannot be reliably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6094</Words>
  <Characters>32735</Characters>
  <CharactersWithSpaces>38882</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