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8760"/>
        <w:spacing w:after="0"/>
        <w:rPr>
          <w:sz w:val="20"/>
          <w:szCs w:val="20"/>
          <w:color w:val="auto"/>
        </w:rPr>
      </w:pPr>
      <w:r>
        <w:rPr>
          <w:rFonts w:ascii="Times New Roman" w:cs="Times New Roman" w:eastAsia="Times New Roman" w:hAnsi="Times New Roman"/>
          <w:sz w:val="17"/>
          <w:szCs w:val="17"/>
          <w:b w:val="1"/>
          <w:bCs w:val="1"/>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5568315</wp:posOffset>
            </wp:positionH>
            <wp:positionV relativeFrom="paragraph">
              <wp:posOffset>-118110</wp:posOffset>
            </wp:positionV>
            <wp:extent cx="1569085"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9085" cy="574040"/>
                    </a:xfrm>
                    <a:prstGeom prst="rect">
                      <a:avLst/>
                    </a:prstGeom>
                    <a:noFill/>
                  </pic:spPr>
                </pic:pic>
              </a:graphicData>
            </a:graphic>
          </wp:anchor>
        </w:drawing>
      </w:r>
    </w:p>
    <w:p>
      <w:pPr>
        <w:spacing w:after="0" w:line="23" w:lineRule="exact"/>
        <w:rPr>
          <w:sz w:val="24"/>
          <w:szCs w:val="24"/>
          <w:color w:val="auto"/>
        </w:rPr>
      </w:pPr>
    </w:p>
    <w:p>
      <w:pPr>
        <w:jc w:val="center"/>
        <w:ind w:left="8760"/>
        <w:spacing w:after="0"/>
        <w:rPr>
          <w:sz w:val="20"/>
          <w:szCs w:val="20"/>
          <w:color w:val="auto"/>
        </w:rPr>
      </w:pPr>
      <w:r>
        <w:rPr>
          <w:rFonts w:ascii="Times New Roman" w:cs="Times New Roman" w:eastAsia="Times New Roman" w:hAnsi="Times New Roman"/>
          <w:sz w:val="18"/>
          <w:szCs w:val="18"/>
          <w:b w:val="1"/>
          <w:bCs w:val="1"/>
          <w:color w:val="auto"/>
        </w:rPr>
        <w:t>001-39281</w:t>
      </w:r>
    </w:p>
    <w:p>
      <w:pPr>
        <w:spacing w:after="0" w:line="9" w:lineRule="exact"/>
        <w:rPr>
          <w:sz w:val="24"/>
          <w:szCs w:val="24"/>
          <w:color w:val="auto"/>
        </w:rPr>
      </w:pPr>
    </w:p>
    <w:p>
      <w:pPr>
        <w:jc w:val="center"/>
        <w:ind w:left="8760"/>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3" w:lineRule="exact"/>
        <w:rPr>
          <w:sz w:val="24"/>
          <w:szCs w:val="24"/>
          <w:color w:val="auto"/>
        </w:rPr>
      </w:pPr>
    </w:p>
    <w:p>
      <w:pPr>
        <w:jc w:val="center"/>
        <w:ind w:left="8760"/>
        <w:spacing w:after="0"/>
        <w:rPr>
          <w:sz w:val="20"/>
          <w:szCs w:val="20"/>
          <w:color w:val="auto"/>
        </w:rPr>
      </w:pPr>
      <w:r>
        <w:rPr>
          <w:rFonts w:ascii="Times New Roman" w:cs="Times New Roman" w:eastAsia="Times New Roman" w:hAnsi="Times New Roman"/>
          <w:sz w:val="18"/>
          <w:szCs w:val="18"/>
          <w:b w:val="1"/>
          <w:bCs w:val="1"/>
          <w:color w:val="auto"/>
        </w:rPr>
        <w:t>87261Y106</w:t>
      </w:r>
    </w:p>
    <w:p>
      <w:pPr>
        <w:spacing w:after="0" w:line="21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 12b-25</w:t>
            </w:r>
          </w:p>
        </w:tc>
        <w:tc>
          <w:tcPr>
            <w:tcW w:w="15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2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60"/>
        </w:trPr>
        <w:tc>
          <w:tcPr>
            <w:tcW w:w="26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w:t>
            </w:r>
          </w:p>
        </w:tc>
        <w:tc>
          <w:tcPr>
            <w:tcW w:w="1580" w:type="dxa"/>
            <w:vAlign w:val="bottom"/>
            <w:gridSpan w:val="2"/>
          </w:tcPr>
          <w:p>
            <w:pPr>
              <w:ind w:left="560"/>
              <w:spacing w:after="0" w:line="207" w:lineRule="exact"/>
              <w:rPr>
                <w:sz w:val="20"/>
                <w:szCs w:val="20"/>
                <w:color w:val="auto"/>
              </w:rPr>
            </w:pP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Form 20-F</w:t>
            </w:r>
          </w:p>
        </w:tc>
        <w:tc>
          <w:tcPr>
            <w:tcW w:w="2960" w:type="dxa"/>
            <w:vAlign w:val="bottom"/>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w:t>
            </w:r>
          </w:p>
        </w:tc>
        <w:tc>
          <w:tcPr>
            <w:tcW w:w="158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w:t>
            </w:r>
          </w:p>
        </w:tc>
        <w:tc>
          <w:tcPr>
            <w:tcW w:w="1520" w:type="dxa"/>
            <w:vAlign w:val="bottom"/>
          </w:tcPr>
          <w:p>
            <w:pPr>
              <w:ind w:left="500"/>
              <w:spacing w:after="0" w:line="207" w:lineRule="exact"/>
              <w:rPr>
                <w:sz w:val="20"/>
                <w:szCs w:val="20"/>
                <w:color w:val="auto"/>
              </w:rPr>
            </w:pPr>
            <w:r>
              <w:rPr>
                <w:rFonts w:ascii="MS PGothic" w:cs="MS PGothic" w:eastAsia="MS PGothic" w:hAnsi="MS PGothic"/>
                <w:sz w:val="18"/>
                <w:szCs w:val="18"/>
                <w:color w:val="auto"/>
                <w:w w:val="97"/>
              </w:rPr>
              <w:t>☐</w:t>
            </w:r>
            <w:r>
              <w:rPr>
                <w:rFonts w:ascii="Times New Roman" w:cs="Times New Roman" w:eastAsia="Times New Roman" w:hAnsi="Times New Roman"/>
                <w:sz w:val="18"/>
                <w:szCs w:val="18"/>
                <w:color w:val="auto"/>
                <w:w w:val="97"/>
              </w:rPr>
              <w:t xml:space="preserve"> Form 10-D</w:t>
            </w:r>
          </w:p>
        </w:tc>
      </w:tr>
      <w:tr>
        <w:trPr>
          <w:trHeight w:val="432"/>
        </w:trPr>
        <w:tc>
          <w:tcPr>
            <w:tcW w:w="2600" w:type="dxa"/>
            <w:vAlign w:val="bottom"/>
          </w:tcPr>
          <w:p>
            <w:pPr>
              <w:ind w:left="1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tc>
        <w:tc>
          <w:tcPr>
            <w:tcW w:w="4540" w:type="dxa"/>
            <w:vAlign w:val="bottom"/>
            <w:gridSpan w:val="3"/>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4"/>
        </w:trPr>
        <w:tc>
          <w:tcPr>
            <w:tcW w:w="4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color w:val="auto"/>
              </w:rPr>
              <w:t>September 30, 2024</w:t>
            </w:r>
          </w:p>
        </w:tc>
        <w:tc>
          <w:tcPr>
            <w:tcW w:w="2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
        </w:trPr>
        <w:tc>
          <w:tcPr>
            <w:tcW w:w="26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25" w:lineRule="exact"/>
        <w:rPr>
          <w:sz w:val="24"/>
          <w:szCs w:val="24"/>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25"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5"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5"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25"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For the Transition Period Ended: _____________________</w:t>
      </w:r>
    </w:p>
    <w:p>
      <w:pPr>
        <w:spacing w:after="0" w:line="2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20" w:lineRule="exact"/>
        <w:rPr>
          <w:sz w:val="24"/>
          <w:szCs w:val="24"/>
          <w:color w:val="auto"/>
        </w:rPr>
      </w:pPr>
    </w:p>
    <w:p>
      <w:pPr>
        <w:ind w:right="2400"/>
        <w:spacing w:after="0" w:line="282" w:lineRule="auto"/>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relates:________________________________________________________________________________________</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1111 West Hastings Street,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Vancouver, British Columbia V6E 2J3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455" w:right="7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920" w:hanging="549"/>
        <w:spacing w:after="0"/>
        <w:tabs>
          <w:tab w:leader="none" w:pos="1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1920" w:hanging="1912"/>
        <w:spacing w:after="0" w:line="261" w:lineRule="auto"/>
        <w:tabs>
          <w:tab w:leader="none" w:pos="13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79" w:lineRule="exact"/>
        <w:rPr>
          <w:rFonts w:ascii="MS PGothic" w:cs="MS PGothic" w:eastAsia="MS PGothic" w:hAnsi="MS PGothic"/>
          <w:sz w:val="18"/>
          <w:szCs w:val="18"/>
          <w:color w:val="auto"/>
        </w:rPr>
      </w:pPr>
    </w:p>
    <w:p>
      <w:pPr>
        <w:ind w:left="1920" w:hanging="549"/>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-1079500</wp:posOffset>
            </wp:positionV>
            <wp:extent cx="8255" cy="1097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0972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TMC the metals company Inc. (the “Company”) is unable to file its Quarterly Report on Form 10-Q for the quarter ended September 30, 2024 (the “Form 10-Q”) within the prescribed time period without unreasonable effort or expense because it is experiencing a delay in the completion of its condensed consolidated financial statements for the quarter ended September 30, 2024, which is primarily due to an assessment of the impact on these financial statements with respect to the Company entering into a securities purchase agreement on November 14, 2024 in connection with a registered direct offering of common shares and Class B warrants to purchase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file the Form 10-Q within the five calendar day extension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Craig Shesky</w:t>
            </w:r>
          </w:p>
        </w:tc>
        <w:tc>
          <w:tcPr>
            <w:tcW w:w="350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8"/>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350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(888)</w:t>
            </w:r>
          </w:p>
        </w:tc>
        <w:tc>
          <w:tcPr>
            <w:tcW w:w="42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458-3420</w:t>
            </w:r>
          </w:p>
        </w:tc>
      </w:tr>
      <w:tr>
        <w:trPr>
          <w:trHeight w:val="22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5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(Area Code)</w:t>
            </w:r>
          </w:p>
        </w:tc>
        <w:tc>
          <w:tcPr>
            <w:tcW w:w="4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(Telephone Number)</w:t>
            </w:r>
          </w:p>
        </w:tc>
      </w:tr>
    </w:tbl>
    <w:p>
      <w:pPr>
        <w:spacing w:after="0" w:line="179"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w:t>
      </w:r>
    </w:p>
    <w:p>
      <w:pPr>
        <w:spacing w:after="0" w:line="27" w:lineRule="exact"/>
        <w:rPr>
          <w:rFonts w:ascii="Times New Roman" w:cs="Times New Roman" w:eastAsia="Times New Roman" w:hAnsi="Times New Roman"/>
          <w:sz w:val="18"/>
          <w:szCs w:val="18"/>
          <w:color w:val="auto"/>
        </w:rPr>
      </w:pPr>
    </w:p>
    <w:p>
      <w:pPr>
        <w:ind w:left="46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 of the Investment Company Act of 1940 during the preceding 12 months or for such shorter period the the registrant was required to file such report(s) been filed? If the answer is no, identify report(s).</w:t>
      </w:r>
    </w:p>
    <w:p>
      <w:pPr>
        <w:spacing w:after="0" w:line="59" w:lineRule="exact"/>
        <w:rPr>
          <w:rFonts w:ascii="Times New Roman" w:cs="Times New Roman" w:eastAsia="Times New Roman" w:hAnsi="Times New Roman"/>
          <w:sz w:val="18"/>
          <w:szCs w:val="18"/>
          <w:color w:val="auto"/>
        </w:rPr>
      </w:pPr>
    </w:p>
    <w:p>
      <w:pPr>
        <w:ind w:left="720" w:hanging="253"/>
        <w:spacing w:after="0" w:line="207" w:lineRule="exact"/>
        <w:tabs>
          <w:tab w:leader="none" w:pos="720"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460" w:right="460" w:hanging="452"/>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39" w:lineRule="exact"/>
        <w:rPr>
          <w:rFonts w:ascii="Times New Roman" w:cs="Times New Roman" w:eastAsia="Times New Roman" w:hAnsi="Times New Roman"/>
          <w:sz w:val="18"/>
          <w:szCs w:val="18"/>
          <w:color w:val="auto"/>
        </w:rPr>
      </w:pPr>
    </w:p>
    <w:p>
      <w:pPr>
        <w:ind w:left="720" w:hanging="253"/>
        <w:spacing w:after="0" w:line="207" w:lineRule="exact"/>
        <w:tabs>
          <w:tab w:leader="none" w:pos="720"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-598805</wp:posOffset>
            </wp:positionV>
            <wp:extent cx="6840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46" w:lineRule="exact"/>
        <w:rPr>
          <w:sz w:val="20"/>
          <w:szCs w:val="20"/>
          <w:color w:val="auto"/>
        </w:rPr>
      </w:pPr>
    </w:p>
    <w:p>
      <w:pPr>
        <w:ind w:left="340" w:right="58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left="340" w:right="60"/>
        <w:spacing w:after="0" w:line="270" w:lineRule="auto"/>
        <w:rPr>
          <w:sz w:val="20"/>
          <w:szCs w:val="20"/>
          <w:color w:val="auto"/>
        </w:rPr>
      </w:pPr>
      <w:r>
        <w:rPr>
          <w:rFonts w:ascii="Times New Roman" w:cs="Times New Roman" w:eastAsia="Times New Roman" w:hAnsi="Times New Roman"/>
          <w:sz w:val="17"/>
          <w:szCs w:val="17"/>
          <w:color w:val="auto"/>
        </w:rPr>
        <w:t>The Company announced its unaudited financial results for the quarter ended September 30, 2024 in an earnings press release issued on November 14, 2024, which was furnished as Exhibit 99.1 to the Company’s Current Report on Form 8-K furnished to the Securities and Exchange Commission (the “SEC”) on the same date. The Company reported that it held cash of approximately $0.4 million, short-term debt of $9.2 million and accounts payable and accrued liabilities of $48.0 million as of September 30, 2024. In addition, for the three months ended September 30, 2024, the Company reported</w:t>
      </w:r>
    </w:p>
    <w:p>
      <w:pPr>
        <w:spacing w:after="0" w:line="3" w:lineRule="exact"/>
        <w:rPr>
          <w:sz w:val="20"/>
          <w:szCs w:val="20"/>
          <w:color w:val="auto"/>
        </w:rPr>
      </w:pPr>
    </w:p>
    <w:p>
      <w:pPr>
        <w:ind w:left="340" w:right="680" w:hanging="8"/>
        <w:spacing w:after="0" w:line="260" w:lineRule="auto"/>
        <w:tabs>
          <w:tab w:leader="none" w:pos="5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loss of approximately $20.5 million, or $0.06 per share, (ii) exploration and evaluation expenses of $11.8 million and (iii) general and administrative expenses of $8.1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Notification of Late Filing on Form 12b-25 contains forward-looking statements, including statements regarding the Company’s ability to complete the filing of the Form 10-Q within the 5-day extension period and the Company’s expectation that the financial results reported in its earnings press release as of and for the three months ended September 30, 2024 will be the same as those reported in the Form 10-Q. These statements are based on current expectations as of the date of this Notification of Late Filing on Form 12b-25 and involve a number of risks and uncertainties, which may cause results to differ materially from those indicated by these forward-looking statements. These risks include, without limitation, risks related to the inability of the Company to receive the amendment signed by an authorized signatory in a timely basis, or at all, changes in the Company’s expected financial results due to the inability to receive the amendment signed by an authorized signatory or otherwise, the Company’s ability to complete the Form 10-Q, including the financial statements for the quarter ended September 30, 2024, and the possibility that it will not be able to do so within the anticipated time period and other risks detailed in the Company’s filings with the SEC, including its Annual Report on Form 10-K for the year ended December 31, 2023 filed with the SEC on March 25, 2024, as updated in subsequent filings with the SEC. You are cautioned not to place undue reliance on these forward-looking statements, which speak only as of the date of this Notification of Late Filing on Form 12b-25. The Company undertakes no obligation to revise or update any forward-looking statements to reflect events or circumstances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2024</w:t>
            </w: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Craig Shesky</w:t>
            </w:r>
          </w:p>
        </w:tc>
      </w:tr>
      <w:tr>
        <w:trPr>
          <w:trHeight w:val="191"/>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88"/>
        </w:trPr>
        <w:tc>
          <w:tcPr>
            <w:tcW w:w="37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lvl w:ilvl="1">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2024-11-15T05:18:47Z</dcterms:created>
  <dcterms:modified xsi:type="dcterms:W3CDTF">2024-11-15T05:18:47Z</dcterms:modified>
</cp:coreProperties>
</file>