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73025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7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5"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8" w:lineRule="exact"/>
        <w:rPr>
          <w:sz w:val="24"/>
          <w:szCs w:val="24"/>
          <w:color w:val="auto"/>
        </w:rPr>
      </w:pPr>
    </w:p>
    <w:p>
      <w:pPr>
        <w:ind w:left="3550" w:right="2600" w:hanging="3550"/>
        <w:spacing w:after="0" w:line="372" w:lineRule="auto"/>
        <w:tabs>
          <w:tab w:leader="none" w:pos="333"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September 30, 2024</w:t>
      </w: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6" w:lineRule="exact"/>
        <w:rPr>
          <w:sz w:val="24"/>
          <w:szCs w:val="24"/>
          <w:color w:val="auto"/>
        </w:rPr>
      </w:pPr>
    </w:p>
    <w:p>
      <w:pPr>
        <w:ind w:left="330" w:hanging="330"/>
        <w:spacing w:after="0"/>
        <w:tabs>
          <w:tab w:leader="none" w:pos="33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96" w:lineRule="exact"/>
        <w:rPr>
          <w:sz w:val="24"/>
          <w:szCs w:val="24"/>
          <w:color w:val="auto"/>
        </w:rPr>
      </w:pPr>
    </w:p>
    <w:p>
      <w:pPr>
        <w:ind w:left="3870"/>
        <w:spacing w:after="0"/>
        <w:tabs>
          <w:tab w:leader="none" w:pos="597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3639820</wp:posOffset>
            </wp:positionH>
            <wp:positionV relativeFrom="paragraph">
              <wp:posOffset>0</wp:posOffset>
            </wp:positionV>
            <wp:extent cx="137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0</wp:posOffset>
            </wp:positionV>
            <wp:extent cx="13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2" w:lineRule="exact"/>
        <w:rPr>
          <w:sz w:val="24"/>
          <w:szCs w:val="24"/>
          <w:color w:val="auto"/>
        </w:rPr>
      </w:pPr>
    </w:p>
    <w:p>
      <w:pPr>
        <w:ind w:left="3970"/>
        <w:spacing w:after="0"/>
        <w:rPr>
          <w:sz w:val="20"/>
          <w:szCs w:val="20"/>
          <w:color w:val="auto"/>
        </w:rPr>
      </w:pPr>
      <w:r>
        <w:rPr>
          <w:rFonts w:ascii="Times New Roman" w:cs="Times New Roman" w:eastAsia="Times New Roman" w:hAnsi="Times New Roman"/>
          <w:sz w:val="14"/>
          <w:szCs w:val="14"/>
          <w:b w:val="1"/>
          <w:bCs w:val="1"/>
          <w:color w:val="auto"/>
        </w:rPr>
        <w:t>Commission File Number: 001-39281</w:t>
      </w:r>
    </w:p>
    <w:p>
      <w:pPr>
        <w:spacing w:after="0" w:line="5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40"/>
          <w:szCs w:val="40"/>
          <w:b w:val="1"/>
          <w:bCs w:val="1"/>
          <w:color w:val="auto"/>
        </w:rPr>
        <w:t>TMC THE METALS COMPANY INC.</w:t>
      </w:r>
    </w:p>
    <w:p>
      <w:pPr>
        <w:spacing w:after="0" w:line="3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73" w:lineRule="exact"/>
        <w:rPr>
          <w:sz w:val="24"/>
          <w:szCs w:val="24"/>
          <w:color w:val="auto"/>
        </w:rPr>
      </w:pPr>
    </w:p>
    <w:tbl>
      <w:tblPr>
        <w:tblLayout w:type="fixed"/>
        <w:tblInd w:w="590" w:type="dxa"/>
        <w:tblCellMar>
          <w:top w:w="0" w:type="dxa"/>
          <w:left w:w="0" w:type="dxa"/>
          <w:bottom w:w="0" w:type="dxa"/>
          <w:right w:w="0" w:type="dxa"/>
        </w:tblCellMar>
      </w:tblPr>
      <w:tr>
        <w:trPr>
          <w:trHeight w:val="212"/>
        </w:trPr>
        <w:tc>
          <w:tcPr>
            <w:tcW w:w="4940" w:type="dxa"/>
            <w:vAlign w:val="bottom"/>
          </w:tcPr>
          <w:p>
            <w:pPr>
              <w:jc w:val="center"/>
              <w:ind w:right="999"/>
              <w:spacing w:after="0"/>
              <w:rPr>
                <w:sz w:val="20"/>
                <w:szCs w:val="20"/>
                <w:color w:val="auto"/>
              </w:rPr>
            </w:pPr>
            <w:r>
              <w:rPr>
                <w:rFonts w:ascii="Times New Roman" w:cs="Times New Roman" w:eastAsia="Times New Roman" w:hAnsi="Times New Roman"/>
                <w:sz w:val="16"/>
                <w:szCs w:val="16"/>
                <w:b w:val="1"/>
                <w:bCs w:val="1"/>
                <w:color w:val="auto"/>
              </w:rPr>
              <w:t>British Columbia, Canada</w:t>
            </w:r>
          </w:p>
        </w:tc>
        <w:tc>
          <w:tcPr>
            <w:tcW w:w="3300" w:type="dxa"/>
            <w:vAlign w:val="bottom"/>
          </w:tcPr>
          <w:p>
            <w:pPr>
              <w:jc w:val="center"/>
              <w:ind w:left="979"/>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297"/>
        </w:trPr>
        <w:tc>
          <w:tcPr>
            <w:tcW w:w="4940" w:type="dxa"/>
            <w:vAlign w:val="bottom"/>
          </w:tcPr>
          <w:p>
            <w:pPr>
              <w:jc w:val="center"/>
              <w:ind w:right="99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30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422"/>
        </w:trPr>
        <w:tc>
          <w:tcPr>
            <w:tcW w:w="4940" w:type="dxa"/>
            <w:vAlign w:val="bottom"/>
          </w:tcPr>
          <w:p>
            <w:pPr>
              <w:jc w:val="center"/>
              <w:ind w:right="1039"/>
              <w:spacing w:after="0"/>
              <w:rPr>
                <w:sz w:val="20"/>
                <w:szCs w:val="20"/>
                <w:color w:val="auto"/>
              </w:rPr>
            </w:pPr>
            <w:r>
              <w:rPr>
                <w:rFonts w:ascii="Times New Roman" w:cs="Times New Roman" w:eastAsia="Times New Roman" w:hAnsi="Times New Roman"/>
                <w:sz w:val="16"/>
                <w:szCs w:val="16"/>
                <w:b w:val="1"/>
                <w:bCs w:val="1"/>
                <w:color w:val="auto"/>
                <w:w w:val="99"/>
              </w:rPr>
              <w:t>1111 West Hastings Street, 15th Floor</w:t>
            </w:r>
          </w:p>
        </w:tc>
        <w:tc>
          <w:tcPr>
            <w:tcW w:w="3300" w:type="dxa"/>
            <w:vAlign w:val="bottom"/>
          </w:tcPr>
          <w:p>
            <w:pPr>
              <w:spacing w:after="0"/>
              <w:rPr>
                <w:sz w:val="24"/>
                <w:szCs w:val="24"/>
                <w:color w:val="auto"/>
              </w:rPr>
            </w:pPr>
          </w:p>
        </w:tc>
      </w:tr>
      <w:tr>
        <w:trPr>
          <w:trHeight w:val="212"/>
        </w:trPr>
        <w:tc>
          <w:tcPr>
            <w:tcW w:w="4940" w:type="dxa"/>
            <w:vAlign w:val="bottom"/>
          </w:tcPr>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Vancouver, British Columbia</w:t>
            </w:r>
          </w:p>
        </w:tc>
        <w:tc>
          <w:tcPr>
            <w:tcW w:w="3300" w:type="dxa"/>
            <w:vAlign w:val="bottom"/>
          </w:tcPr>
          <w:p>
            <w:pPr>
              <w:jc w:val="center"/>
              <w:ind w:left="979"/>
              <w:spacing w:after="0"/>
              <w:rPr>
                <w:sz w:val="20"/>
                <w:szCs w:val="20"/>
                <w:color w:val="auto"/>
              </w:rPr>
            </w:pPr>
            <w:r>
              <w:rPr>
                <w:rFonts w:ascii="Times New Roman" w:cs="Times New Roman" w:eastAsia="Times New Roman" w:hAnsi="Times New Roman"/>
                <w:sz w:val="16"/>
                <w:szCs w:val="16"/>
                <w:b w:val="1"/>
                <w:bCs w:val="1"/>
                <w:color w:val="auto"/>
              </w:rPr>
              <w:t>V6E 2J3</w:t>
            </w:r>
          </w:p>
        </w:tc>
      </w:tr>
      <w:tr>
        <w:trPr>
          <w:trHeight w:val="297"/>
        </w:trPr>
        <w:tc>
          <w:tcPr>
            <w:tcW w:w="4940" w:type="dxa"/>
            <w:vAlign w:val="bottom"/>
          </w:tcPr>
          <w:p>
            <w:pPr>
              <w:jc w:val="center"/>
              <w:ind w:right="103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30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8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(888) 458-3420</w:t>
      </w:r>
    </w:p>
    <w:p>
      <w:pPr>
        <w:spacing w:after="0" w:line="2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0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0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0" w:type="dxa"/>
            <w:vAlign w:val="bottom"/>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200" w:type="dxa"/>
            <w:vAlign w:val="bottom"/>
          </w:tcPr>
          <w:p>
            <w:pPr>
              <w:spacing w:after="0"/>
              <w:rPr>
                <w:sz w:val="18"/>
                <w:szCs w:val="18"/>
                <w:color w:val="auto"/>
              </w:rPr>
            </w:pP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88"/>
        </w:trPr>
        <w:tc>
          <w:tcPr>
            <w:tcW w:w="4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Common Shares, without par value</w:t>
            </w: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TMC</w:t>
            </w:r>
          </w:p>
        </w:tc>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89"/>
        </w:trPr>
        <w:tc>
          <w:tcPr>
            <w:tcW w:w="4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Redeemable warrants, each whole warrant exercisable for one</w:t>
            </w: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TMCWW</w:t>
            </w:r>
          </w:p>
        </w:tc>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03"/>
        </w:trPr>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Common Share, each at an exercise price of $11.50 per</w:t>
            </w: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210"/>
        </w:trPr>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share</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spacing w:after="0"/>
              <w:rPr>
                <w:sz w:val="18"/>
                <w:szCs w:val="18"/>
                <w:color w:val="auto"/>
              </w:rPr>
            </w:pPr>
          </w:p>
        </w:tc>
      </w:tr>
    </w:tbl>
    <w:p>
      <w:pPr>
        <w:spacing w:after="0" w:line="87" w:lineRule="exact"/>
        <w:rPr>
          <w:sz w:val="24"/>
          <w:szCs w:val="24"/>
          <w:color w:val="auto"/>
        </w:rPr>
      </w:pPr>
    </w:p>
    <w:p>
      <w:pPr>
        <w:jc w:val="both"/>
        <w:ind w:left="1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jc w:val="both"/>
        <w:ind w:left="1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jc w:val="both"/>
        <w:ind w:left="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1030" w:type="dxa"/>
        <w:tblCellMar>
          <w:top w:w="0" w:type="dxa"/>
          <w:left w:w="0" w:type="dxa"/>
          <w:bottom w:w="0" w:type="dxa"/>
          <w:right w:w="0" w:type="dxa"/>
        </w:tblCellMar>
      </w:tblPr>
      <w:tr>
        <w:trPr>
          <w:trHeight w:val="202"/>
        </w:trPr>
        <w:tc>
          <w:tcPr>
            <w:tcW w:w="282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tc>
        <w:tc>
          <w:tcPr>
            <w:tcW w:w="318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Accelerated filer</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82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tc>
        <w:tc>
          <w:tcPr>
            <w:tcW w:w="318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820" w:type="dxa"/>
            <w:vAlign w:val="bottom"/>
          </w:tcPr>
          <w:p>
            <w:pPr>
              <w:spacing w:after="0"/>
              <w:rPr>
                <w:sz w:val="23"/>
                <w:szCs w:val="23"/>
                <w:color w:val="auto"/>
              </w:rPr>
            </w:pPr>
          </w:p>
        </w:tc>
        <w:tc>
          <w:tcPr>
            <w:tcW w:w="318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2" w:lineRule="exact"/>
        <w:rPr>
          <w:sz w:val="24"/>
          <w:szCs w:val="24"/>
          <w:color w:val="auto"/>
        </w:rPr>
      </w:pPr>
    </w:p>
    <w:p>
      <w:pPr>
        <w:ind w:left="1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10" w:right="1980"/>
        <w:spacing w:after="0" w:line="27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13, 2024, the registrant had 324,262,652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458470</wp:posOffset>
            </wp:positionV>
            <wp:extent cx="6497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29845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73025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gridSpan w:val="13"/>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8"/>
              </w:rPr>
              <w:t>TMC THE METALS COMPANY INC.</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80" w:type="dxa"/>
            <w:vAlign w:val="bottom"/>
            <w:gridSpan w:val="11"/>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00" w:type="dxa"/>
            <w:vAlign w:val="bottom"/>
            <w:gridSpan w:val="15"/>
          </w:tcPr>
          <w:p>
            <w:pPr>
              <w:jc w:val="center"/>
              <w:ind w:right="2260"/>
              <w:spacing w:after="0"/>
              <w:rPr>
                <w:sz w:val="20"/>
                <w:szCs w:val="20"/>
                <w:color w:val="auto"/>
              </w:rPr>
            </w:pPr>
            <w:r>
              <w:rPr>
                <w:rFonts w:ascii="Times New Roman" w:cs="Times New Roman" w:eastAsia="Times New Roman" w:hAnsi="Times New Roman"/>
                <w:sz w:val="18"/>
                <w:szCs w:val="18"/>
                <w:color w:val="auto"/>
              </w:rPr>
              <w:t>For the quarterly period ended September 30, 2024</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11"/>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2024 and December 31, 2023 (Unaudited)</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Loss and Comprehensive Loss for the three and nine months</w:t>
            </w:r>
          </w:p>
        </w:tc>
        <w:tc>
          <w:tcPr>
            <w:tcW w:w="580" w:type="dxa"/>
            <w:vAlign w:val="bottom"/>
            <w:tcBorders>
              <w:bottom w:val="single" w:sz="8" w:color="CCEEFF"/>
            </w:tcBorders>
            <w:gridSpan w:val="3"/>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8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ended September 30, 2024 and 2023 (Unaudited)</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4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Equity for the three and nine months ended</w:t>
            </w:r>
          </w:p>
        </w:tc>
        <w:tc>
          <w:tcPr>
            <w:tcW w:w="980" w:type="dxa"/>
            <w:vAlign w:val="bottom"/>
            <w:tcBorders>
              <w:bottom w:val="single" w:sz="8" w:color="CCEEFF"/>
            </w:tcBorders>
            <w:gridSpan w:val="4"/>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8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2024 and 2023 (Unaudited)</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4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and nine months ended September 30,</w:t>
            </w:r>
          </w:p>
        </w:tc>
        <w:tc>
          <w:tcPr>
            <w:tcW w:w="380" w:type="dxa"/>
            <w:vAlign w:val="bottom"/>
            <w:tcBorders>
              <w:bottom w:val="single" w:sz="8" w:color="CCEEFF"/>
            </w:tcBorders>
            <w:gridSpan w:val="2"/>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8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2024 and 2023 (Unaudited)</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this Quarterly Report on Form 10-Q, the terms “we,” “us,” “our,” the “Company” and “TMC” mean TMC the metals company Inc. and our subsidiaries. TMC is incorporated under the laws of the province of British Columbia, Canada. The Company’s common shares and public warrants to purchase common shares trade on the Nasdaq Global Select Market (“Nasdaq”), under the symbols “TMC” and “TMCWW,”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Quarterly Report on Form 10-Q include, but are not limited to, statements about:</w:t>
      </w:r>
    </w:p>
    <w:p>
      <w:pPr>
        <w:spacing w:after="0" w:line="187"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technical feasibility of seafloor polymetallic nodule collection and processing;</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commercialization plans;</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battery metals and battery cathode feedstocks, copper cathode and manganese ores;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prices of battery metals and battery cathode feedstocks, copper cathode and manganese ores;</w:t>
      </w:r>
    </w:p>
    <w:p>
      <w:pPr>
        <w:spacing w:after="0" w:line="225" w:lineRule="exact"/>
        <w:rPr>
          <w:rFonts w:ascii="Times New Roman" w:cs="Times New Roman" w:eastAsia="Times New Roman" w:hAnsi="Times New Roman"/>
          <w:sz w:val="18"/>
          <w:szCs w:val="18"/>
          <w:color w:val="auto"/>
        </w:rPr>
      </w:pPr>
    </w:p>
    <w:p>
      <w:pPr>
        <w:jc w:val="both"/>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content of the International Seabed Authority’s (“ISA”) final exploitation regulations that will create the legal and technical framework for exploitation of polymetallic nodules in the Clarion Clipperton Zone of the Pacific Ocean (“CCZ”);</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mineral extraction from the deep seafloor and changes in mining laws and regulations;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operational, environmental, social and governance risks of developing and deploying equipment to collect and ship polymetallic nodules at sea, and to process such nodules on land;</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and timing of potential revenue as well as the timing and amount of estimated future production, costs of production, other expenses, capital expenditures and requirements for additional capital;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operating activities;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activities of our partners under our key strategic relationships;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on hand, the expected proceeds from our recently announced registered direct offering and the borrowing ability under our credit facility with a company related to Allseas Group S.A. and credit facility with ERAS Capital LLC/Gerard Barron to meet our working capital and capital expenditure requirements, the need for additional financing and our ability to continue as a going concern;</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recently entered into registered direct offering;</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the nature of any such financing and our plans with respect thereto;</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limitations on insurance coverage;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mitigate our material weakness in our internal control over financial reporting;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financial statements;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metallurgical and geotechnical studies and opinions;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 and our ability to define and declare reserve estimates;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non-reporting Canadian issuer and passive foreign investment company;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risks;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management personnel and executive officers;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market conditions beyond our control;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on our business;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Quarterly Report on Form 10-Q,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our Annual Report on Form 10-K for the year ended December 31, 2023 as filed with the Securities and Exchange Commission (“SEC”), on March 25, 2024, as amended on April 18, 2024 (the “2023 Annual Report on Form 10-K”), as updated and/or supplemented in subsequent filings we make with the SEC, including our Quarterly Report on Form 10-Q for the quarter ended June 30, 2024 as filed with the SEC on August 14, 2024 and this Quarterly Report on Form 10-Q. Such risks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at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120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Exploration contracts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 of use asset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Equipment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Software</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Investment</w:t>
            </w:r>
          </w:p>
        </w:tc>
        <w:tc>
          <w:tcPr>
            <w:tcW w:w="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Short-term debt</w:t>
            </w:r>
          </w:p>
        </w:tc>
        <w:tc>
          <w:tcPr>
            <w:tcW w:w="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5"/>
              </w:rPr>
              <w:t>6,14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liability</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Royalty liability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Warrants liability</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82,781</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57,978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gridSpan w:val="2"/>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i w:val="1"/>
                <w:iCs w:val="1"/>
                <w:color w:val="auto"/>
              </w:rPr>
              <w:t>Common shares (unlimited shares, no par value – issued: 324,131,896</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(December 31, 2023 – 306,558,710))</w:t>
            </w: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463,366</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Class A - J Special Shares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131,152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(1,203)</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Deficit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(614,784)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(21,469)</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0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61,312</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68,896</w:t>
            </w:r>
          </w:p>
        </w:tc>
        <w:tc>
          <w:tcPr>
            <w:tcW w:w="0" w:type="dxa"/>
            <w:vAlign w:val="bottom"/>
          </w:tcPr>
          <w:p>
            <w:pPr>
              <w:spacing w:after="0"/>
              <w:rPr>
                <w:sz w:val="1"/>
                <w:szCs w:val="1"/>
                <w:color w:val="auto"/>
              </w:rPr>
            </w:pPr>
          </w:p>
        </w:tc>
      </w:tr>
      <w:tr>
        <w:trPr>
          <w:trHeight w:val="33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Nature of Operations </w:t>
            </w:r>
            <w:r>
              <w:rPr>
                <w:rFonts w:ascii="Times New Roman" w:cs="Times New Roman" w:eastAsia="Times New Roman" w:hAnsi="Times New Roman"/>
                <w:sz w:val="18"/>
                <w:szCs w:val="18"/>
                <w:i w:val="1"/>
                <w:iCs w:val="1"/>
                <w:color w:val="auto"/>
              </w:rPr>
              <w:t>(Note 1)</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Contingent Liabilities </w:t>
            </w:r>
            <w:r>
              <w:rPr>
                <w:rFonts w:ascii="Times New Roman" w:cs="Times New Roman" w:eastAsia="Times New Roman" w:hAnsi="Times New Roman"/>
                <w:sz w:val="18"/>
                <w:szCs w:val="18"/>
                <w:i w:val="1"/>
                <w:iCs w:val="1"/>
                <w:color w:val="auto"/>
              </w:rPr>
              <w:t>(Note 15)</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Subsequent Event </w:t>
            </w:r>
            <w:r>
              <w:rPr>
                <w:rFonts w:ascii="Times New Roman" w:cs="Times New Roman" w:eastAsia="Times New Roman" w:hAnsi="Times New Roman"/>
                <w:sz w:val="18"/>
                <w:szCs w:val="18"/>
                <w:i w:val="1"/>
                <w:iCs w:val="1"/>
                <w:color w:val="auto"/>
              </w:rPr>
              <w:t>(Note 17)</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 w:type="dxa"/>
            <w:vAlign w:val="bottom"/>
          </w:tcPr>
          <w:p>
            <w:pPr>
              <w:spacing w:after="0"/>
              <w:rPr>
                <w:sz w:val="15"/>
                <w:szCs w:val="15"/>
                <w:color w:val="auto"/>
              </w:rPr>
            </w:pPr>
          </w:p>
        </w:tc>
        <w:tc>
          <w:tcPr>
            <w:tcW w:w="22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12,518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64,939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Equity-accounted investment loss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Fees and interest on borrowings and credit facilities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for the period</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12,467</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outstanding – basic and diluted</w:t>
            </w: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323,663,607</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294,636,496</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318,710,622</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282,745,892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4"/>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Special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0" w:type="dxa"/>
            <w:vAlign w:val="bottom"/>
          </w:tcPr>
          <w:p>
            <w:pPr>
              <w:spacing w:after="0"/>
              <w:rPr>
                <w:sz w:val="12"/>
                <w:szCs w:val="12"/>
                <w:color w:val="auto"/>
              </w:rPr>
            </w:pPr>
          </w:p>
        </w:tc>
        <w:tc>
          <w:tcPr>
            <w:tcW w:w="108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July 1, 2024</w:t>
            </w: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322,241,883</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$ 460,573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top w:val="single" w:sz="8" w:color="auto"/>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125,300</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(594,264)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(9,607)</w:t>
            </w:r>
          </w:p>
        </w:tc>
        <w:tc>
          <w:tcPr>
            <w:tcW w:w="0" w:type="dxa"/>
            <w:vAlign w:val="bottom"/>
          </w:tcPr>
          <w:p>
            <w:pPr>
              <w:spacing w:after="0"/>
              <w:rPr>
                <w:sz w:val="1"/>
                <w:szCs w:val="1"/>
                <w:color w:val="auto"/>
              </w:rPr>
            </w:pPr>
          </w:p>
        </w:tc>
      </w:tr>
      <w:tr>
        <w:trPr>
          <w:trHeight w:val="126"/>
        </w:trPr>
        <w:tc>
          <w:tcPr>
            <w:tcW w:w="3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 shares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188,293</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withheld for taxes (Note 11)</w:t>
            </w:r>
          </w:p>
        </w:tc>
        <w:tc>
          <w:tcPr>
            <w:tcW w:w="8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as per At-the-Market Equity</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1,617,000</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0" w:type="dxa"/>
            <w:vAlign w:val="bottom"/>
          </w:tcPr>
          <w:p>
            <w:pPr>
              <w:spacing w:after="0"/>
              <w:rPr>
                <w:sz w:val="1"/>
                <w:szCs w:val="1"/>
                <w:color w:val="auto"/>
              </w:rPr>
            </w:pPr>
          </w:p>
        </w:tc>
      </w:tr>
      <w:tr>
        <w:trPr>
          <w:trHeight w:val="171"/>
        </w:trPr>
        <w:tc>
          <w:tcPr>
            <w:tcW w:w="3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 Agreement (Note 12)</w:t>
            </w:r>
          </w:p>
        </w:tc>
        <w:tc>
          <w:tcPr>
            <w:tcW w:w="82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11)</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84,720</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26"/>
        </w:trPr>
        <w:tc>
          <w:tcPr>
            <w:tcW w:w="3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Share-based compensation and expenses settled</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6,312</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6,312</w:t>
            </w:r>
          </w:p>
        </w:tc>
        <w:tc>
          <w:tcPr>
            <w:tcW w:w="0" w:type="dxa"/>
            <w:vAlign w:val="bottom"/>
          </w:tcPr>
          <w:p>
            <w:pPr>
              <w:spacing w:after="0"/>
              <w:rPr>
                <w:sz w:val="1"/>
                <w:szCs w:val="1"/>
                <w:color w:val="auto"/>
              </w:rPr>
            </w:pPr>
          </w:p>
        </w:tc>
      </w:tr>
      <w:tr>
        <w:trPr>
          <w:trHeight w:val="171"/>
        </w:trPr>
        <w:tc>
          <w:tcPr>
            <w:tcW w:w="3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 equity (Note 11)</w:t>
            </w: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3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(20,520)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(20,520)</w:t>
            </w:r>
          </w:p>
        </w:tc>
        <w:tc>
          <w:tcPr>
            <w:tcW w:w="0" w:type="dxa"/>
            <w:vAlign w:val="bottom"/>
          </w:tcPr>
          <w:p>
            <w:pPr>
              <w:spacing w:after="0"/>
              <w:rPr>
                <w:sz w:val="1"/>
                <w:szCs w:val="1"/>
                <w:color w:val="auto"/>
              </w:rPr>
            </w:pPr>
          </w:p>
        </w:tc>
      </w:tr>
      <w:tr>
        <w:trPr>
          <w:trHeight w:val="142"/>
        </w:trPr>
        <w:tc>
          <w:tcPr>
            <w:tcW w:w="32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324,131,896</w:t>
            </w:r>
          </w:p>
        </w:tc>
        <w:tc>
          <w:tcPr>
            <w:tcW w:w="1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$ 463,366</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131,152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(1,203)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(614,784)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(21,469)</w:t>
            </w:r>
          </w:p>
        </w:tc>
        <w:tc>
          <w:tcPr>
            <w:tcW w:w="0" w:type="dxa"/>
            <w:vAlign w:val="bottom"/>
          </w:tcPr>
          <w:p>
            <w:pPr>
              <w:spacing w:after="0"/>
              <w:rPr>
                <w:sz w:val="1"/>
                <w:szCs w:val="1"/>
                <w:color w:val="auto"/>
              </w:rPr>
            </w:pPr>
          </w:p>
        </w:tc>
      </w:tr>
      <w:tr>
        <w:trPr>
          <w:trHeight w:val="401"/>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4"/>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Special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0" w:type="dxa"/>
            <w:vAlign w:val="bottom"/>
          </w:tcPr>
          <w:p>
            <w:pPr>
              <w:spacing w:after="0"/>
              <w:rPr>
                <w:sz w:val="11"/>
                <w:szCs w:val="11"/>
                <w:color w:val="auto"/>
              </w:rPr>
            </w:pPr>
          </w:p>
        </w:tc>
        <w:tc>
          <w:tcPr>
            <w:tcW w:w="108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1"/>
                <w:szCs w:val="11"/>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July 1, 2023</w:t>
            </w: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281,136,415</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$ 345,775</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188,722</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(502,976)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30,305</w:t>
            </w:r>
          </w:p>
        </w:tc>
        <w:tc>
          <w:tcPr>
            <w:tcW w:w="0" w:type="dxa"/>
            <w:vAlign w:val="bottom"/>
          </w:tcPr>
          <w:p>
            <w:pPr>
              <w:spacing w:after="0"/>
              <w:rPr>
                <w:sz w:val="1"/>
                <w:szCs w:val="1"/>
                <w:color w:val="auto"/>
              </w:rPr>
            </w:pPr>
          </w:p>
        </w:tc>
      </w:tr>
      <w:tr>
        <w:trPr>
          <w:trHeight w:val="148"/>
        </w:trPr>
        <w:tc>
          <w:tcPr>
            <w:tcW w:w="3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120,000</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 by Allseas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11,578,620</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70,016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(69,900)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48"/>
        </w:trPr>
        <w:tc>
          <w:tcPr>
            <w:tcW w:w="3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Shares issued to Allseas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4,150,000</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6,516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6,516</w:t>
            </w:r>
          </w:p>
        </w:tc>
        <w:tc>
          <w:tcPr>
            <w:tcW w:w="0" w:type="dxa"/>
            <w:vAlign w:val="bottom"/>
          </w:tcPr>
          <w:p>
            <w:pPr>
              <w:spacing w:after="0"/>
              <w:rPr>
                <w:sz w:val="1"/>
                <w:szCs w:val="1"/>
                <w:color w:val="auto"/>
              </w:rPr>
            </w:pPr>
          </w:p>
        </w:tc>
      </w:tr>
      <w:tr>
        <w:trPr>
          <w:trHeight w:val="126"/>
        </w:trPr>
        <w:tc>
          <w:tcPr>
            <w:tcW w:w="3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 shares</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183,281</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(299)</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withheld for taxes</w:t>
            </w:r>
          </w:p>
        </w:tc>
        <w:tc>
          <w:tcPr>
            <w:tcW w:w="82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shares and warrants under Registered</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7,961,540</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11,349</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14,528</w:t>
            </w:r>
          </w:p>
        </w:tc>
        <w:tc>
          <w:tcPr>
            <w:tcW w:w="0" w:type="dxa"/>
            <w:vAlign w:val="bottom"/>
          </w:tcPr>
          <w:p>
            <w:pPr>
              <w:spacing w:after="0"/>
              <w:rPr>
                <w:sz w:val="1"/>
                <w:szCs w:val="1"/>
                <w:color w:val="auto"/>
              </w:rPr>
            </w:pPr>
          </w:p>
        </w:tc>
      </w:tr>
      <w:tr>
        <w:trPr>
          <w:trHeight w:val="171"/>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Direct Offering, net of expenses</w:t>
            </w:r>
          </w:p>
        </w:tc>
        <w:tc>
          <w:tcPr>
            <w:tcW w:w="8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Share-based compensation and expenses settled</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0" w:type="dxa"/>
            <w:vAlign w:val="bottom"/>
          </w:tcPr>
          <w:p>
            <w:pPr>
              <w:spacing w:after="0"/>
              <w:rPr>
                <w:sz w:val="1"/>
                <w:szCs w:val="1"/>
                <w:color w:val="auto"/>
              </w:rPr>
            </w:pPr>
          </w:p>
        </w:tc>
      </w:tr>
      <w:tr>
        <w:trPr>
          <w:trHeight w:val="171"/>
        </w:trPr>
        <w:tc>
          <w:tcPr>
            <w:tcW w:w="3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 equity</w:t>
            </w: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(12,467)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(12,467)</w:t>
            </w:r>
          </w:p>
        </w:tc>
        <w:tc>
          <w:tcPr>
            <w:tcW w:w="0" w:type="dxa"/>
            <w:vAlign w:val="bottom"/>
          </w:tcPr>
          <w:p>
            <w:pPr>
              <w:spacing w:after="0"/>
              <w:rPr>
                <w:sz w:val="1"/>
                <w:szCs w:val="1"/>
                <w:color w:val="auto"/>
              </w:rPr>
            </w:pPr>
          </w:p>
        </w:tc>
      </w:tr>
      <w:tr>
        <w:trPr>
          <w:trHeight w:val="142"/>
        </w:trPr>
        <w:tc>
          <w:tcPr>
            <w:tcW w:w="32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305,129,856</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$ 434,099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bottom w:val="single" w:sz="8" w:color="auto"/>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124,168</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(515,443)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41,608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gridSpan w:val="7"/>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86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40" w:type="dxa"/>
            <w:vAlign w:val="bottom"/>
          </w:tcPr>
          <w:p>
            <w:pPr>
              <w:spacing w:after="0"/>
              <w:rPr>
                <w:sz w:val="15"/>
                <w:szCs w:val="15"/>
                <w:color w:val="auto"/>
              </w:rPr>
            </w:pPr>
          </w:p>
        </w:tc>
        <w:tc>
          <w:tcPr>
            <w:tcW w:w="1720" w:type="dxa"/>
            <w:vAlign w:val="bottom"/>
            <w:gridSpan w:val="7"/>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20" w:type="dxa"/>
            <w:vAlign w:val="bottom"/>
          </w:tcPr>
          <w:p>
            <w:pPr>
              <w:spacing w:after="0"/>
              <w:rPr>
                <w:sz w:val="15"/>
                <w:szCs w:val="15"/>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gridSpan w:val="3"/>
            <w:vMerge w:val="continue"/>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4"/>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2"/>
                <w:szCs w:val="12"/>
                <w:color w:val="auto"/>
              </w:rPr>
            </w:pPr>
          </w:p>
        </w:tc>
        <w:tc>
          <w:tcPr>
            <w:tcW w:w="8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1, 2024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306,558,710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$ 438,239</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gridSpan w:val="2"/>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122,797</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(548,902)</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10,918</w:t>
            </w:r>
          </w:p>
        </w:tc>
        <w:tc>
          <w:tcPr>
            <w:tcW w:w="0" w:type="dxa"/>
            <w:vAlign w:val="bottom"/>
          </w:tcPr>
          <w:p>
            <w:pPr>
              <w:spacing w:after="0"/>
              <w:rPr>
                <w:sz w:val="1"/>
                <w:szCs w:val="1"/>
                <w:color w:val="auto"/>
              </w:rPr>
            </w:pPr>
          </w:p>
        </w:tc>
      </w:tr>
      <w:tr>
        <w:trPr>
          <w:trHeight w:val="126"/>
        </w:trPr>
        <w:tc>
          <w:tcPr>
            <w:tcW w:w="320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Issuance of shares and warrants under Registered</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4,500,000</w:t>
            </w:r>
          </w:p>
        </w:tc>
        <w:tc>
          <w:tcPr>
            <w:tcW w:w="60" w:type="dxa"/>
            <w:vAlign w:val="bottom"/>
          </w:tcPr>
          <w:p>
            <w:pPr>
              <w:spacing w:after="0"/>
              <w:rPr>
                <w:sz w:val="10"/>
                <w:szCs w:val="10"/>
                <w:color w:val="auto"/>
              </w:rPr>
            </w:pP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7,447</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0" w:type="dxa"/>
            <w:vAlign w:val="bottom"/>
          </w:tcPr>
          <w:p>
            <w:pPr>
              <w:spacing w:after="0"/>
              <w:rPr>
                <w:sz w:val="1"/>
                <w:szCs w:val="1"/>
                <w:color w:val="auto"/>
              </w:rPr>
            </w:pPr>
          </w:p>
        </w:tc>
      </w:tr>
      <w:tr>
        <w:trPr>
          <w:trHeight w:val="171"/>
        </w:trPr>
        <w:tc>
          <w:tcPr>
            <w:tcW w:w="32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Direct Offering, net of expenses (Note 9)</w:t>
            </w: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 shares</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9,078,432</w:t>
            </w:r>
          </w:p>
        </w:tc>
        <w:tc>
          <w:tcPr>
            <w:tcW w:w="6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10,869</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(10,869)</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withheld for taxes (Note 11)</w:t>
            </w:r>
          </w:p>
        </w:tc>
        <w:tc>
          <w:tcPr>
            <w:tcW w:w="8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Shares issued as per At-the-Market Equity</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3,251,588</w:t>
            </w:r>
          </w:p>
        </w:tc>
        <w:tc>
          <w:tcPr>
            <w:tcW w:w="60" w:type="dxa"/>
            <w:vAlign w:val="bottom"/>
          </w:tcPr>
          <w:p>
            <w:pPr>
              <w:spacing w:after="0"/>
              <w:rPr>
                <w:sz w:val="10"/>
                <w:szCs w:val="10"/>
                <w:color w:val="auto"/>
              </w:rPr>
            </w:pP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4,866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4,866</w:t>
            </w:r>
          </w:p>
        </w:tc>
        <w:tc>
          <w:tcPr>
            <w:tcW w:w="0" w:type="dxa"/>
            <w:vAlign w:val="bottom"/>
          </w:tcPr>
          <w:p>
            <w:pPr>
              <w:spacing w:after="0"/>
              <w:rPr>
                <w:sz w:val="1"/>
                <w:szCs w:val="1"/>
                <w:color w:val="auto"/>
              </w:rPr>
            </w:pPr>
          </w:p>
        </w:tc>
      </w:tr>
      <w:tr>
        <w:trPr>
          <w:trHeight w:val="171"/>
        </w:trPr>
        <w:tc>
          <w:tcPr>
            <w:tcW w:w="32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Distribution Agreement (Note 12)</w:t>
            </w: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11)</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715,772</w:t>
            </w: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(1,428)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126"/>
        </w:trPr>
        <w:tc>
          <w:tcPr>
            <w:tcW w:w="320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Share purchase under Employee Share Purchase</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27,394</w:t>
            </w:r>
          </w:p>
        </w:tc>
        <w:tc>
          <w:tcPr>
            <w:tcW w:w="60" w:type="dxa"/>
            <w:vAlign w:val="bottom"/>
          </w:tcPr>
          <w:p>
            <w:pPr>
              <w:spacing w:after="0"/>
              <w:rPr>
                <w:sz w:val="10"/>
                <w:szCs w:val="10"/>
                <w:color w:val="auto"/>
              </w:rPr>
            </w:pP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1"/>
        </w:trPr>
        <w:tc>
          <w:tcPr>
            <w:tcW w:w="32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Plan (Note 11)</w:t>
            </w: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Share-based compensation and expenses settled</w:t>
            </w:r>
          </w:p>
        </w:tc>
        <w:tc>
          <w:tcPr>
            <w:tcW w:w="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19,129</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19,129</w:t>
            </w:r>
          </w:p>
        </w:tc>
        <w:tc>
          <w:tcPr>
            <w:tcW w:w="0" w:type="dxa"/>
            <w:vAlign w:val="bottom"/>
          </w:tcPr>
          <w:p>
            <w:pPr>
              <w:spacing w:after="0"/>
              <w:rPr>
                <w:sz w:val="1"/>
                <w:szCs w:val="1"/>
                <w:color w:val="auto"/>
              </w:rPr>
            </w:pPr>
          </w:p>
        </w:tc>
      </w:tr>
      <w:tr>
        <w:trPr>
          <w:trHeight w:val="171"/>
        </w:trPr>
        <w:tc>
          <w:tcPr>
            <w:tcW w:w="32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 equity (Note 11)</w:t>
            </w:r>
          </w:p>
        </w:tc>
        <w:tc>
          <w:tcPr>
            <w:tcW w:w="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32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(65,882)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(65,882)</w:t>
            </w:r>
          </w:p>
        </w:tc>
        <w:tc>
          <w:tcPr>
            <w:tcW w:w="0" w:type="dxa"/>
            <w:vAlign w:val="bottom"/>
          </w:tcPr>
          <w:p>
            <w:pPr>
              <w:spacing w:after="0"/>
              <w:rPr>
                <w:sz w:val="1"/>
                <w:szCs w:val="1"/>
                <w:color w:val="auto"/>
              </w:rPr>
            </w:pPr>
          </w:p>
        </w:tc>
      </w:tr>
      <w:tr>
        <w:trPr>
          <w:trHeight w:val="142"/>
        </w:trPr>
        <w:tc>
          <w:tcPr>
            <w:tcW w:w="32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8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324,131,896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$ 463,366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131,152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(1,203)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(614,784)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(21,469)</w:t>
            </w:r>
          </w:p>
        </w:tc>
        <w:tc>
          <w:tcPr>
            <w:tcW w:w="0" w:type="dxa"/>
            <w:vAlign w:val="bottom"/>
          </w:tcPr>
          <w:p>
            <w:pPr>
              <w:spacing w:after="0"/>
              <w:rPr>
                <w:sz w:val="1"/>
                <w:szCs w:val="1"/>
                <w:color w:val="auto"/>
              </w:rPr>
            </w:pPr>
          </w:p>
        </w:tc>
      </w:tr>
      <w:tr>
        <w:trPr>
          <w:trHeight w:val="347"/>
        </w:trPr>
        <w:tc>
          <w:tcPr>
            <w:tcW w:w="3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6"/>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0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2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40" w:type="dxa"/>
            <w:vAlign w:val="bottom"/>
          </w:tcPr>
          <w:p>
            <w:pPr>
              <w:spacing w:after="0"/>
              <w:rPr>
                <w:sz w:val="15"/>
                <w:szCs w:val="15"/>
                <w:color w:val="auto"/>
              </w:rPr>
            </w:pPr>
          </w:p>
        </w:tc>
        <w:tc>
          <w:tcPr>
            <w:tcW w:w="1620" w:type="dxa"/>
            <w:vAlign w:val="bottom"/>
            <w:tcBorders>
              <w:bottom w:val="single" w:sz="8" w:color="auto"/>
            </w:tcBorders>
            <w:gridSpan w:val="6"/>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20" w:type="dxa"/>
            <w:vAlign w:val="bottom"/>
          </w:tcPr>
          <w:p>
            <w:pPr>
              <w:spacing w:after="0"/>
              <w:rPr>
                <w:sz w:val="15"/>
                <w:szCs w:val="15"/>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12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1, 2023</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266,812,131</w:t>
            </w:r>
          </w:p>
        </w:tc>
        <w:tc>
          <w:tcPr>
            <w:tcW w:w="120" w:type="dxa"/>
            <w:vAlign w:val="bottom"/>
            <w:tcBorders>
              <w:top w:val="single" w:sz="8" w:color="CCEEFF"/>
            </w:tcBorders>
            <w:gridSpan w:val="2"/>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$ 332,882</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184,960</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(475,121)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41,505</w:t>
            </w:r>
          </w:p>
        </w:tc>
        <w:tc>
          <w:tcPr>
            <w:tcW w:w="0" w:type="dxa"/>
            <w:vAlign w:val="bottom"/>
          </w:tcPr>
          <w:p>
            <w:pPr>
              <w:spacing w:after="0"/>
              <w:rPr>
                <w:sz w:val="1"/>
                <w:szCs w:val="1"/>
                <w:color w:val="auto"/>
              </w:rPr>
            </w:pPr>
          </w:p>
        </w:tc>
      </w:tr>
      <w:tr>
        <w:trPr>
          <w:trHeight w:val="148"/>
        </w:trPr>
        <w:tc>
          <w:tcPr>
            <w:tcW w:w="3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120,000</w:t>
            </w:r>
          </w:p>
        </w:tc>
        <w:tc>
          <w:tcPr>
            <w:tcW w:w="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49"/>
        </w:trPr>
        <w:tc>
          <w:tcPr>
            <w:tcW w:w="32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 by Allseas</w:t>
            </w: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11,578,620</w:t>
            </w:r>
          </w:p>
        </w:tc>
        <w:tc>
          <w:tcPr>
            <w:tcW w:w="7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70,016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(69,900)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48"/>
        </w:trPr>
        <w:tc>
          <w:tcPr>
            <w:tcW w:w="3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Shares issued to Allseas</w:t>
            </w: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15,000,000</w:t>
            </w:r>
          </w:p>
        </w:tc>
        <w:tc>
          <w:tcPr>
            <w:tcW w:w="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15,910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15,910</w:t>
            </w:r>
          </w:p>
        </w:tc>
        <w:tc>
          <w:tcPr>
            <w:tcW w:w="0" w:type="dxa"/>
            <w:vAlign w:val="bottom"/>
          </w:tcPr>
          <w:p>
            <w:pPr>
              <w:spacing w:after="0"/>
              <w:rPr>
                <w:sz w:val="1"/>
                <w:szCs w:val="1"/>
                <w:color w:val="auto"/>
              </w:rPr>
            </w:pPr>
          </w:p>
        </w:tc>
      </w:tr>
      <w:tr>
        <w:trPr>
          <w:trHeight w:val="126"/>
        </w:trPr>
        <w:tc>
          <w:tcPr>
            <w:tcW w:w="32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 shares</w:t>
            </w:r>
          </w:p>
        </w:tc>
        <w:tc>
          <w:tcPr>
            <w:tcW w:w="8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3,573,993</w:t>
            </w:r>
          </w:p>
        </w:tc>
        <w:tc>
          <w:tcPr>
            <w:tcW w:w="7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3,704</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(3,674)</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1"/>
        </w:trPr>
        <w:tc>
          <w:tcPr>
            <w:tcW w:w="32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withheld for taxes</w:t>
            </w:r>
          </w:p>
        </w:tc>
        <w:tc>
          <w:tcPr>
            <w:tcW w:w="880" w:type="dxa"/>
            <w:vAlign w:val="bottom"/>
            <w:gridSpan w:val="3"/>
            <w:vMerge w:val="continue"/>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Issuance of shares and warrants under Registered</w:t>
            </w: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7,961,540</w:t>
            </w: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11,349</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14,528</w:t>
            </w:r>
          </w:p>
        </w:tc>
        <w:tc>
          <w:tcPr>
            <w:tcW w:w="0" w:type="dxa"/>
            <w:vAlign w:val="bottom"/>
          </w:tcPr>
          <w:p>
            <w:pPr>
              <w:spacing w:after="0"/>
              <w:rPr>
                <w:sz w:val="1"/>
                <w:szCs w:val="1"/>
                <w:color w:val="auto"/>
              </w:rPr>
            </w:pPr>
          </w:p>
        </w:tc>
      </w:tr>
      <w:tr>
        <w:trPr>
          <w:trHeight w:val="171"/>
        </w:trPr>
        <w:tc>
          <w:tcPr>
            <w:tcW w:w="32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Direct Offering, net of expenses</w:t>
            </w:r>
          </w:p>
        </w:tc>
        <w:tc>
          <w:tcPr>
            <w:tcW w:w="880" w:type="dxa"/>
            <w:vAlign w:val="bottom"/>
            <w:gridSpan w:val="3"/>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 purchase under Employee Share Purchase Plan</w:t>
            </w: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83,572</w:t>
            </w:r>
          </w:p>
        </w:tc>
        <w:tc>
          <w:tcPr>
            <w:tcW w:w="7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26"/>
        </w:trPr>
        <w:tc>
          <w:tcPr>
            <w:tcW w:w="320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Share-based compensation and expenses settled with</w:t>
            </w:r>
          </w:p>
        </w:tc>
        <w:tc>
          <w:tcPr>
            <w:tcW w:w="4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9,715</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9,715</w:t>
            </w:r>
          </w:p>
        </w:tc>
        <w:tc>
          <w:tcPr>
            <w:tcW w:w="0" w:type="dxa"/>
            <w:vAlign w:val="bottom"/>
          </w:tcPr>
          <w:p>
            <w:pPr>
              <w:spacing w:after="0"/>
              <w:rPr>
                <w:sz w:val="1"/>
                <w:szCs w:val="1"/>
                <w:color w:val="auto"/>
              </w:rPr>
            </w:pPr>
          </w:p>
        </w:tc>
      </w:tr>
      <w:tr>
        <w:trPr>
          <w:trHeight w:val="171"/>
        </w:trPr>
        <w:tc>
          <w:tcPr>
            <w:tcW w:w="32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equity</w:t>
            </w:r>
          </w:p>
        </w:tc>
        <w:tc>
          <w:tcPr>
            <w:tcW w:w="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(40,322)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(40,322)</w:t>
            </w:r>
          </w:p>
        </w:tc>
        <w:tc>
          <w:tcPr>
            <w:tcW w:w="0" w:type="dxa"/>
            <w:vAlign w:val="bottom"/>
          </w:tcPr>
          <w:p>
            <w:pPr>
              <w:spacing w:after="0"/>
              <w:rPr>
                <w:sz w:val="1"/>
                <w:szCs w:val="1"/>
                <w:color w:val="auto"/>
              </w:rPr>
            </w:pPr>
          </w:p>
        </w:tc>
      </w:tr>
      <w:tr>
        <w:trPr>
          <w:trHeight w:val="142"/>
        </w:trPr>
        <w:tc>
          <w:tcPr>
            <w:tcW w:w="32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305,129,856</w:t>
            </w:r>
          </w:p>
        </w:tc>
        <w:tc>
          <w:tcPr>
            <w:tcW w:w="120" w:type="dxa"/>
            <w:vAlign w:val="bottom"/>
            <w:gridSpan w:val="2"/>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$ 434,099</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gridSpan w:val="2"/>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124,168</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(515,443)</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41,608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3"/>
                <w:szCs w:val="13"/>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72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(65,882)</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Items not affecting cash:</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Expense</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interest on credit facilities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 and expenses settled with equity</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Equity-accounted investment loss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foreign exchange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equipment and software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registered direct offering</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Expenses paid for registered direct offering</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Shares issued from ATM</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Drawdown of Credit Facilities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Drawdown of Loan with Allseas Affiliate</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 with Allseas Affiliate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Drawdown of Loan with Allseas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on amounts drawn from credit facilities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Low Carbon Royalties Investment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warrants by Allseas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 in cash</w:t>
            </w:r>
          </w:p>
        </w:tc>
        <w:tc>
          <w:tcPr>
            <w:tcW w:w="72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(6,829)</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Impact of exchange rate changes on cash</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 beginning of period</w:t>
            </w:r>
          </w:p>
        </w:tc>
        <w:tc>
          <w:tcPr>
            <w:tcW w:w="7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6,842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3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TMC the metals company Inc. (“TMC” or the “Company”) was incorporated as a Cayman Islands exempted company limited by shares on December 18, 2019, and continued as a corporation under the laws of the province of British Columbia, Canada on September 9, 2021. The Company’s corporate office, registered address and records office is located at 1111 West Hastings Street,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Vancouver, British Columbia, Canada, V6E 2J3. The Company’s common shares and warrants to purchase common shares are listed for trading on the Nasdaq Global Select Market (“Nasdaq”) under tickers “TMC” and “TMCWW”, respectively.</w:t>
      </w:r>
    </w:p>
    <w:p>
      <w:pPr>
        <w:spacing w:after="0" w:line="201"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deep-sea minerals exploration company focused on the collection and processing of polymetallic nodules found on the seafloor in international waters of the Clarion Clipperton Zone in the Pacific Ocean (“CCZ”), located approximately 1,300 nautical miles southwest of San Diego, California. These nodules contain high grades of four metals (nickel, copper, cobalt, manganese) which can be used as (i) feedstock for battery cathode precursors (nickel, cobalt and manganese sulfates, or intermediate nickel-copper-cobalt matte) for electric vehicles (“EV”) and renewable energy storage markets, (ii) copper cathode for EV wiring, energy transmission and other applications and (iii) manganese silicate for manganese alloy production required for steel production.</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The ISA grants contracts to sovereign states or private contractors sponsored by a sovereign state. The Company’s wholly owned subsidiary, Nauru Ocean Resources Inc. (“NORI”), was granted an exploration contract (the “NORI Exploration Contract”) by the ISA in July 2011 under the sponsorship of the Republic of Nauru (“Nauru”) giving NORI exclusive rights to explore for polymetallic nodules in an area covering 74,830 square kilometers in the CCZ (“NORI Area”). On March 31, 2020, the Company acquired Tonga Offshore Mining Limited (“TOML”), which was granted an exploration contract (the “TOML Exploration Contract”) by the ISA in January 2012 under the sponsorship of the Kingdom of Tonga (“Tonga”) and has exclusive rights to explore for polymetallic nodules covering an area of 74,713 square kilometers in the CCZ (“TOML Area”). Marawa Research and Exploration Limited (“Marawa”), an entity owned and sponsored by the Republic of Kiribati (“Kiribati”), was granted rights by the ISA to polymetallic nodules exploration in an area of 74,990 square kilometers in the CCZ (“Marawa Area”). In 2013, the Company through its subsidiary DeepGreen Engineering Pte. Ltd. (“DGE”) entered a services agreement (the “Marawa Services Agreement”) with Marawa which granted DGE exclusive rights to manage and carry out all exploration and exploitation in the Marawa Area in return for a royalty payable to Marawa. The Company is working with its strategic partner and investor, Allseas Group S.A. (“Allseas”), to deliver a system to collect, lift and transport nodules from the seafloor to shore that meets the requirements of an early commercial production system (Note 6). In November 2023, the Company entered into a binding Memorandum of Understanding (“MoU”) with Pacific Metals Co Ltd (PAMCO) of Japan pursuant to which PAMCO committed to complete a feasibility study whereby it would process nodules at its existing facilities and produce two products: nickel-copper-cobalt alloy, an intermediate product used as feedstock to produce lithium-ion battery cathodes, and a manganese silicate product used to make silico-manganese alloy, a critical input into steel manufacturing.</w:t>
      </w:r>
    </w:p>
    <w:p>
      <w:pPr>
        <w:spacing w:after="0" w:line="18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at commercial scale,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unaudited condensed consolidated interim financial statements are prepared in accordance with U.S. Generally Accepted Accounting Principles (“U.S. GAAP”) for interim financial statements. Accordingly, certain information and footnote disclosures required by U.S. GAAP have been condensed or omitted in these unaudited condensed consolidated interim financial statements pursuant to such rules and regulation. In management’s opinion, these unaudited condensed consolidated interim financial statements include all adjustments of a routine recurring nature necessary for the fair presentation of the Company’s statement of financial position, operating results for the periods presented, comprehensive loss, shareholder’s equity and cash flows for the interim periods, but are not necessarily indicative of the results of operations to be expected for the full year ending December 31, 2024 or for any other period. These unaudited condensed consolidated interim financial statements should be read in conjunction with the audited annual consolidated financial statements for the year ended December 31, 2023. The Company has applied the same accounting policies as in the prior year, except as disclosed below.</w:t>
      </w:r>
    </w:p>
    <w:p>
      <w:pPr>
        <w:spacing w:after="0" w:line="194"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Comparative figures reported in the Condensed Consolidated Balance Sheet, for software development costs and equipment, and figures reported in the Condensed Consolidated Statements of Cash Flows, for expenses settled with equity and changes in working capital have been reclassified to conform to the current period’s presentation.</w:t>
      </w:r>
    </w:p>
    <w:p>
      <w:pPr>
        <w:spacing w:after="0" w:line="17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condensed consolidated interim financial statements include, but are not limited to, the evaluation of going concern, the valuation of share-based payments, including the valuation of incentive stock options (Note 11), the valuation of Class A warrants (Note 10) as well as the valuation of private warrants (Note 10), the valuation of the Royalty liability (Note 7) and the valuation of leases (Note 6). Actual results could differ materially from those estimates.</w:t>
      </w:r>
    </w:p>
    <w:p>
      <w:pPr>
        <w:spacing w:after="0" w:line="183"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57"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71" w:lineRule="exact"/>
        <w:rPr>
          <w:rFonts w:ascii="Times New Roman" w:cs="Times New Roman" w:eastAsia="Times New Roman" w:hAnsi="Times New Roman"/>
          <w:sz w:val="18"/>
          <w:szCs w:val="18"/>
          <w:b w:val="1"/>
          <w:bCs w:val="1"/>
          <w:color w:val="auto"/>
        </w:rPr>
      </w:pPr>
    </w:p>
    <w:p>
      <w:pPr>
        <w:ind w:left="680" w:right="20" w:hanging="321"/>
        <w:spacing w:after="0" w:line="286"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 xml:space="preserve"> - Valuations based on quoted prices in active markets for identical assets or liabilities that an entity has the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w:t>
      </w:r>
    </w:p>
    <w:p>
      <w:pPr>
        <w:spacing w:after="0" w:line="154" w:lineRule="exact"/>
        <w:rPr>
          <w:rFonts w:ascii="Times New Roman" w:cs="Times New Roman" w:eastAsia="Times New Roman" w:hAnsi="Times New Roman"/>
          <w:sz w:val="18"/>
          <w:szCs w:val="18"/>
          <w:color w:val="auto"/>
        </w:rPr>
      </w:pPr>
    </w:p>
    <w:p>
      <w:pPr>
        <w:jc w:val="both"/>
        <w:ind w:left="680" w:right="20" w:hanging="321"/>
        <w:spacing w:after="0" w:line="268"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 xml:space="preserve"> - Valuations based on quoted prices for similar assets or liabilities, quoted prices for identical assets or liabilities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data for substantially the full term of the assets or liabilities.</w:t>
      </w:r>
    </w:p>
    <w:p>
      <w:pPr>
        <w:spacing w:after="0" w:line="170" w:lineRule="exact"/>
        <w:rPr>
          <w:rFonts w:ascii="Times New Roman" w:cs="Times New Roman" w:eastAsia="Times New Roman" w:hAnsi="Times New Roman"/>
          <w:sz w:val="18"/>
          <w:szCs w:val="18"/>
          <w:color w:val="auto"/>
        </w:rPr>
      </w:pPr>
    </w:p>
    <w:p>
      <w:pPr>
        <w:ind w:left="680" w:hanging="321"/>
        <w:spacing w:after="0" w:line="286"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 xml:space="preserve"> - Valuations based on inputs that are supported by little or no market activity and that are significant to the fair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assets or liabilities.</w:t>
      </w:r>
    </w:p>
    <w:p>
      <w:pPr>
        <w:spacing w:after="0" w:line="15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and nine months ended September 30, 2024, and 2023.</w:t>
      </w:r>
    </w:p>
    <w:p>
      <w:pPr>
        <w:spacing w:after="0" w:line="16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at September 30, 2024, and December 31, 2023, the carrying values of cash, receivables, and accounts payable and accrued liabilities approximate their fair values due to the short-term nature of these instruments. The financial instruments also include royalty liability, and warrants issued by the Company. These warrants (Note 10) and royalty liability (Note 7) are valued at fair value.</w:t>
      </w:r>
    </w:p>
    <w:p>
      <w:pPr>
        <w:spacing w:after="0" w:line="176"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Issued and Adopted</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no recent accounting pronouncements issued and adopted by the Company during the period.</w:t>
      </w:r>
    </w:p>
    <w:p>
      <w:pPr>
        <w:spacing w:after="0" w:line="2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Strategic Alliance with Allseas and Affiliates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Development of Project Zero Offshore Nodule Collection System</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16, 2022, NORI and Allseas entered into a non-binding term sheet for the development and operation of a commercial nodule collection system. For the three and nine months ended September 30, 2024, Allseas provided the Company with engineering, project management and vessel use services consisting of lay-up and transit costs totalling $2.8 million and $9.6 million respectively which were recorded as mining, technological and process development costs within exploration and evaluation expenses (three months and nine months ended September 30, 2023 - $ 1.9 million and $4.8 million respectively) (Note 8).</w:t>
      </w:r>
    </w:p>
    <w:p>
      <w:pPr>
        <w:spacing w:after="0" w:line="17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Exclusive Vessel Use Agreement with Allseas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On August 1, 2023, the Company entered into an Exclusive Vessel Use Agreement with Allseas pursuant to which Allseas provided exclusive use of the vessel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to the Company in support of the development of the Project Zero Offshore Nodule Collection System.</w:t>
      </w:r>
    </w:p>
    <w:p>
      <w:pPr>
        <w:spacing w:after="0" w:line="17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determined that the Exclusive Vessel Use Agreement with Allseas is a lease agreement, classified as an operating lease.</w:t>
      </w:r>
    </w:p>
    <w:p>
      <w:pPr>
        <w:spacing w:after="0" w:line="16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three and nine months ended September 30, 2024, the Company has recognized $0.5 million and $1.4 million, respectively as lease expense recorded as mining, technological and process development within exploration and evaluation expenses.</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September 30, 2024, the net amount of the right-of-use asset is as follows: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75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Right-of-use Asset</w:t>
            </w:r>
          </w:p>
        </w:tc>
      </w:tr>
      <w:tr>
        <w:trPr>
          <w:trHeight w:val="21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at December 31,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r>
      <w:tr>
        <w:trPr>
          <w:trHeight w:val="216"/>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expense during the period</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10"/>
        </w:trPr>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at September 30, 2024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4,291</w:t>
            </w: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Credit Facility and Loan Agreements with Company Related to Allseas</w:t>
      </w:r>
    </w:p>
    <w:p>
      <w:pPr>
        <w:spacing w:after="0" w:line="22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On March 22, 2023, the Company entered into an Unsecured Credit Facility Agreement, which was amended on July 31, 2023 (“Credit Facility”), with Argentum Cedit Virtuti GCV (the “Lender”), the parent of Allseas Investments S.A. and an affiliate of Allseas, pursuant to which, the Company may borrow from the Lender up to $25 million in the aggregate, from time to time, subject to certain conditions. All amounts drawn under the Credit Facility will bear interest based on the 6-month Secured Overnight Financing Rate, 180-day average plus a margin of 4.0% per annum payable in cash semi-annually (or plus a margin of 5% if paid-in-kind at maturity, at the Company’s election) on the first business day of each of June and January. The Company will pay an underutilization fee equal to 4.0% per annum payable semi-annually for any amounts that remain undrawn under the Credit Facility. The Company has the right to pre-pay the entire amount outstanding under the Credit Facility at any time before the Credit Facility’s maturity. The Company has the ability to settle certain charges under this Credit Facility in cash or equity at the discretion of the Company. The Credit Facility also contains customary events of default. On March 22, 2024, the Company entered into the Second Amendment to the Unsecured Credit Facility with the Lender, to extend the Credit Facility to August 31, 2025 and to provide that the underutilization fee thereunder shall cease to be payable after the date on which the Company or the Lender gives notice of termination of the agreement. Under the amended Credit Facility, the Company may borrow from the Lender up to $25 million in the aggregate through August 31, 2025. On August 16, 2024, the Company entered into the Third Amendment to the Credit Facility, to increase the borrowing limit of the Credit Facility to $27.5 million. Under the terms of the Third Amendment, the borrowing limit will return to $25 million upon certain financing events.</w:t>
      </w:r>
    </w:p>
    <w:p>
      <w:pPr>
        <w:spacing w:after="0" w:line="19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During the three months and nine months ended September 30, 2024, the Company has not drawn any amount from the Credit Facility and has incurred $0.3 million and $0.8 million, respectively (three months ended and nine months ended September 30, 2023: $0.3 million and $0.5 million, respectively) as underutilization fees.</w:t>
      </w:r>
    </w:p>
    <w:p>
      <w:pPr>
        <w:spacing w:after="0" w:line="17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On May 27, 2024, the Company entered into a short-term loan agreement with the Lender. In accordance with the agreement, the Lender provided a short-term loan to the Company amounting to $2 million (the “Short-Term Loan”) on May 30, 2024. The Loan matured on September 10, 2024 (maturity date) and accrued interest at a rate of 8% per annum. On the maturity date, Company repaid the entire Loan amounting to $2 million and the accrued interest amounting to $46 thousand. During the three and nine months ended September 30, 2024, the Company incurred $32 thousand and $46 thousand, respectively as interest expense.</w:t>
      </w:r>
    </w:p>
    <w:p>
      <w:pPr>
        <w:spacing w:after="0" w:line="183"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On September 9, 2024, the Company entered into a working capital loan agreement (the “Working Capital Loan Agreement”) with Allseas Investments SA (the “Allseas Investments”), a company related to Allseas. In accordance with the Working Capital Loan Agreement, Allseas Investments provided a loan to the Company amounting to $5 million (the “Working Capital Loan”) on September 10, 2024, to be used towards general corporate purposes and the repayment of all outstanding amounts under the Short-Term Loan between the Company and the Lender. The Working Capital Loan is payable to the Lender on or before the earlier of (i) the occurrence of certain financing events and (ii) April 1, 2025 (the “Repayment Date”). The Working Capital Loan will bear interest based on the 6-month Secured Overnight Financing Rate, 180-day average plus a margin of 4.0% per annum and is payable in two installments on January 2, 2025, and the Repayment Date (or plus a margin of 5.0% if all interest payments are deferred to the Repayment Date, at the Company’s election). During the three and nine months ended September 30, 2024, the Company incurred $31 thousand as interest expense. On October 18, 2024, the Company entered into the First Amendment to the Working Capital Loan Agreement with Allseas Investments, resulting in a further draw of $2.5 million by the Company and a total Working Capital Loan drawn amount of $7.5 million (Note 17).</w:t>
      </w:r>
    </w:p>
    <w:p>
      <w:pPr>
        <w:spacing w:after="0" w:line="190"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As at September 30, 2024, the total amount payable to Allseas and its affiliates was $29.7 million (December 31, 2023: $13.8 million).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September 30, 2024, Allseas and its affiliates owned 53.8 million TMC common shares (2023: 53.8 million TMC common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shares) which constituted 16.6% (December 31, 2023: 17.6%) of total common shares outstanding.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Low Carbon Royalties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21, 2023 (the “Closing Date”), the Company and its wholly owned subsidiary, NORI, entered into an investment agreement (the “Royalty Agreement”) with Low Carbon Royalties. In connection with the Royalty Agreement, NORI contributed a 2% gross overriding royalty (the “NORI Royalty”) on the Company’s NORI project area in the CCZ to Low Carbon Royalties. In consideration of the NORI Royalty, TMC received 35.0% of the common shares issued by Low Carbon Royalties and $5 million in cash, as of the Closing Date. On March 21, 2023, Low Carbon Royalties acquired additional gross overriding royalties on natural gas fields in Latin America. The royalty acquisitions were financed through the issuance of Low Carbon Royalties common shares to the third-party vendor of such royalties, thereby reducing the Company’s ownership in the Partnership to 32% from 35%.</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fair value of the NORI Royalty granted and the cash received, the Company recorded $9 million as investment in Low Carbon Royalties on the Closing Date. For the three and nine months ended September 30, 2024, the Company’s share of the net loss generated by the Low Carbon Royalties was $58 thousand and $197 thousand, respectively (share of net loss for three months and nine months ended September 30, 2023: $0.1 million and $0.5 million respectively).</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72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Investment</w:t>
            </w:r>
          </w:p>
        </w:tc>
      </w:tr>
      <w:tr>
        <w:trPr>
          <w:trHeight w:val="20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NORI Royalty</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16"/>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received</w:t>
            </w:r>
          </w:p>
        </w:tc>
        <w:tc>
          <w:tcPr>
            <w:tcW w:w="1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0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Investment on Closing Date</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16"/>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Equity-accounted investment loss for the year ended 2023</w:t>
            </w:r>
          </w:p>
        </w:tc>
        <w:tc>
          <w:tcPr>
            <w:tcW w:w="1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as at December 31, 2023</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w:t>
            </w:r>
          </w:p>
        </w:tc>
      </w:tr>
      <w:tr>
        <w:trPr>
          <w:trHeight w:val="216"/>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Equity-accounted investment loss for the period ended September 30, 2024</w:t>
            </w:r>
          </w:p>
        </w:tc>
        <w:tc>
          <w:tcPr>
            <w:tcW w:w="1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as at September 30, 2024</w:t>
            </w:r>
          </w:p>
        </w:tc>
        <w:tc>
          <w:tcPr>
            <w:tcW w:w="1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8,232</w:t>
            </w:r>
          </w:p>
        </w:tc>
      </w:tr>
    </w:tbl>
    <w:p>
      <w:pPr>
        <w:spacing w:after="0" w:line="198"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NORI Royalty was recorded as a royalty liability in the consolidated Balance Sheet in accordance with ASC 470, Debt (“ASC 470”). The Company elected to account for the royalty liability at fair value through profit and loss. The fair value was determined using a market approach which entails examining recent royalty transactions prior to the reporting date, focusing on those transactions that involve similar metals as contained in NORI’s polymetallic nodules. The Company compares the specific characteristics of these transactions to estimate the fair value. The fair value of the royalty liability as at September 30, 2024, remained unchanged at $14 million.</w:t>
      </w:r>
    </w:p>
    <w:p>
      <w:pPr>
        <w:spacing w:after="0" w:line="1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Financial results of Low Carbon Royalties as at and for the three and nine months ended September 30, 2024 and 2023 are summarized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9"/>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As at September 30,    As at September 30,</w:t>
            </w:r>
          </w:p>
        </w:tc>
      </w:tr>
      <w:tr>
        <w:trPr>
          <w:trHeight w:val="199"/>
        </w:trPr>
        <w:tc>
          <w:tcPr>
            <w:tcW w:w="340" w:type="dxa"/>
            <w:vAlign w:val="bottom"/>
          </w:tcPr>
          <w:p>
            <w:pPr>
              <w:spacing w:after="0"/>
              <w:rPr>
                <w:sz w:val="17"/>
                <w:szCs w:val="17"/>
                <w:color w:val="auto"/>
              </w:rPr>
            </w:pPr>
          </w:p>
        </w:tc>
        <w:tc>
          <w:tcPr>
            <w:tcW w:w="354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7"/>
                <w:szCs w:val="17"/>
                <w:color w:val="auto"/>
              </w:rPr>
            </w:pPr>
          </w:p>
        </w:tc>
      </w:tr>
      <w:tr>
        <w:trPr>
          <w:trHeight w:val="209"/>
        </w:trPr>
        <w:tc>
          <w:tcPr>
            <w:tcW w:w="34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5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25,488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27,406</w:t>
            </w:r>
          </w:p>
        </w:tc>
        <w:tc>
          <w:tcPr>
            <w:tcW w:w="5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580" w:type="dxa"/>
            <w:vAlign w:val="bottom"/>
          </w:tcPr>
          <w:p>
            <w:pPr>
              <w:spacing w:after="0"/>
              <w:rPr>
                <w:sz w:val="18"/>
                <w:szCs w:val="18"/>
                <w:color w:val="auto"/>
              </w:rPr>
            </w:pPr>
          </w:p>
        </w:tc>
      </w:tr>
      <w:tr>
        <w:trPr>
          <w:trHeight w:val="372"/>
        </w:trPr>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2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34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1100" w:type="dxa"/>
            <w:vAlign w:val="bottom"/>
            <w:tcBorders>
              <w:top w:val="single" w:sz="8" w:color="auto"/>
            </w:tcBorders>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580" w:type="dxa"/>
            <w:vAlign w:val="bottom"/>
          </w:tcPr>
          <w:p>
            <w:pPr>
              <w:spacing w:after="0"/>
              <w:rPr>
                <w:sz w:val="10"/>
                <w:szCs w:val="10"/>
                <w:color w:val="auto"/>
              </w:rPr>
            </w:pPr>
          </w:p>
        </w:tc>
      </w:tr>
      <w:tr>
        <w:trPr>
          <w:trHeight w:val="173"/>
        </w:trPr>
        <w:tc>
          <w:tcPr>
            <w:tcW w:w="340" w:type="dxa"/>
            <w:vAlign w:val="bottom"/>
          </w:tcPr>
          <w:p>
            <w:pPr>
              <w:spacing w:after="0"/>
              <w:rPr>
                <w:sz w:val="15"/>
                <w:szCs w:val="15"/>
                <w:color w:val="auto"/>
              </w:rPr>
            </w:pPr>
          </w:p>
        </w:tc>
        <w:tc>
          <w:tcPr>
            <w:tcW w:w="354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5"/>
                <w:szCs w:val="15"/>
                <w:color w:val="auto"/>
              </w:rPr>
            </w:pPr>
          </w:p>
        </w:tc>
      </w:tr>
      <w:tr>
        <w:trPr>
          <w:trHeight w:val="209"/>
        </w:trPr>
        <w:tc>
          <w:tcPr>
            <w:tcW w:w="34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Income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1,143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5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1,182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5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for the period</w:t>
            </w:r>
          </w:p>
        </w:tc>
        <w:tc>
          <w:tcPr>
            <w:tcW w:w="14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580" w:type="dxa"/>
            <w:vAlign w:val="bottom"/>
          </w:tcPr>
          <w:p>
            <w:pPr>
              <w:spacing w:after="0"/>
              <w:rPr>
                <w:sz w:val="18"/>
                <w:szCs w:val="18"/>
                <w:color w:val="auto"/>
              </w:rPr>
            </w:pPr>
          </w:p>
        </w:tc>
      </w:tr>
      <w:tr>
        <w:trPr>
          <w:trHeight w:val="871"/>
        </w:trPr>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560"/>
        </w:trPr>
        <w:tc>
          <w:tcPr>
            <w:tcW w:w="3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Exploration and Evaluation Expenses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detail of exploration and evaluation expenses is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7"/>
              </w:rPr>
              <w:t>Exploration</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Environmental Studies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1,031</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18"/>
                <w:szCs w:val="18"/>
                <w:i w:val="1"/>
                <w:iCs w:val="1"/>
                <w:color w:val="auto"/>
              </w:rPr>
              <w:t>(Note 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3,244</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Mining, Technological and Process Development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Prefeasibility Studies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Sponsorship, Training and Stakeholder Engagement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Permit Application Activities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10,670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11,813</w:t>
            </w:r>
          </w:p>
        </w:tc>
        <w:tc>
          <w:tcPr>
            <w:tcW w:w="0" w:type="dxa"/>
            <w:vAlign w:val="bottom"/>
          </w:tcPr>
          <w:p>
            <w:pPr>
              <w:spacing w:after="0"/>
              <w:rPr>
                <w:sz w:val="1"/>
                <w:szCs w:val="1"/>
                <w:color w:val="auto"/>
              </w:rPr>
            </w:pPr>
          </w:p>
        </w:tc>
      </w:tr>
      <w:tr>
        <w:trPr>
          <w:trHeight w:val="347"/>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Exploration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Exploration</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Environmental Studies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Mining, Technological and Process Development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Prefeasibility Studies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Sponsorship, Training and Stakeholder Engagement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6,957</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0" w:type="dxa"/>
            <w:vAlign w:val="bottom"/>
          </w:tcPr>
          <w:p>
            <w:pPr>
              <w:spacing w:after="0"/>
              <w:rPr>
                <w:sz w:val="1"/>
                <w:szCs w:val="1"/>
                <w:color w:val="auto"/>
              </w:rPr>
            </w:pPr>
          </w:p>
        </w:tc>
      </w:tr>
      <w:tr>
        <w:trPr>
          <w:trHeight w:val="360"/>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NORI</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00" w:type="dxa"/>
            <w:vAlign w:val="bottom"/>
          </w:tcPr>
          <w:p>
            <w:pPr>
              <w:spacing w:after="0"/>
              <w:rPr>
                <w:sz w:val="12"/>
                <w:szCs w:val="12"/>
                <w:color w:val="auto"/>
              </w:rPr>
            </w:pPr>
          </w:p>
        </w:tc>
        <w:tc>
          <w:tcPr>
            <w:tcW w:w="880" w:type="dxa"/>
            <w:vAlign w:val="bottom"/>
            <w:gridSpan w:val="2"/>
          </w:tcPr>
          <w:p>
            <w:pPr>
              <w:jc w:val="right"/>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Environmental Studies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4,350</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18"/>
                <w:szCs w:val="18"/>
                <w:i w:val="1"/>
                <w:iCs w:val="1"/>
                <w:color w:val="auto"/>
              </w:rPr>
              <w:t>(Note 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7,338</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Mining, Technological and Process Development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19,065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Prefeasibility Studies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838</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Sponsorship, Training and Stakeholder Engagement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Permit Application Activities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596</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39,585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42,339</w:t>
            </w:r>
          </w:p>
        </w:tc>
        <w:tc>
          <w:tcPr>
            <w:tcW w:w="0" w:type="dxa"/>
            <w:vAlign w:val="bottom"/>
          </w:tcPr>
          <w:p>
            <w:pPr>
              <w:spacing w:after="0"/>
              <w:rPr>
                <w:sz w:val="1"/>
                <w:szCs w:val="1"/>
                <w:color w:val="auto"/>
              </w:rPr>
            </w:pPr>
          </w:p>
        </w:tc>
      </w:tr>
      <w:tr>
        <w:trPr>
          <w:trHeight w:val="347"/>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NORI</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200" w:type="dxa"/>
            <w:vAlign w:val="bottom"/>
          </w:tcPr>
          <w:p>
            <w:pPr>
              <w:spacing w:after="0"/>
              <w:rPr>
                <w:sz w:val="12"/>
                <w:szCs w:val="12"/>
                <w:color w:val="auto"/>
              </w:rPr>
            </w:pPr>
          </w:p>
        </w:tc>
        <w:tc>
          <w:tcPr>
            <w:tcW w:w="880" w:type="dxa"/>
            <w:vAlign w:val="bottom"/>
            <w:gridSpan w:val="2"/>
          </w:tcPr>
          <w:p>
            <w:pPr>
              <w:jc w:val="right"/>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Environmental Studies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Mining, Technological and Process Development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Prefeasibility Studies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Sponsorship, Training and Stakeholder Engagement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79"/>
          </w:cols>
          <w:pgMar w:left="980" w:top="661" w:right="1440" w:bottom="1440" w:gutter="0" w:footer="0" w:header="0"/>
        </w:sectPr>
      </w:pPr>
    </w:p>
    <w:p>
      <w:pPr>
        <w:spacing w:after="0" w:line="24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Registered Direct Offering</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14, 2023, the Company entered into a securities purchase agreement with certain investors, pursuant to which the Company agreed to sell and issue, in a registered direct offering (the “Registered Direct Offering”) 12,461,540 common shares and issue Class A Warrants to purchase 6,230,770 common shares (“Class A Warrants) (Note 10). Each common share and accompanying Class A Warrant were sold at a price of $2.00 per unit. The exercise price to purchase one common share under the Class A warrants is $3.00, subject to adjustment as provided in the warrant agreement.</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September 30, 2024, all common shares and Class A Warrants to purchase common shares under the Registered Direct Offering had been issued and the Company received gross proceeds amounting to $24.9 million. The Company incurred $1.3 million as offering expenses, resulting in net proceeds received of $23.6 million. Out of the total net proceeds received of $23.6 million, the net proceeds attributable to common shares were $18.9 million and the net proceeds attributable to Class A Warrants were $4.7 million.</w:t>
      </w:r>
    </w:p>
    <w:p>
      <w:pPr>
        <w:spacing w:after="0" w:line="179"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issued 15,000,000 common share warrants as part of its predecessor’s initial public offering in May 2020 (“Public Warrants”) and 9,500,000 private placement common share warrants in a private placement simultaneously with the closing of its predecessor’s initial public offering (“Private Warrants”).</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September 30, 2024, 15,000,000 (September 30, 2023 - 15,000,000) Public Warrants were outstanding. Public Warrants may only be exercised for a whole number of shares. The exercise price for the Public Warrants is $11.50 per common share. The Public Warrants will expire on September 9, 2026 or earlier upon redemption or liquidation.</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September 30, 2024, the value of outstanding Public Warrants of $19.5 million was recorded in additional paid in capital.</w:t>
      </w:r>
    </w:p>
    <w:p>
      <w:pPr>
        <w:spacing w:after="0" w:line="2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September 30, 2024, 9,500,000 (September 30, 2023 - 9,500,000) Private Warrants were outstanding. The exercise price for the Private Warrants is $11.50 per common share. The Private Warrants will expire on September 9, 2026 or earlier upon redemption or liquidation.</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based on consideration of the implied volatility from the Company’s Public Warrants adjusted to account for the call feature of the Public Warrants at prices above $18.00 during 20 trading days within any 30-day trading period and historical volatility of the share price of the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As at September 30, 2024, the fair value of outstanding Private Warrants of $0.9 million is recorded as warrants liability. The following table presents the changes in the fair value of warrants liability:</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0" w:type="dxa"/>
            <w:vAlign w:val="bottom"/>
          </w:tcPr>
          <w:p>
            <w:pPr>
              <w:spacing w:after="0"/>
              <w:rPr>
                <w:sz w:val="1"/>
                <w:szCs w:val="1"/>
                <w:color w:val="auto"/>
              </w:rPr>
            </w:pPr>
          </w:p>
        </w:tc>
      </w:tr>
      <w:tr>
        <w:trPr>
          <w:trHeight w:val="173"/>
        </w:trPr>
        <w:tc>
          <w:tcPr>
            <w:tcW w:w="65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liability as at December 31, 2023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 in fair value of warrants liability</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Warrants liability as at September 30, 2024</w:t>
            </w: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fair value of the Private Warrants was estimated using the following assumptions:</w:t>
            </w: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520" w:type="dxa"/>
            <w:vAlign w:val="bottom"/>
          </w:tcPr>
          <w:p>
            <w:pPr>
              <w:spacing w:after="0"/>
              <w:rPr>
                <w:sz w:val="24"/>
                <w:szCs w:val="24"/>
                <w:color w:val="auto"/>
              </w:rPr>
            </w:pPr>
          </w:p>
        </w:tc>
        <w:tc>
          <w:tcPr>
            <w:tcW w:w="14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24"/>
                <w:szCs w:val="24"/>
                <w:color w:val="auto"/>
              </w:rPr>
            </w:pPr>
          </w:p>
        </w:tc>
        <w:tc>
          <w:tcPr>
            <w:tcW w:w="98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5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Share price</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105.34%</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1.94 years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years</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Class A Warrants</w:t>
      </w:r>
    </w:p>
    <w:p>
      <w:pPr>
        <w:spacing w:after="0" w:line="229"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As at September 30, 2024, 6,230,770 (September 30, 2023 – nil) Class A warrants were outstanding, and the total fair value of the outstanding Class Warrants recorded in additional paid in capital was $4.7 million (December 31, 2023 - $3.2 million).</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There were no exercises or redemptions of the Public Warrants, Private Warrants and Class A warrants during the three-month and nine-month period ended September 30, 2024.</w:t>
      </w:r>
    </w:p>
    <w:p>
      <w:pPr>
        <w:spacing w:after="0" w:line="171"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2021 Incentive Equity Plan (the “Plan”) provides that the aggregate number of common shares reserved for future issuance under the Plan as of September 30, 2024, is 56,634,518 common shares, including 12,262,348 shares added to the Plan in January 2024 pursuant to the Plan’s automatic annual increase provision, provided that 2,243,853 of the outstanding common shares shall only be available for awards made to non-employee directors of the Company. On the first day of each fiscal year from 2022 to 2031, the number of common shares that may be issued pursuant to the Plan is automatically increased by an amount equal to the lesser of 4% of the number of outstanding common shares or an amount determined by the board of directors.</w:t>
      </w:r>
    </w:p>
    <w:p>
      <w:pPr>
        <w:spacing w:after="0" w:line="187"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Share-based awards consisting of Restricted Share Units (STIP and LTIP) and options granted by TMC have been issued under the 2021 Incentive Equity Plan.</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September 30, 2024, there were 3,940,000 options outstanding under the Company’s 2021 Incentive Plan.</w:t>
      </w:r>
    </w:p>
    <w:p>
      <w:pPr>
        <w:spacing w:after="0" w:line="225"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and nine months ended September 30, 2024, the Company recognized $0.5 million and $0.9 million of share-based compensation expense reported as general and administrative expenses in the statement of loss and comprehensive loss.</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September 30, 2024, there were 14,358,468 stock options outstanding under the Company’s 2018 Stock Option Short-Term Incentive Plan (“STIP”) and 9,644,874 stock options outstanding under the Company’s 2018 Stock Option Long-Term Incentive Plan (“LTIP”). The Company has not granted any options under the STIP and LTIP since September 9, 2021 (date of the Business Combination) and has fully recognized the fair value of the options issued in prior periods under the STIP and LTIP.</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continuity schedule summarizing the movements in the Company’s stock options under the various plans is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0" w:type="dxa"/>
            <w:vAlign w:val="bottom"/>
          </w:tcPr>
          <w:p>
            <w:pPr>
              <w:spacing w:after="0"/>
              <w:rPr>
                <w:sz w:val="1"/>
                <w:szCs w:val="1"/>
                <w:color w:val="auto"/>
              </w:rPr>
            </w:pPr>
          </w:p>
        </w:tc>
      </w:tr>
      <w:tr>
        <w:trPr>
          <w:trHeight w:val="173"/>
        </w:trPr>
        <w:tc>
          <w:tcPr>
            <w:tcW w:w="604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under STIP</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under LTIP</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15,356,340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9,783,922</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(162,100)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15,074,240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9,783,922</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3,940,000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(139,048)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(715,772)</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 September 30,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14,358,468</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9,644,874</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3,940,000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 (“RSU”)</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may, from time to time, grant RSUs to directors, officers, employees, and consultants of the Company and its subsidiaries under the Plan. On each vesting date, RSU holders are issued common shares equivalent to the number of RSUs held provided the holder is providing service to the Company on such vesting date.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RSU activity during the nine-month period ended September 30, 2024, is presented in the table below:</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Number of RSUs</w:t>
            </w:r>
          </w:p>
        </w:tc>
      </w:tr>
      <w:tr>
        <w:trPr>
          <w:trHeight w:val="173"/>
        </w:trPr>
        <w:tc>
          <w:tcPr>
            <w:tcW w:w="77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1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12,484,880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32,707,638</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(380,581)</w:t>
            </w:r>
          </w:p>
        </w:tc>
      </w:tr>
      <w:tr>
        <w:trPr>
          <w:trHeight w:val="216"/>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(9,078,432)</w:t>
            </w:r>
          </w:p>
        </w:tc>
      </w:tr>
      <w:tr>
        <w:trPr>
          <w:trHeight w:val="21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 September 30, 2024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35,733,505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RSUs granted by the Company during the three months and nine months ended September 30, 2024 are as follows:</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2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73"/>
        </w:trPr>
        <w:tc>
          <w:tcPr>
            <w:tcW w:w="3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Vesting Period</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04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Vesting Immediately </w:t>
            </w:r>
            <w:r>
              <w:rPr>
                <w:rFonts w:ascii="Times New Roman" w:cs="Times New Roman" w:eastAsia="Times New Roman" w:hAnsi="Times New Roman"/>
                <w:sz w:val="24"/>
                <w:szCs w:val="24"/>
                <w:color w:val="auto"/>
                <w:vertAlign w:val="superscript"/>
              </w:rPr>
              <w:t>(1)</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160,823</w:t>
            </w: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4,167,518</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3,237,710</w:t>
            </w:r>
          </w:p>
        </w:tc>
        <w:tc>
          <w:tcPr>
            <w:tcW w:w="0" w:type="dxa"/>
            <w:vAlign w:val="bottom"/>
          </w:tcPr>
          <w:p>
            <w:pPr>
              <w:spacing w:after="0"/>
              <w:rPr>
                <w:sz w:val="1"/>
                <w:szCs w:val="1"/>
                <w:color w:val="auto"/>
              </w:rPr>
            </w:pPr>
          </w:p>
        </w:tc>
      </w:tr>
      <w:tr>
        <w:trPr>
          <w:trHeight w:val="190"/>
        </w:trPr>
        <w:tc>
          <w:tcPr>
            <w:tcW w:w="31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Vesting fully on the first anniversary of</w:t>
            </w: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180" w:type="dxa"/>
            <w:vAlign w:val="bottom"/>
            <w:gridSpan w:val="3"/>
          </w:tcPr>
          <w:p>
            <w:pPr>
              <w:ind w:left="120"/>
              <w:spacing w:after="0" w:line="242" w:lineRule="exact"/>
              <w:rPr>
                <w:sz w:val="20"/>
                <w:szCs w:val="20"/>
                <w:color w:val="auto"/>
              </w:rPr>
            </w:pPr>
            <w:r>
              <w:rPr>
                <w:rFonts w:ascii="Times New Roman" w:cs="Times New Roman" w:eastAsia="Times New Roman" w:hAnsi="Times New Roman"/>
                <w:sz w:val="18"/>
                <w:szCs w:val="18"/>
                <w:color w:val="auto"/>
              </w:rPr>
              <w:t xml:space="preserve">the grant date </w:t>
            </w:r>
            <w:r>
              <w:rPr>
                <w:rFonts w:ascii="Times New Roman" w:cs="Times New Roman" w:eastAsia="Times New Roman" w:hAnsi="Times New Roman"/>
                <w:sz w:val="26"/>
                <w:szCs w:val="26"/>
                <w:color w:val="auto"/>
                <w:vertAlign w:val="superscript"/>
              </w:rPr>
              <w:t>(2)</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493,430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1,014,349</w:t>
            </w:r>
          </w:p>
        </w:tc>
        <w:tc>
          <w:tcPr>
            <w:tcW w:w="0" w:type="dxa"/>
            <w:vAlign w:val="bottom"/>
          </w:tcPr>
          <w:p>
            <w:pPr>
              <w:spacing w:after="0"/>
              <w:rPr>
                <w:sz w:val="1"/>
                <w:szCs w:val="1"/>
                <w:color w:val="auto"/>
              </w:rPr>
            </w:pPr>
          </w:p>
        </w:tc>
      </w:tr>
      <w:tr>
        <w:trPr>
          <w:trHeight w:val="190"/>
        </w:trPr>
        <w:tc>
          <w:tcPr>
            <w:tcW w:w="31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Vesting in thirds on each anniversary of</w:t>
            </w: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180" w:type="dxa"/>
            <w:vAlign w:val="bottom"/>
            <w:gridSpan w:val="3"/>
            <w:shd w:val="clear" w:color="auto" w:fill="CCEEFF"/>
          </w:tcPr>
          <w:p>
            <w:pPr>
              <w:ind w:left="120"/>
              <w:spacing w:after="0" w:line="242" w:lineRule="exact"/>
              <w:rPr>
                <w:sz w:val="20"/>
                <w:szCs w:val="20"/>
                <w:color w:val="auto"/>
              </w:rPr>
            </w:pPr>
            <w:r>
              <w:rPr>
                <w:rFonts w:ascii="Times New Roman" w:cs="Times New Roman" w:eastAsia="Times New Roman" w:hAnsi="Times New Roman"/>
                <w:sz w:val="18"/>
                <w:szCs w:val="18"/>
                <w:color w:val="auto"/>
              </w:rPr>
              <w:t xml:space="preserve">the grant date </w:t>
            </w:r>
            <w:r>
              <w:rPr>
                <w:rFonts w:ascii="Times New Roman" w:cs="Times New Roman" w:eastAsia="Times New Roman" w:hAnsi="Times New Roman"/>
                <w:sz w:val="26"/>
                <w:szCs w:val="26"/>
                <w:color w:val="auto"/>
                <w:vertAlign w:val="superscript"/>
              </w:rPr>
              <w:t>(3)</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7,212,375</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8,683,486</w:t>
            </w:r>
          </w:p>
        </w:tc>
        <w:tc>
          <w:tcPr>
            <w:tcW w:w="0" w:type="dxa"/>
            <w:vAlign w:val="bottom"/>
          </w:tcPr>
          <w:p>
            <w:pPr>
              <w:spacing w:after="0"/>
              <w:rPr>
                <w:sz w:val="1"/>
                <w:szCs w:val="1"/>
                <w:color w:val="auto"/>
              </w:rPr>
            </w:pPr>
          </w:p>
        </w:tc>
      </w:tr>
      <w:tr>
        <w:trPr>
          <w:trHeight w:val="198"/>
        </w:trPr>
        <w:tc>
          <w:tcPr>
            <w:tcW w:w="31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Vesting in fourths on each anniversary of</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132,435</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834,315</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grant date</w:t>
            </w:r>
          </w:p>
        </w:tc>
        <w:tc>
          <w:tcPr>
            <w:tcW w:w="13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343,750</w:t>
            </w:r>
          </w:p>
        </w:tc>
        <w:tc>
          <w:tcPr>
            <w:tcW w:w="0" w:type="dxa"/>
            <w:vAlign w:val="bottom"/>
          </w:tcPr>
          <w:p>
            <w:pPr>
              <w:spacing w:after="0"/>
              <w:rPr>
                <w:sz w:val="1"/>
                <w:szCs w:val="1"/>
                <w:color w:val="auto"/>
              </w:rPr>
            </w:pPr>
          </w:p>
        </w:tc>
      </w:tr>
      <w:tr>
        <w:trPr>
          <w:trHeight w:val="216"/>
        </w:trPr>
        <w:tc>
          <w:tcPr>
            <w:tcW w:w="31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Vesting based on market conditions </w:t>
            </w:r>
            <w:r>
              <w:rPr>
                <w:rFonts w:ascii="Times New Roman" w:cs="Times New Roman" w:eastAsia="Times New Roman" w:hAnsi="Times New Roman"/>
                <w:sz w:val="25"/>
                <w:szCs w:val="25"/>
                <w:color w:val="auto"/>
                <w:vertAlign w:val="superscript"/>
              </w:rPr>
              <w:t>(4)</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Units Granted</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293,258</w:t>
            </w:r>
          </w:p>
        </w:tc>
        <w:tc>
          <w:tcPr>
            <w:tcW w:w="14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32,707,638</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13,279,295</w:t>
            </w:r>
          </w:p>
        </w:tc>
        <w:tc>
          <w:tcPr>
            <w:tcW w:w="0" w:type="dxa"/>
            <w:vAlign w:val="bottom"/>
          </w:tcPr>
          <w:p>
            <w:pPr>
              <w:spacing w:after="0"/>
              <w:rPr>
                <w:sz w:val="1"/>
                <w:szCs w:val="1"/>
                <w:color w:val="auto"/>
              </w:rPr>
            </w:pPr>
          </w:p>
        </w:tc>
      </w:tr>
      <w:tr>
        <w:trPr>
          <w:trHeight w:val="102"/>
        </w:trPr>
        <w:tc>
          <w:tcPr>
            <w:tcW w:w="24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680" w:hanging="321"/>
        <w:spacing w:after="0" w:line="253"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160,823 RSUs vesting immediately on the grant date issued during the three months ended September 30, 2024, the Company granted 147,549 RSUs to consultants (three months ended September 30, 2023: nil) resulting in $0.2 million, charged as general and administrative expenses for the three months ended September 30, 2024 (three months ended September 30, 2023: nil). Of the 4,167,518 RSUs vesting immediately on the grant date issued during the nine months ended September 30, 2024, the Company granted 351,034 RSUs, to consultants (nine months ended September 30, 2023: 23,438 RSUs) resulting in $0.5 million, charged as general and administrative expenses (nine months ended September 30, 2023: $23 thousand charged as general and administrative expenses). During the three and nine months ended September 30, 2024, the Company also granted 13,274 RSUs and 79,771 RSUs, respectively, to consultants as a prepayment for their services (three and nine months ended September 30, 2023: nil and 15,625 units, respectively). Of the 4,167,518 RSUs vesting immediately on grant date, 2,812,802 RSUs were issued to settle liabilities with a carrying amount of $4.1 million, at a weighted average grant date fair value of $1.44 per RSU.</w:t>
      </w:r>
    </w:p>
    <w:p>
      <w:pPr>
        <w:spacing w:after="0" w:line="137"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493,430 units granted during the nine months ended September 30, 2024, an aggregate amount of 476,189 RSUs were granted to the Company’s non-employee directors under the Company’s Non-employee Director Compensation Policy, which will vest at the Company’s 2025 annual shareholders meeting. The total fair value of units granted as annual grants to non-employee directors amounted to $0.7 million. The remaining 17,241 units were granted to a director as annual fees for consulting services to be provided, which were fair valued at $25 thousand.</w:t>
      </w:r>
    </w:p>
    <w:p>
      <w:pPr>
        <w:spacing w:after="0" w:line="129"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7,212,375 units granted during the nine months ended September 30, 2024, the Company granted 7,144,348 RSUs, as payment for the 2023 LTIP awards (nine months ended September 30, 2023: 8,645,465 RSUs were issued as payment for the 2022 LTIP awards). The remaining 68,027 units were granted to a non-employee director of the Company as an initial grant, as prescribed under the Company’s Non-employee Director Compensation Policy.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680" w:hanging="321"/>
        <w:spacing w:after="0" w:line="253"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16, 2024, the Company entered into a new employment agreement with Gerard Barron, the Company’s Chief Executive Officer and Chairman under which the Company granted Mr. Barron a one-time signing bonus award of 20,000,000 market-based restricted stock units (the “Signing RSUs”) of the Company’s common shares. The Signing RSUs will vest upon the Company’s common shares achieving the following closing prices per share, based on the trailing 30- day average price (the “Closing Price”), on or prior to April 16, 2029, subject to Mr. Barron’s continued service with the Company on the applicable vesting date: one-third of the Signing RSUs vest on achievement of a Closing Price of $7.50; one-third of the Signing RSUs vest on achievement of a Closing Price of $10.00; and one-third of the Signing RSUs vest on achievement of a Closing Price of $12.50 (each subject to equitable adjustment for any stock splits, combinations, reclassifications, stock dividends and the like). Pursuant to the 2024 Barron Employment Agreement, Mr. Barron has agreed not to sell any of the common shares issuable upon vesting of the Signing RSUs until after the fifth anniversary of entering into the 2024 Barron Employment Agreement.</w:t>
      </w:r>
    </w:p>
    <w:p>
      <w:pPr>
        <w:spacing w:after="0" w:line="194"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8"/>
          <w:szCs w:val="18"/>
          <w:color w:val="auto"/>
        </w:rPr>
        <w:t>The grant date fair value of all RSUs, apart from the Signing RSUs, is equivalent to the closing share price of the Company’s common shares on the date of grant. The grant date fair value of the RSUs vesting based on market conditions was determined using the Monte-Carlo valuation method. During the three and nine months ended September 30, 2024, a total of $5.6 million and $14.1 million, respectively, was charged to the statement of loss and comprehensive loss as share-based compensation expense for RSUs (three and nine months ended September 30, 2023: $2.4 million and $6.4 million, respectively). For the three and nine months ended September 30, 2024, share-based compensation expense related to exploration and evaluation activities amounted to $3.2 million and $7.6 million, respectively, (three and nine months ended September 30, 2023 - $1.4 million and $3.6 million, respectively). The amount of share-based compensation expense related to general and administration matters for three and nine months ended September 30, 2024 was $2.4 million and $6.5 million, respectively (three and nine months ended September 30, 2023 - $1 million and $2.8 million, respectively). As at September 30, 2024, total unrecognized share-based compensation expense for RSUs was $26 million (December 31, 2023 - $6.9 million).</w:t>
      </w:r>
    </w:p>
    <w:p>
      <w:pPr>
        <w:spacing w:after="0" w:line="192"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As at September 30, 2024, an aggregate of 137,760 vested RSUs were being processed and due to be converted into common shares.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18"/>
          <w:szCs w:val="18"/>
          <w:color w:val="auto"/>
        </w:rPr>
        <w:t>On May 31, 2022, TMC’s 2021 Employee Stock Purchase Plan (“ESPP”) was approved at the Company’s 2022 annual shareholders meeting. As of September 30, 2024, there were 10,998,032 common shares reserved for issuance under the ESPP. This included 3,065,587 shares added to the ESPP in January 2024 pursuant to the ESPP’s automatic annual increase provision. Under the ESPP, the number of shares reserved for issuance is subject to an annual increase provision which provides that on the first day of each of the Company’s fiscal years starting in 2022, common shares equal to the lesser of (i) 1% percent of the common shares outstanding on the last day of the immediately preceding fiscal year, or (ii) such lesser number of shares as is determined by the board of directors will be added to the ESPP.</w:t>
      </w:r>
    </w:p>
    <w:p>
      <w:pPr>
        <w:spacing w:after="0" w:line="189"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8"/>
          <w:szCs w:val="18"/>
          <w:color w:val="auto"/>
        </w:rPr>
        <w:t>During the three and nine months ended September 30, 2024, a total of $3 thousand and $33 thousand, respectively, was charged to the condensed consolidated statement of loss and comprehensive loss (for three and nine months ended September 30, 2023: $28 thousand and $47 thousand, respectively) as share-based compensation expense for ESPP issuances. For the three and nine months ended September 30, 2024, a total of $2 thousand and $17 thousand, respectively, of this recognized share-based compensation expense was related to exploration and evaluation activities (three and nine months ended September 30, 2023 - $19 thousand and $26 thousand, respectively). The amount of this share-based compensation expense related to general and administration matters for three and nine months ended September 30, 2024 was $1 thousand and $16 thousand, respectively (three and nine months ended September 30, 2023 - $9 thousand and $21 thousand, respectively). On May 31, 2024, the Company issued 27,394 common shares to its employees, thereby converting employee payroll contributions over the previous six months into shares, as prescribed in its ESPP program (in the three and nine months ended September 30, 2023, 83,572 common shares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Shares issued as per At-the-Market Equity Distribution Agreement (“ATM”)</w:t>
      </w:r>
    </w:p>
    <w:p>
      <w:pPr>
        <w:spacing w:after="0" w:line="229"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In December 2022, the Company filed a prospectus supplement with the Securities and Exchange Commission to sell up to $30 million of the Company’s common shares from time to time through an ATM. During the three and nine months ended September 30, 2024, the Company issued 1,617,000 common shares and 3,251,588 common shares, respectively. For three and nine months ended September 30, 2024, the common shares were issued at an average share price of $1.45 and $1.53, respectively resulting in net proceeds amounting to $2.3 million and $4.9 million, after incurring $71 thousand and $113 thousand, respectively, as commission and fees.</w:t>
      </w:r>
    </w:p>
    <w:p>
      <w:pPr>
        <w:spacing w:after="0" w:line="183"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loss per share is computed by dividing the loss by the weighted-average number of common shares of the Company outstanding during the period. Diluted loss per share is computed by giving effect to all common share equivalents of the Company, including outstanding stock options, RSUs, warrants, Special Shares and options to purchase Special Shares, to the extent these are dilutive. Basic and diluted loss per share was the same for each period presented as the inclusion of all common share equivalents would have been anti-dilutive.</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Anti-dilutive equivalent common shares were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8"/>
        </w:trPr>
        <w:tc>
          <w:tcPr>
            <w:tcW w:w="6360" w:type="dxa"/>
            <w:vAlign w:val="bottom"/>
          </w:tcPr>
          <w:p>
            <w:pPr>
              <w:spacing w:after="0"/>
              <w:rPr>
                <w:sz w:val="12"/>
                <w:szCs w:val="12"/>
                <w:color w:val="auto"/>
              </w:rPr>
            </w:pPr>
          </w:p>
        </w:tc>
        <w:tc>
          <w:tcPr>
            <w:tcW w:w="140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tcPr>
          <w:p>
            <w:pPr>
              <w:jc w:val="right"/>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3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to purchase common shares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27,943,343</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25,020,262</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RSUs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35,733,505</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13,477,784</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under ESPP</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11,027</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77,241</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30,730,770</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28,480,770</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Special Shares and options to purchase Special Shares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136,239,964</w:t>
            </w:r>
          </w:p>
        </w:tc>
        <w:tc>
          <w:tcPr>
            <w:tcW w:w="1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136,239,964</w:t>
            </w:r>
          </w:p>
        </w:tc>
      </w:tr>
      <w:tr>
        <w:trPr>
          <w:trHeight w:val="210"/>
        </w:trPr>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anti-dilutive common equivalent shares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230,658,609</w:t>
            </w: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203,296,021</w:t>
            </w:r>
          </w:p>
        </w:tc>
      </w:tr>
    </w:tbl>
    <w:p>
      <w:pPr>
        <w:spacing w:after="0" w:line="207"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One of the Company’s subsidiaries has a consulting agreement with SSCS Pte. Ltd. (“SSCS”) to manage offshore engineering studies. A director of DGE is employed through SSCS. Consulting services during the three and nine months ended September 30, 2024 totaled $25 thousand and $75 thousand, respectively (three and nine months ended September 30, 2023 - $40 thousand and $177 thousand, respectively). Consulting services provided for three and nine months ended September 30, 2024 amounting to $17 thousand $52 thousand, respectively (three and nine months ended September 30, 2023 - $55 thousand and $165 thousand, respectively), are disclosed as exploration labor within exploration and evaluation expenses (Note 8). Consulting services amounting to $8 thousand and $23 thousand, respectively, for three and nine months ended September 30, 2024 are disclosed as general and administrative expenses (three and nine months ended September 30, 2023 - $8 thousand and $36 thousand, respectively). As at September 30, 2024, the amount payable to SSCS was $17 thousand (December 31, 2023 - $17 thousand).</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7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One of the Company’s directors who was appointed at the Company’s annual general meeting held on May 31, 2024 is the Chairman of Stonehaven Campaigns Limited and Robertsbridge Consultants Limited, which provide the Company with consulting services. During the three and nine months ended September 30, 2024, Stonehaven Campaigns Limited provided consulting services amounting to $6 thousand and $18 thousand, respectively, recorded in general and administrative expenses. During the three and nine months ended September 30, 2024, Robertsbridge Consultants Limited provided consulting services amounting to $16 thousand and $21 thousand, respectively, recorded in general and administrative expenses. As at September 30, 2024, the amount payable to both Stonehaven Campaigns Limited and Robertsbridge Consultants Limited was $18 thousand and $16 thousand, respectively.</w:t>
      </w:r>
    </w:p>
    <w:p>
      <w:pPr>
        <w:spacing w:after="0" w:line="17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30, 2024, as part of the Registered Direct Offering (Note 9), the Company received the remaining committed funding of $9 million from ERAS Capital LLC, the investment fund of one of the Company’s directors.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On March 22, 2024, the Company entered into an Unsecured Credit Facility (the “2024 Credit Facility”) with Gerard Barron, the Company’s Chief Executive Officer and Chairman, and ERAS Capital LLC, the family fund of one of the Company’s directors, (collectively, the “2024 Lenders”), pursuant to which, the Company may borrow from the 2024 Lenders up to $20 million in the aggregate ( $10 million from each of the 2024 Lenders), from time to time, subject to certain conditions. All amounts drawn under the 2024 Credit Facility will bear interest at the 6-month Secured Overnight Funding Rate (SOFR), 180-day average plus 4.0% per annum payable in cash semi - annually (or plus 5% if paid - in - kind at maturity, at our election) on the first business day of each of June and January. The Company will pay an underutilization fee equal to 4.0% per annum payable semi-annually for any amounts that remain undrawn under the 2024 Credit Facility. The Company has the right to pre-pay the entire amount outstanding under the 2024 Credit Facility at any time, before the 2024 Credit Facility’s maturity of December 31, 2025. The 2024 Credit Facility also contains customary events of default. The 2024 Credit Facility will terminate automatically if the Company or any of its subsidiaries raise at least $50 million in the aggregate (i) through the issuance of any of the Company’s or its subsidiaries’ debt or equity securities, or (ii) in prepayments under an off-take agreement or similar commercial agreement. On August 13, 2024, the Company entered into the First Amendment to the 2024 Credit Facility with the 2024 Lenders, to increase the borrowing limit of the 2024 Credit Facility to $25 million in the aggregate ($12.5 million from each of the 2024 Lenders). Under the terms of the First Amendment, the borrowing limit will return to $20 million in the aggregate ($10 million from each of the 2024 Lenders) upon certain financing events. On November 13, 2024, the Company entered into the Second Amendment to the 2024 Credit Facility with the 2024 Lenders, to increase the borrowing limit to $38 million in the aggregate ($19 million from each of the 2024 Lenders) and to extend the maturity of the 2024 Credit Facility to December 31, 2025.</w:t>
      </w:r>
    </w:p>
    <w:p>
      <w:pPr>
        <w:spacing w:after="0" w:line="192"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has drawn from the 2024 Credit Facility $0.3 million and $4.2 million, respectively, and incurred $96 thousand and $146 thousand, respectively, as interest expense. During the three and nine months ended September 30, 2024, the Company incurred $0.2 million and $0.4 million, respectively, as underutilization fees, which would be payable only in the event the 2024 Credit Facility is not drawn down upon at the time such fees are payable. During the three and nine months ended September 30, 2024, the Company repaid interest amounting to $nil and $25 thousand, respectively, and underutilization fees amounting to $nil and $0.1 million, respectively to the 2024 Lenders. On October 9, 2024, the Company drew $0.1 million from the 2024 Credit Facility.</w:t>
      </w:r>
    </w:p>
    <w:p>
      <w:pPr>
        <w:spacing w:after="0" w:line="18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Apart from the above-mentioned transactions, the Company had transactions with Allseas which are detailed in Note 6 and issued share-based grants to the Company’s directors which are detailed in Note 11.</w:t>
      </w:r>
    </w:p>
    <w:p>
      <w:pPr>
        <w:spacing w:after="0" w:line="158"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Liabilities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23, 2023, certain investors in the 2021 private placement from the Business Combination filed a lawsuit against the Company in the Commercial Division of New York Supreme Court, New York County, captioned Atalaya Special Purpose Investment Fund II LP et al. v. Sustainable Opportunities Acquisition Corp. n/k/a TMC The Metals Company Inc., Index No. 650449/2023 (N.Y. Sup. Ct.). The Company filed a motion to dismiss on March 31, 2023, after which the plaintiffs filed an amended complaint on June 5, 2023. The amended complaint alleges that the Company breached the representations and warranties in the plaintiffs’ private placement Subscription Agreements and breached the covenant of good faith and fair dealing. The Plaintiffs are seeking to recover compensable damages caused by the alleged wrongdoings. The Company denies any allegations of wrongdoing and filed a motion to dismiss the amended complaint on July 28, 2023. On December 7, 2023, the Court granted the Company’s motion to dismiss the claim for breach of the covenant of good faith and fair dealing and denied the Company’s motion to dismiss the breach of the Subscription Agreement claim. The Company filed a notice of appeal regarding the Court’s denial of its motion to dismiss the breach of the Subscription Agreement claim in March 2024 and the appeal was heard by the Court on November 8, 2024. The parties are currently awaiting a ruling. There is no assurance that the Company will be successful in its defense of this lawsuit or that insurance will be available or adequate to fund any settlement or judgment or the litigation costs of this action. Such losses or range of possible losses cannot be reliably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Segmented Information</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business consists of only one operating segment, namely exploration of seafloor polymetallic nodules, which includes the development of a metallurgical process to treat such seafloor polymetallic nodules.</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14, 2024, the Company entered into a securities purchase agreement with certain new and existing institutional investors for the sale of an aggregate of 17,500,000 common shares (the “Shares”) and accompanying Class B warrants (the “Class B Warrants”), in a registered direct offering. The offering price was $1.00 per Share (gross proceeds of $17.5 million), with each Share including an accompanying Class B Warrant to purchase 0.5 common shares. The Class B Warrants are exercisable immediately upon issuance at a price of $2.00 per share and expire five years from issuance.</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Class B Warrants include customary anti-dilution protections and a repurchase feature, permitting the Company to repurchase the warrants for $0.0001 per Common Share underlying the Class B Warrants if the volume-weighted average price of the Company’s common shares exceeds $5.00 per share for each trading day in a consecutive 30-trading-day period.</w:t>
      </w:r>
    </w:p>
    <w:p>
      <w:pPr>
        <w:spacing w:after="0" w:line="17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closing of the Offering, under the terms of the Third Amendment, the borrowing limit under the Allseas Credit Facility will return to $25 million.</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14, 2024, DeepGreen Engineering Pte. Ltd. (“DeepGreen”) issued a formal termination notice to Marawa Research and Exploration Limited, ending the Services Agreement dated October 1, 2013 (the “Agreement”), pursuant to DeepGreen’s right to terminate for convenience under the Agreement. The termination will take effect two months from the date of the notice, on January 14, 2025. The impact of the cancellation of this agreement will not have a material impact on the Company’s financial results.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 information which management believes is relevant to an assessment and understanding of our condensed consolidated results of operations and financial condition. The discussion should be read in conjunction with the unaudited condensed interim consolidated financial statements and notes thereto contained in this Quarterly Report on Form 10-Q and the consolidated financial statements and notes thereto for the year ended December 31, 2023 contained in our 2023 Annual Report on Form 10-K. This discussion contains forward looking statements and involves numerous risks and uncertainties, including, but not limited to, those described in “Risk Factors” in Item 1A of Part I of the 2023 Annual Report on Form 10-K, as updated and/or supplemented in subsequent filings with the SEC. Actual results may differ materially from those contained in any forward-looking statements. Unless the context otherwise requires, references to “we”, “us”, “our”, “TMC” and “the Company” are intended to mean the business and operations of TMC the metals company Inc. and its consolidated subsidiaries. The unaudited condensed consolidated interim financial statements for the three months and nine months ended September 30, 2024 and 2023, respectively, present the financial position and results of operations of TMC the metals company Inc. and its consolidated subsidiaries.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processing and refining of polymetallic nodules found on the seafloor in international waters of the Clarion Clipperton Zone (“CCZ”), about 1,500 miles south-west of San Diego, California. The CCZ is a geological submarine fracture zone of abyssal plains and other formations in the Eastern Pacific Ocean, with a length of around 7,240 km (4,500 miles) that spans approximately 4,500,000 square kilometers (1,700,000 square miles). Polymetallic nodules are discrete rocks that sit unattached to the seafloor, occur in significant quantities in the CCZ and have high concentrations of nickel, manganese, cobalt and copper in a single rock.</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low carbon energy, as well as for infrastructure and development.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or intermediary nickel-copper-cobalt matte, or nickel-copper-cobalt alloy) for electric vehicles (“EV”) and renewable energy storage markets, (ii) copper cathode for EV wiring, energy transmission and other applications, and (iii) manganese silicate for manganese alloy production required for steel production. Our mission is to build a carefully managed, shared stock of metal (a “metal commons”) that can be used, recovered and reused for generations to come. Significant quantities of newly mined metal are required because existing metal stocks are insufficient to meet rapidly rising demand.</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seafloor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square kilometers, or 0.4% of the global seafloor, 17 of which are in the CCZ. We hold exclusive exploration and commercial rights to three of the 17 polymetallic nodule contract areas in the CCZ; two based on ISA exploration contracts through our subsidiaries Nauru Ocean Resources Inc. (“NORI”) and Tonga Offshore Mining Limited (“TOML”), sponsored by the Republic of Nauru (“Nauru”) and the Kingdom of Tonga (“Tonga”), respectively, and exclusive commercial rights through our subsidiary, DeepGreen Engineering Pte. Ltd.’s (“DGE”), and its arrangement with Marawa Research and Exploration Limited (“Marawa”), a company owned and sponsored by the Republic of Kiribati (“Kiribati”).</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key strategic alliances with (i) Allseas, a leading global offshore contractor, which developed and tested a pilot collection system, and is now working to modify it into the first commercial production system and (ii) Glencore which holds offtake rights to 50% of the NORI nickel and copper production if produced from a DGE-owned or controlled facility. In addition, we have worked with an engineering firm Hatch Ltd. (Hatch) and consultants Kingston Process Metallurgy Inc. (KPM) to develop a near-zero solid waste flowsheet. The primary processing stages of the flowsheet from nodule to Ni-Cu-Co matte intermediate were demonstrated as part of our pilot plant program at FLSmidth and XPS’ facilities. The matte refining stages are being tested at SGS Lakefield. The near-zero solid waste flowsheet provides a design that is expected to serve as the basis for our onshore processing facilities. In November 2022, we entered into a non-binding Memorandum of Understanding (“MoU”) with Pacific Metals Co Ltd (PAMCO) of Japan pursuant to which PAMCO completed prefeasibility work assessing the prospect of processing nodules using their existing facilities. In November 2023, we entered into a binding MoU with PAMCO whereby they committed to completing a feasibility study (expected to be completed in the first half of 2025) to toll treat 1.3 million tonnes of wet polymetallic nodules per year at its Hachinohe, Japan smelting facility, provided we obtain an exploitation contract from the ISA as expected. The toll treatment is intended to take place on a dedicated Rotary Kiln Electric Arc Furnace (RKEF) processing line and produce two products: nickel-copper-cobalt alloy, an intermediate product used as feedstock to produce lithium-ion battery cathodes, and a manganese silicate product used to make silico-manganese alloy, a critical input into steel manufacturing. We expect this partnership to progress to a definitive tolling agreement in 2025, subject to successful evaluation study outcomes and agreement to mutually acceptable commercial terms. There can be no assurance that we will enter into such definitive strategic alliance in a particular time period, or at all, or on terms similar to those set forth in the binding MoU, or that if such definitive tolling agreement is entered into by us or that the existing facility will be able to successfully process nodules in a particular time period, or at all.</w:t>
      </w:r>
    </w:p>
    <w:p>
      <w:pPr>
        <w:spacing w:after="0" w:line="19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currently focused on preparing our application for a plan of work to the ISA for our first exploitation contract for the NORI contract area. Given that it is unlikely that the ISA Council would consider any application for a plan of work for exploitation before its next session in March 2025 and to ensure clarity on the submission process, consideration of the Application, and timeline, the Republic of Nauru, in consultation with NORI, has formally requested that this issue be added to the agenda of the Council’s March 2025 meeting. We expect that this will allow Council to discuss and approve the process to be confirmed prior to NORI’s expected application submission date of June 27, 2025. Based on the current timeline in the consolidated draft regulations issued February 2024, the ISA application review and approval process is expected to be approximately one year from the filing date. See “</w:t>
      </w:r>
      <w:r>
        <w:rPr>
          <w:rFonts w:ascii="Times New Roman" w:cs="Times New Roman" w:eastAsia="Times New Roman" w:hAnsi="Times New Roman"/>
          <w:sz w:val="18"/>
          <w:szCs w:val="18"/>
          <w:i w:val="1"/>
          <w:iCs w:val="1"/>
          <w:color w:val="auto"/>
        </w:rPr>
        <w:t>Project and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Updates - ISA Developments</w:t>
      </w:r>
      <w:r>
        <w:rPr>
          <w:rFonts w:ascii="Times New Roman" w:cs="Times New Roman" w:eastAsia="Times New Roman" w:hAnsi="Times New Roman"/>
          <w:sz w:val="18"/>
          <w:szCs w:val="18"/>
          <w:color w:val="auto"/>
        </w:rPr>
        <w:t>” below for a further discussion on recent developments at the ISA.</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reach our objective and initiate commercial production, we are: (i) defining our resource and project economics, (ii) developing a commercial offshore nodule collection system, (iii) assessing the environmental and social impacts of offshore nodule collection, and (iv) developing onshore technology to process collected polymetallic nodules into a manganese silicate product, and an intermediate nickel-copper-cobalt alloy or matte product and/or end-products like nickel and cobalt sulfates, and copper cathode.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In addition, we do not have the applicable environmental and other permits required to build and/or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in the Third Quarter 2024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are some of the major developments that occurred in the third quarter of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TMC and PAMCO Achieve Breakthrough in Commercial-Scale Processing of Polymetallic Nodules, Successfully Producing Calcine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2024, we announced that we had successfully produced high temperature material (calcine) during the first phase of a commercial-scale campaign to process a 2,000-tonne sample of deep-seafloor polymetallic nodules at our partner PAMCO’s Hachinohe Rotary Kiln Electric-Arc Furnace facility in Hachinohe, Japan. Approximately 500 tonnes of calcine were produced and, in the coming months, PAMCO intends to commence the next phase of the processing trial by transferring the calcine material to its electric arc furnace for smelting into a high-grade nickel-copper-cobalt alloy and manganese silicate product.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TMC CEO Testifies to U.S. House of Representatives on Benefits of Nodules</w:t>
      </w:r>
    </w:p>
    <w:p>
      <w:pPr>
        <w:spacing w:after="0" w:line="189"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In September 2024, our CEO Gerard Barron gave testimony during a meeting of the Critical Mineral Policy Working Group for the House Select Committee on the Chinese Communist Party to discuss the U.S.’ heavy reliance on Chinese imports of critical minerals and policy solutions to incentivize greater cooperation with allies to create alternative supplies. Mr Barron spoke to the potential of seafloor nodules to secure U.S. supplies of key minerals for the energy transition and defense sectors.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Rebuttal to Publication</w:t>
      </w:r>
    </w:p>
    <w:p>
      <w:pPr>
        <w:spacing w:after="0" w:line="189"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In July 2024, Nature Geoscience published a paper claiming that seafloor nodules produce oxygen in the absence of sunlight. Since the paper’s publication, multiple rebuttals have been submitted to Nature warning of serious flaws with the paper’s methodology and claims, prompting calls for the paper to be retracted. Researchers at the University of Tokyo and University of Gothenburg are among the experts that have submitted pre-print rebuttals to the article’s author. Our own rebuttal, published September 19, 2024, notes selective reporting of data and omission of key evidence, including experiments that show oxygen increases without nodules, directly contradicting the authors’ claims.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Subsequent to September 30,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TMC Announces Registered Direct Offering for $17.5 million: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14, 2024, the Company entered into a securities purchase agreement with certain new and existing institutional investors for the sale of an aggregate of 17,500,000 common shares (the “Shares”) and accompanying Class B warrants (the “Class B Warrants”), in a registered direct offering. The offering price was $1.00 per Share, resulting in gross proceeds of $17.5 million ($16.5 million after associated fees), with each Share including an accompanying Class B Warrant to purchase 0.5 common shares. The Class B Warrants are exercisable immediately upon issuance at a price of $2.00 per share and expire five years from issuance.</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Class B Warrants include customary anti-dilution protections and a repurchase feature, permitting the Company to repurchase the warrants for $0.0001 per Common Share underlying the Class B Warrants if the volume-weighted average price of the Company’s common shares exceeds $5.00 per share for each trading day in a consecutive 30-trading-day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and Increase of Credit Facility with ERAS Capital LLC and Gerard Barron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14, 2024, we entered into the Second Amendment to the credit facility with ERAS Capital LLC and Gerard Barron (the “2024 Lenders”), to increase the borrowing limit to $38 million in the aggregate ($19 million from each of the 2024 Lenders) and to extend the maturity of the credit facility to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Marawa Service Agreement</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14, 2024, DeepGreen Engineering Pte. Ltd. (“DeepGreen”) issued a formal termination notice to Marawa Research and Exploration Limited, ending the Services Agreement dated October 1, 2013 (the “Agreement”), pursuant to DeepGreen’s right to terminate for convenience under the Agreement. The termination will take effect two months from the date of the notice, on January 14, 2025. The termination is not expected to have a material adverse effect on the Company’s financial position or operations, with non-material ongoing costs and no termination penalties applicable under the Agreement.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Project and Regulatory Updates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Area D Project Developments</w:t>
      </w:r>
    </w:p>
    <w:p>
      <w:pPr>
        <w:spacing w:after="0" w:line="229"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On October 6, 2024, the first feed of Calcine was transported via conveyor to the furnace to commence the first smelting campaign at PAMCO’s facility in Hachinohe, Japan. Progress continues on the Environmental Impact Statement (EIS), Pre-Feasibility Study (PFS) which is nearing completion, and Plan of Work application documentation. Key activities during the third quarter 2024 included the substantial completion of the PFS, which has now entered the review and approval process. Our EIS team continued finalizing baseline reports to support the EIS workshop with subject-matter experts. We expect to issue an S-K 1300-compliant Technical Report Summary following the completion and approval of the PFS.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ISA Developments</w:t>
      </w:r>
    </w:p>
    <w:p>
      <w:pPr>
        <w:spacing w:after="0" w:line="189" w:lineRule="exact"/>
        <w:rPr>
          <w:sz w:val="20"/>
          <w:szCs w:val="20"/>
          <w:color w:val="auto"/>
        </w:rPr>
      </w:pPr>
    </w:p>
    <w:p>
      <w:pPr>
        <w:jc w:val="both"/>
        <w:ind w:firstLine="389"/>
        <w:spacing w:after="0" w:line="236" w:lineRule="auto"/>
        <w:rPr>
          <w:sz w:val="20"/>
          <w:szCs w:val="20"/>
          <w:color w:val="auto"/>
        </w:rPr>
      </w:pPr>
      <w:r>
        <w:rPr>
          <w:rFonts w:ascii="Times New Roman" w:cs="Times New Roman" w:eastAsia="Times New Roman" w:hAnsi="Times New Roman"/>
          <w:sz w:val="18"/>
          <w:szCs w:val="18"/>
          <w:color w:val="auto"/>
        </w:rPr>
        <w:t>As we previously disclosed, the ISA did not provisionally adopt and approve the final rules, regulations and procedures (“RRPs” or the “Mining Code”) for the exploitation of seafloor resources by the July 9, 2023 deadline. At its July 2024 session, the ISA completed a first reading of the consolidated text and requested the Secretariat produce a second consolidated text in 2024. The ISA agreed to continue the negotiations of the Mining Code with a continued view to its adoption during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session of the ISA in 2025. The ISA Council has scheduled two ISA Council meetings in March and July 2025 to progress the Mining Code and has agreed to continue working inter-sessionally to advance the text.</w:t>
      </w:r>
    </w:p>
    <w:p>
      <w:pPr>
        <w:spacing w:after="0" w:line="173"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Consistent with Nauru’s rights, as the sponsoring state of NORI, under UNCLOS and the 1994 agreement relating to the implementation of Part XI of UNCLOS, NORI reserves its right to submit a plan of work for exploitation, in the absence of the adoption of the final Mining Code pursuant to Section 1, Paragraph 15(c) of the Annex to the 1994 agreement relating to the implementation of Part XI of UNCLOS, the possibility of which was recognized in ISA Council decisions ISBA/28/C/24 and ISBA/28/C/25. There can be no assurances, however, that the ISA will provisionally approve our plan of work or that such provisional approval would lead to the issuance of an exploitation contract by the ISA.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Exploration Contracts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hold exclusive exploration rights to certain polymetallic nodule areas in the CCZ through our subsidiaries NORI and TOML, sponsored by the Republic of Nauru and the Kingdom of Tonga, respectively, and exclusive commercial rights through our subsidiary’s (DGE) arrangement with Marawa, a company owned and sponsored by the Republic of Kiribati.</w:t>
      </w:r>
    </w:p>
    <w:p>
      <w:pPr>
        <w:spacing w:after="0" w:line="14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NORI. </w:t>
      </w:r>
      <w:r>
        <w:rPr>
          <w:rFonts w:ascii="Times New Roman" w:cs="Times New Roman" w:eastAsia="Times New Roman" w:hAnsi="Times New Roman"/>
          <w:sz w:val="18"/>
          <w:szCs w:val="18"/>
          <w:color w:val="auto"/>
        </w:rPr>
        <w:t>NORI our wholly-owned subsidiary, holds exploration rights to four blocks (NORI Area A, B, C, and D, the “NORI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Area”) covering 74,830 square kilometers in the CCZ that were granted by the ISA in July 2011. NORI is sponsored by Nauru pursuant to a certificate of sponsorship signed by the Government of Nauru on April 11, 2011. The D block of the NORI area (“NORI Area D”) is the seafloor parcel where we have performed the most resource definition and environmental work to date. NORI commissioned AMC Consulting Ltd, a leading mining consulting firm (AMC), to undertake a preliminary economic assessment (“PEA”)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in our 2023 Annual Report on Form 10-K.</w:t>
      </w:r>
    </w:p>
    <w:p>
      <w:pPr>
        <w:spacing w:after="0" w:line="14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TOML. </w:t>
      </w:r>
      <w:r>
        <w:rPr>
          <w:rFonts w:ascii="Times New Roman" w:cs="Times New Roman" w:eastAsia="Times New Roman" w:hAnsi="Times New Roman"/>
          <w:sz w:val="18"/>
          <w:szCs w:val="18"/>
          <w:color w:val="auto"/>
        </w:rPr>
        <w:t>TOML our wholly-owned subsidiary which we acquired in March 2020, holds exploration rights to an area covering 74,713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square kilometers in the CCZ that 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in our 2023 Annual Report on Form 10-K.</w:t>
      </w:r>
    </w:p>
    <w:p>
      <w:pPr>
        <w:spacing w:after="0" w:line="14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Marawa. </w:t>
      </w:r>
      <w:r>
        <w:rPr>
          <w:rFonts w:ascii="Times New Roman" w:cs="Times New Roman" w:eastAsia="Times New Roman" w:hAnsi="Times New Roman"/>
          <w:sz w:val="18"/>
          <w:szCs w:val="18"/>
          <w:color w:val="auto"/>
        </w:rPr>
        <w:t>DGE, our wholly-owned subsidiary, entered into agreements with Marawa and Kiribati which provide DGE with exclusive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exploration rights to an area covering 74,990 square kilometers in the CCZ (the “Marawa Contract Area”). The exploration contract between Marawa and the ISA (the “Marawa Exploration Contract”) was signed on January 19, 2015. To date, limited offshore marine resource definition activities in the Marawa Contract Area have occurred. We are collaborating with Marawa to assess the viability of any potential project in the Marawa Contract Area, although the timing of such assessment is uncertain. Marawa has delayed certain of its efforts in the Marawa Contract Area while it determines how it will move forward with additional assessment work.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Opportunities and Uncertainties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currently a pre-revenue company and we do not anticipate earning revenues until such time as NORI receives an exploitation contract from the ISA and we are able to successfully collect and process polymetallic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development of environmental regulations associated with our business and development of our technologies to collect and process polymetallic nodules. These risks, as well as other risks, are discussed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Item 1A of Part I of the 2023 Annual Report on Form 10-K, as further updated and/or supplemented in subsequent filings with the SEC.</w:t>
      </w:r>
    </w:p>
    <w:p>
      <w:pPr>
        <w:sectPr>
          <w:pgSz w:w="11900" w:h="16838" w:orient="portrait"/>
          <w:cols w:equalWidth="0" w:num="1">
            <w:col w:w="9920"/>
          </w:cols>
          <w:pgMar w:left="980" w:top="675"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conduct our business through one operating segment. As a pre-revenue company with no commercial operations, our activities to date have been limited. Our results are reported under Generally Accepted Accounting Principles in the United States (“U.S. GAAP”) and in U.S. dollars.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 exploration-stage company with no revenue to date and a net loss of $20.5 million and $65.9 million for the three and nine months ended September 30, 2024, respectively, compared to a net loss of $12.5 million and $40.3 million in the same periods of 2023, respectively. We have an accumulated deficit of approximately $614.8 million from inception through September 30, 2024.</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We expect to generate revenue once NORI receives an exploitation contract from the ISA and we are able to successfully collect and process polymetallic nodules into saleable products on a commercial scale. Any revenue from initial production is difficult to predict.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pilot mining test system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compensation for employees, consultants and directors, including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Share-based compensation costs from the issuance of stock options and restricted share units (“RSUs”) is measured at the grant date based on the fair value of the award and is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cash and cash equivalents.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and Interest on Borrowings and Credit Facilities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Fees and interest on borrowings and credit facilities represent interest charged on the Company’s short-term debt and interest and underutilization fees associated with the Company’s credit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Gain/Loss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foreign exchange gain or loss for the periods reported primarily relates to our cash held in Canadian dollars and to the settlement of costs incurred in foreign currencies, depending on either the strengthening or weakening of the U.S. dollar.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warrants liability primarily consists of the change in the fair value of our 9,500,000 Private Warrants, which is re-measured at the end of each reporting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for the three and nine months ended September 30, 2024 and 2023. Our accounting policies are described in Note 3 “Significant Accounting Policies” in our financial statements filed as part of the 2023 Annual Report on Form 10-K.</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the unaudited condensed consolidated interim financial statement for the nine months ended September 30, 2023 have been revised to correct prior period errors as discussed in Note 22 “Quarterly Financial Data (Unaudited) Restatement of Previously Issued Financial Statements” to the consolidated financial statement included in Part II, Item 8 of our 2023 Annual Report on Form 10-K. Accordingly, the Management’s Discussion and Analysis of Financial Condition and Results of Operations reflect the effects of the revisions.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2024 and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as noted)</w:t>
            </w:r>
          </w:p>
        </w:tc>
        <w:tc>
          <w:tcPr>
            <w:tcW w:w="160" w:type="dxa"/>
            <w:vAlign w:val="bottom"/>
          </w:tcPr>
          <w:p>
            <w:pPr>
              <w:spacing w:after="0"/>
              <w:rPr>
                <w:sz w:val="13"/>
                <w:szCs w:val="13"/>
                <w:color w:val="auto"/>
              </w:rPr>
            </w:pPr>
          </w:p>
        </w:tc>
        <w:tc>
          <w:tcPr>
            <w:tcW w:w="262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0" w:type="dxa"/>
            <w:vAlign w:val="bottom"/>
          </w:tcPr>
          <w:p>
            <w:pPr>
              <w:spacing w:after="0"/>
              <w:rPr>
                <w:sz w:val="13"/>
                <w:szCs w:val="13"/>
                <w:color w:val="auto"/>
              </w:rPr>
            </w:pPr>
          </w:p>
        </w:tc>
        <w:tc>
          <w:tcPr>
            <w:tcW w:w="2480" w:type="dxa"/>
            <w:vAlign w:val="bottom"/>
            <w:gridSpan w:val="7"/>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44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00" w:type="dxa"/>
            <w:vAlign w:val="bottom"/>
            <w:tcBorders>
              <w:top w:val="single" w:sz="8" w:color="auto"/>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Equity-accounted investment loss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and interest on borrowings and credit facilities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0"/>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12,467</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65,882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40,322</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compared to Three Months ended September 30, 2023</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reported a net loss of approximately $20.5 million in the third quarter of 2024, compared to a net loss of $12.5 million in the same period of 2023. The following explains the major reasons for the increase in the net loss in the third quarter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Exploration and evaluation expenses for the three months ended September 30, 2024 were $11.8 million, compared to $7.9 million for the same period in 2023. The increase of $3.9 million was primarily due to an increase in share-based compensation of $1.8 million due to the amortization of the fair value of RSUs and options granted to the directors and officers in the second quarter of 2024, increase in mining, technological and process development of $1.0 million resulting from increased engineering work by Allseas and higher personnel costs of $1.0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G&amp;A expenses for the three months ended September 30, 2024 were $8.1 million compared to $4.6 million for the same period in 2023. The increase of $3.5 million in G&amp;A expenses was mainly due to an increase in share-based compensation of $1.8 million due to the amortization of the fair value of RSUs and options granted to the directors and officers in the second quarter of 2024, an increase in legal and consulting costs of $1.0 million and higher personnel costs of $0.5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warrants liability consists of the change in the fair value of the 9,500,000 Private Warrants. During the three months ended September 30, 2024, the fair value of warrants liability decreased reflecting the decline in both the price of the public warrants and price of the Company’s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and Interest on Borrowings and Credit Facilities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interest charged on the Company’s short-term debt borrowings was $0.1 million in the third quarter of 2024 ($nil for the same period of 2023), while interest on drawn amounts on the Company’s credit facilities was $0.1 million and underutilization fees on these same facilities was $0.5 million in the third quarter of 2024 ($nil and $0.3 million over the same periods in 2023,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Nine Months ended September 30, 2024 compared to Nine Months ended September 30, 2023</w:t>
      </w:r>
    </w:p>
    <w:p>
      <w:pPr>
        <w:spacing w:after="0" w:line="22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reported a net loss of $65.9 million in the first nine months of 2024, compared to a net loss of $40.3 million in the same period of 2023. The following explains the major reasons for the increase in the net loss in the first nine months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Exploration and evaluation expenses for the nine months ended September 30, 2024 were $42.3 million, compared to $23.2 million for the same period in 2023. The increase of $19.1 million was primarily due to an increase in mining, technological and process development of $13.3 million resulting from increased engineering work by Allseas, as well as expenses incurred on the transportation of nodules to PAMCO’s facility in Japan, higher personnel costs of $3.2 million and an increase in share-based compensation of $3.5 million due to the amortization of the fair value of RSUs and options granted to the directors and officers in the second quarter of 2024. This was partially offset by a decrease in environmental studies as the cost for Campaign 8 which commenced in the fourth quarter of 2023 was completed in the first quarter of 2024 and was lower than the cost of the environmental work in the first nine months of 2023 following the completion of the NORI pilot nodule collection system test.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G&amp;A expenses for the nine months ended September 30, 2024 were $22.6 million, compared to $16.0 million for the same period in 2023. The increase of $6.6 million in G&amp;A expenses in the first nine months of 2024 was mainly the result of an increase in share-based compensation of $4.0 million due to the amortization of the fair value of RSUs and options granted to the directors and officers in the second quarter of 2024, higher personnel cost of $1.9 million and higher cost incurred on business development and advisory activities. This increase was partially offset by decreased legal and insurance costs incurred in the first half of 2024 compared to the same period in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warrants liability consists of the change in the fair value of the 9,500,000 Private Warrants. For the nine months ended September 30, 2024, the fair value of warrants liability decreased reflecting the decline in both the price of the public warrants and price of Company’s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and Interest on Borrowings and Credit Facilities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interest charged on the Company’s short-term debt borrowings was $0.1 million in the first nine months of 2024 ($nil for the same period of 2023), while interest on drawn amounts on the Company’s credit facilities was $0.1 million and underutilization fees on these same facilities was $1.2 million in the first nine months of 2024 ($nil and $0.5 million over the same periods in 2023, respectively).</w:t>
      </w:r>
    </w:p>
    <w:p>
      <w:pPr>
        <w:sectPr>
          <w:pgSz w:w="11900" w:h="16838" w:orient="portrait"/>
          <w:cols w:equalWidth="0" w:num="1">
            <w:col w:w="9920"/>
          </w:cols>
          <w:pgMar w:left="980" w:top="675"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primary sources of financing have come from private placements and public offerings of Common Shares and warrants, the issuance of convertible debentures and from credit facilities. As of September 30, 2024, we had cash on hand of $0.4 million.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contract area, and by negotiating the settlement of program expenditures with our equity whenever possible.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commercial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exploitation contracts or provisional approvals. While we have obtained financing in the past, there is no assurance that such financing will continue to be available on favorable terms, in sufficient amounts, or at all.</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expect to incur significant expenses and operating losses for the foreseeable future, particularly as we advance towards our application to the ISA for an exploitation contract and preparation for potential commercialization. Based on our cash balance and availability of borrowing under our credit facility with a company related to Allseas, as we expect the credit facility will be amended, and credit facility with ERAS Capital LLC and Gerard Barron, when compared with our forecasted cash expenditures, we believe we will have sufficient funds to meet our obligations that become due within the next twelve months. Our estimates used in reaching this conclusion are based on information available as at the date of filing this Quarterly Report on Form 10-Q. Accordingly, actual results could differ from these estimates and resulting variances may result in our need for additional funding in an amount greater or earlier than expected, due to changes in business conditions or other developments, including, but not limited to, deferral of approvals, capital and operating cost escalation, currently unrecognized technical and development challenges, our ability to pay certain vendors or suppliers in our Common Shares or changes in external business environment.</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will however need and are seeking additional financing to fund our continued operations over time. These financings could include additional public or private equity, debt financings, equity-linked financings or other sources of financing, including through non-dilutive asset, royalty or project-based and/or asset-based financings. If these financing or other financing sources are not available, or if the terms of financing are less desirable than we expect, or if in insufficient amounts, we may be forced to delay our exploration and/or exploitation activities or further scale back our operations, which could have a material adverse impact on our business and financial prospects.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September 16, 2022, we filed a registration statement on Form S-3 with the SEC, which the SEC declared effective on October 14, 2022, to sell up to $100 million of securities, which includes the $30 million that may be sold under the At-the-Market Equity Distribution Agreement discussed below and the Common Shares and shares underlying the Class A Warrants issued in the Registered Direct Offering. In addition, on November 30, 2023, we filed an additional registration statement on Form S-3 with the SEC, which the SEC declared effective on December 8, 2023, to sell up to an additional $100 million of securities. Securities that may be sold under the registration statements include common shares, preferred shares, debt securities, warrants and units. Any such offering, if it does occur, may happen in one or more transactions. Specific terms of any securities to be sold will be described in supplemental filings with the SEC.</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22, 2022, we entered into an At-the-Market Equity Distribution Agreement (the “Sales Agreement”) with Stifel, Nicolaus &amp; Company, Incorporated (“Stifel”) and Wedbush Securities Inc., as sales agents, allowing us, from time to time, to issue and sell Common Shares with an aggregate offering price of up to $30 million. On December 21, 2023, we amended the Sales Agreement to remove Stifel as a sales agent. The offer and sales of the shares are made under our effective “shelf” registration statement on Form S-3 filed with the SEC on September 16, 2022, which the SEC declared effective on October 14, 2022. In the third quarter of 2024, we sold 1,617,000 Common Shares pursuant to the Sales Agreement at an average share price of $1.45 for net proceeds of $2.3 million, net of fees and commissions.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22, 2023, we entered into a Credit Facility with Argentum Cedit Virtuti GCV, the parent of Allseas Investments S.A. and an affiliate of Allseas, which was amended on July 31, 2023 and March 22, 2024, pursuant to which, we may borrow from the Lender up to $25 million in the aggregate, from time to time, subject to certain conditions. All amounts drawn under the Credit Facility will bear interest at the 6-month Secured Overnight Funding Rate (SOFR), 180-day average plus 4.0% per annum payable in cash semi-annually (or plus 5% if paid-in-kind at maturity, our election) on the first business day of each of June and January. We will pay an underutilization fee equal to 4.0% per annum payable semi-annually for any amounts that remain undrawn under the Credit Facility. We have the right to pre-pay the entire amount outstanding under the Credit Facility at any time, before the Credit Facility’s maturity of August 31, 2025. The Credit Facility also contains customary events of default. On August 16, 2024, the Company entered into the Third Amendment to the Credit Facility, to increase the borrowing limit of the Credit Facility to $27.5 million. Under the terms of the Third Amendment, the borrowing limit will return to $25 million upon certain financing events. As of the date of this Quarterly Report on Form 10-Q, no amounts have been drawn under this Credit Facility.</w:t>
      </w:r>
    </w:p>
    <w:p>
      <w:pPr>
        <w:spacing w:after="0" w:line="1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14, 2023, we entered into a securities purchase agreement for a Registered Direct Offering of our Common Shares and Class A Warrants, the final closing of which occurred on January 31, 2024. The purchase price for each Common Share and Class A Warrant to purchase 0.5 Common Shares was $2.00 per unit. The exercise price to purchase one Common Share under the Class A Warrants is $3.00, subject to adjustment as provided in the warrant agreement. The aggregate gross proceeds from the Registered Direct Offering were approximately $24.9 million, before deducting fees payable to financial advisors and other offering expenses payable by the Company ($23.6 million net of fees).</w:t>
      </w:r>
    </w:p>
    <w:p>
      <w:pPr>
        <w:spacing w:after="0" w:line="16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March 22, 2024, we entered into an Unsecured Credit Facility with Gerard Barron, our Chief Executive Officer and Chairman, and ERAS Capital LLC, the family fund of our director, Andrei Karkar, pursuant to which, we may borrow from the 2024 Lenders up to $25,000,000 in the aggregate ($12,500,000 from each of the 2024 Lenders), from time to time (was initially $20,000,000 in the aggregate ($10,000,000 from each of the 2024 Lenders),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December 31, 2025. The 2024 Credit Facility also contains customary events of default. The 2024 Credit Facility will terminate automatically if we or any of our subsidiaries raise at least $50,000,000 in the aggregate (i) through the issuance of any of our or our subsidiaries’ debt or equity securities, or (ii) in prepayments under an off-take agreement or similar commercial agreement. On August 13, 2024, we entered into the First Amendment to the 2024 Credit Facility to increase the borrowing limit to $25 million in the aggregate ($12.5 million from each of the 2024 Lenders). Under the terms of the First Amendment, the borrowing limit was due to return to the initial $20 million in the aggregate ($10 million from each of the 2024 Lenders) upon certain financing events. On November 14, 2024, we entered into the Second Amendment to the 2024 Credit Facility with ERAS Capital LLC and Gerard Barron, to increase the borrowing limit to $38 million in the aggregate ($19 million from each of the 2024 Lenders) and to extend the maturity of the 2024 Credit Facility to December 31, 2025. As of the date of this Quarterly Report on Form 10-Q, there was $4.3 million drawn under the 2024 Credit Facility, including a draw of $0.1 million subsequent to September 30, 2024.</w:t>
      </w:r>
    </w:p>
    <w:p>
      <w:pPr>
        <w:spacing w:after="0" w:line="1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27, 2024, the Company entered into a short-term loan agreement with the Lender (Argentum Cedit Virtuti GCV), an affiliate of Allseas. In accordance with the agreement, the Lender provided a short-term loan amounting to $2 million (the “Loan”) on May 30, 2024. The Loan takes priority over the 2024 Credit Facility. The Loan matured on September 10, 2024 (maturity date) and accrued interest at a rate of 8% per annum. On the maturity date, Company repaid the entire Loan amounting to $2 million and the accrued interest amounting to $46 thousand.</w:t>
      </w:r>
    </w:p>
    <w:p>
      <w:pPr>
        <w:spacing w:after="0" w:line="14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September 9, 2024, the Company entered into a working capital loan agreement (the “Working Capital Loan Agreement”) with Allseas Investments SA (the “Allseas Investments”), a company related to Allseas. In accordance with the Working Capital Loan Agreement, Allseas Investments provided a loan to the Company amounting to $5 million (the “Working Capital Loan”) on September 10, 2024, to be used towards general corporate purposes and the repayment of all outstanding amounts under the Short-Term Loan between the Company and the Lender. The Working Capital Loan is payable to the Lender on or before the earlier of (i) the occurrence of certain financing events and (ii) April 1, 2025 (the “Repayment Date”). The Working Capital Loan will bear interest based on the 6-month Secured Overnight Financing Rate, 180-day average plus a margin of 4.0% per annum and is payable in two installments on January 2, 2025, and the Repayment Date (or plus a margin of 5.0% if all interest payments are deferred to the Repayment Date, at the Company’s election). On October 18, 2024, the Company entered into the First Amendment to the Working Capital Loan Agreement with Allseas Investments, resulting in a further draw of $2.5 million by the Company and a total Working Capital Loan drawn amount of $7.5 million.</w:t>
      </w:r>
    </w:p>
    <w:p>
      <w:pPr>
        <w:sectPr>
          <w:pgSz w:w="11900" w:h="16838" w:orient="portrait"/>
          <w:cols w:equalWidth="0" w:num="1">
            <w:col w:w="9920"/>
          </w:cols>
          <w:pgMar w:left="980" w:top="675"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14, 2024, the Company entered into a securities purchase agreement with certain new and existing institutional investors for the sale of an aggregate of 17,500,000 common shares (the “Shares”) and accompanying Class B warrants (the “Class B Warrants”), in a registered direct offering. The offering price was $1.00 per Share, with each Share including an accompanying Class B Warrant to purchase 0.5 common shares. The Class B Warrants are exercisable immediately upon issuance at a price of $2.00 per share and expire five years from issuance. The aggregate gross proceeds from the Registered Direct Offering were approximately $17.5 million, before deducting fees payable to financial advisors and other offering expenses payable by the Company ($16.5 million net of fees).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Class B Warrants include customary anti-dilution protections and a repurchase feature, permitting the Company to repurchase the warrants for $0.0001 per Common Share underlying the Class B Warrants if the volume-weighted average price of the Company’s common shares exceeds $5.00 per share for each trading day in a consecutive 30-trading-day period.</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receive up to approximately $281.8 million in aggregate gross proceeds from cash exercises of the Public Warrants and the Private Warrants,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worthless. Based on the current trading price of our Common Shares we do not expect to receive any proceeds from the exercise of the Public Warrants and Private Warrants unless there is a significant increase in the price of our Common Shares. In certain circumstances, the Public Warrants and Private Warrants may be exercised on a cashless basis and the proceeds from the exercise of such warrants will decrease. Furthermore, even if the warrants will be in the money, the holders of the warrants are not obligated to exercise their warrants, and we cannot predict whether holders of the warrants will choose to exercise all or any of their warrants. In addition, the exercise price to purchase one Common Share under the outstanding Class A Warrants is $3.00 (subject to customary adjustments). Upon the closing of the November 2024 Registered Direct Offering described above, the exercise price of the Class A Warrants will be adjusted downward pursuant to the terms of the Class A Warrants. There can be no assurance that such warrants will be exercised prior to their expiration, and as such, such warrants may expire, and we will not receive any proceeds from the excise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Summary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Presented below is a summary of our operating, investing and financing cash flows: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80" w:type="dxa"/>
            <w:vAlign w:val="bottom"/>
          </w:tcPr>
          <w:p>
            <w:pPr>
              <w:spacing w:after="0"/>
              <w:rPr>
                <w:sz w:val="13"/>
                <w:szCs w:val="13"/>
                <w:color w:val="auto"/>
              </w:rPr>
            </w:pPr>
          </w:p>
        </w:tc>
        <w:tc>
          <w:tcPr>
            <w:tcW w:w="208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5"/>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4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Borders>
              <w:top w:val="single" w:sz="8" w:color="auto"/>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(465)</w:t>
            </w:r>
          </w:p>
        </w:tc>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15,137</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23,313</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20,216</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cash</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(24,347)</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right="298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to Nine Months ended September 30, 2023 Cash flows used in Operating Activities</w:t>
      </w:r>
    </w:p>
    <w:p>
      <w:pPr>
        <w:spacing w:after="0" w:line="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2024, major operating activities over this period involved Campaign 8, as well as advanced work on engineering and pre-feasibility studies as we advance towards our application to the ISA for a NORI exploitation contract and prepare for potential future commercial production. Net cash used in operating activities in the first nine months of 2024, amounted to $29.7 million, and consisted mainly of $13.0 million on various environmental work, $6.1 million on personnel costs, $3.9 million on legal, advisory and consulting, $1.9 million for sponsorship, training and stakeholder engagement support, $1.7 million spent on engineering and pre-feasibility studies, $1.5 million on communication and business development expenses, and additional payments of $1.6 million for various expenses.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2023, operating activities focused mainly on the continuation of environmental work following the completion of the NORI integrated collector test, as well as progressing on engineering work and pre-feasibility studies on the project. Net cash used in operating activities in the first nine months of 2023, amounted to $44.4 million, and consisted mainly of $24.8 million on various environmental work, $7.5 million on personnel costs, $3.7 million on legal costs, $2.6 million for sponsorship, training, and stakeholder engagement support, $1.6 million spent on engineering and pre-feasibility studies, $1 million on communication and business development expenses and additional payments of $4.2 million for various expenses.</w:t>
      </w:r>
    </w:p>
    <w:p>
      <w:pPr>
        <w:sectPr>
          <w:pgSz w:w="11900" w:h="16838" w:orient="portrait"/>
          <w:cols w:equalWidth="0" w:num="1">
            <w:col w:w="9920"/>
          </w:cols>
          <w:pgMar w:left="980" w:top="67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2024 was $0.5 million for the purchase of equipment and software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was $23.3 million, which comprised of proceeds received from the Registered Direct Offering announced in August 2023 of $9 million, proceeds from short term debt and credit facilities of $9.2 million, proceeds from shares issued from ATM of $4.9 million and proceeds from exercise of stock options and employee stock plans of $0.5 million while the 2023 first nine months results represent the cash received from the Registered Direct Offering of $14.9 million and cash received of $5 million on closing of our investment in Low Carbon Royalties.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Exploration Contract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part of the NORI Exploration Contract with the ISA, NORI submitted a periodic review report to the ISA in 2021, covering the 2017-2021 period. The periodic review report, which included a proposed work plan and estimated budget for 2022 to 2026, has been reviewed by and agreed with the ISA, and we are implementing this five-year plan. The cost of NORI’s estimated work plan for 2024 onwards is contingent on the ISA’s approval of the NORI contract area exploitation application. Should the approval of NORI’s exploitation application for the NORI contract area be delayed or rejected, NORI intends to revise its estimated future work plan in respect of its NORI Area. Work plans are reviewed annually by us, agreed with the ISA and may be subject to change depending on our progress to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On December 23, 2022, the ISA accepted TOML’s proposed program of activities for the 2022-2026 five-year period, which included an estimated five-year expenditure of up to $44 million. The five-year estimated expenditure is indicative and subject to change, TOML will review the program regularly and TOML will inform the ISA of any changes through its annual reports.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Marawa Services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2013, DGE entered into the Marawa Services Agreement with Marawa which granted DGE exclusive rights to manage and carry out all exploration and exploitation in the Marawa Area. Under Marawa’s Exploration Contract with the ISA, Marawa submitted a periodic review report to the ISA that included a proposed work plan and estimated budget for the 2020-2024 five-year period. The five-year estimated expenditure is indicative and subject to change, Marawa will review the program regularly and Marawa will inform the ISA of any changes through its annual reports. Marawa is scheduled to submit a new periodic review in 2024, which will include a new work plan. To date, limited offshore marine resource definition activities in the Marawa Contract Area have occurred. We are collaborating with Marawa to assess the viability of any potential project in the Marawa Contract Area, although the timing of such assessment is unclear. Marawa has delayed certain of its efforts in the Marawa Contract Area while it determines how it will move forward with additional assessment work.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Obligations Relating to Exploration Contracts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Both TOML and NORI require sponsorship from their host sponsoring nations, Tonga and Nauru, respectively. Each company has been registered and incorporated within the applicable host nation’s jurisdiction. The ISA requires that a contractor must obtain and maintain sponsorship by a host nation that is a member of the ISA and such state must maintain effective supervision and regulatory control over such sponsored contractor. Each of TOML and NORI is subject to the registration and incorporation requirements of these nations. In the event the sponsorship is otherwise terminated, such subsidiary will be required to obtain new sponsorship from another state that is a member of the ISA. Failure to obtain such new sponsorship would have a material impact on the operations of such subsidiary and us.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August 20, 2024, Nauru updated its Nauru Seabed Minerals Authority Act, to prepare its regulatory regime for the transition from exploration to exploitation.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 NORI has begun discussions with the Government of Nauru to renegotiate the existing sponsorship agreement and has also committed to ensuring NORI pays corporate income tax within Nauru, assuming our future operations are ultimately profitable.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8, 2008, Tonga and TOML entered into the TOML Sponsorship Agreement formalizing certain obligations of the parties in relation to TOML’s exploration and potential exploitation of the TOML Area. On September 23, 2021, TOML and Tonga updated the TOML Sponsorship Agreement harmonizing the terms of its agreement with those held by NORI with Nauru. TOML expects to renegotiate the existing sponsorship agreement with Tonga prior to entering into operations in the TOML Area and has committed to paying corporate income tax within Tonga, assuming our future operations are ultimately profitable.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Agreements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 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March 16, 2022, NORI and Allseas entered into a non-binding term sheet for the development and operation of a commercial nodule collection system. The pilot nodule collection system developed and tested by Allseas is expected to be upgraded to a commercial system with an expanded targeted production capacity of up to an estimated 3.0 million tonnes of wet nodules per year, to be delivered in stepped increments. NORI and Allseas intend to equally finance all costs related to developing and getting the first commercial system into production. Once in production, NORI is expected to pay Allseas a nodule collection and transshipment fee and, as Allseas scales up production to up to an estimated 3.0 million wet tonnes of nodules per year, it is expected that unit costs will be reduced. Following the successful completion of the NORI Area D pilot collection system trials in November 2022 and subsequent analysis of pilot data, the parties are reviewing Project Zero Offshore Nodule Collection System production targets, system design and cost estimates and enter into a binding Heads of Terms. The parties expect to further detail their relationship in a single definitive agreement using Work Planning and Budgeting procedure to allow for flexibility as the Allseas and NORI project team complete system engineering, upgrades and start commercial production. Subject to the necessary regulatory approvals, Allseas and NORI also intend to investigate acquiring a second production vessel similar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another Samsung 10000, with the potential for an additional production rate of three million tonnes of wet nodules per year. There can be no assurances, however, that we will enter into a definitive agreement with Allseas contemplated by the non-binding term sheet in a particular time period, or at all, or on terms similar to those set forth in the non-binding term sheet, or that if such a definitive agreement is entered into by us that the proposed commercial systems and second production vessel will be successfully developed or operated in a particular time period, or at all.</w:t>
      </w:r>
    </w:p>
    <w:p>
      <w:pPr>
        <w:sectPr>
          <w:pgSz w:w="11900" w:h="16838" w:orient="portrait"/>
          <w:cols w:equalWidth="0" w:num="1">
            <w:col w:w="9920"/>
          </w:cols>
          <w:pgMar w:left="980" w:top="675"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Through September 30, 2024, we have made the following payments to Allseas under the PMTA: (a) $10 million in cash in February 2020, (b) $10 million through the issuance of 3.2 million Common Shares valued at $3.11 per share in February 2020, (c) issued Allseas a warrant to purchase 11.6 million Common Shares at a nominal exercise price per share in March 2021, (d) $10 million in cash in October 2021, following the closing of the Business Combination and meeting certain progress targets on the PMTS and (e) on February 23, 2023 issued 10.85 million Common Shares to Allseas. On August 9, 2023, 11,578,620 common shares were issued to Allseas upon the exercise of the warrant that was granted to Allseas in March 2021, and receipt of the exercise fee of $115.8 thousand. The warrant vested and became exercisable on successful completion of the PMTS in November 2022.</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11, 2022, our board of directors approved the successful completion and testing of the PMTS in the NORI Area D and payment of the third milestone amounting to $10 million and additional costs owed to Allseas under the PMTA by issuing 10.85 million Common Shares to Allseas priced at $1.00 per share on February 23, 2023.</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1, 2023, we entered into an Exclusive Vessel Use Agreement with Allseas pursuant to which Allseas will give us exclusive use of the vessel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in support of the development of the Project Zero Offshore Nodule Collection System until the system is completed or December 31, 2026, whichever is earlier. In consideration of the exclusivity term, on August 14, 2023, we issued 4.15 million Common Shares to Allseas.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Offtake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25, 2012, DGE and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with Company Related to Allseas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Credit Facility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described above, on March 22, 2023, the Company entered into the 2023 Credit Facility with Argentum Cedit Virtuti GCV, an affiliate of Allseas, under which we may borrow up to $25.0 million pursuant to the terms and conditions of the Credit Facility, as amended, which has a maturity date of August 31, 2025. On August 16, 2024, the Company entered into the Third Amendment to the Credit Facility, to increase the borrowing limit of the Credit Facility to $27.5 million. Under the terms of the Third Amendment, upon closing of the November 2024 Registered Direct Offering discussed above, the borrowing limit will return to $25 million. The Credit Facility remained undrawn as at September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Short-Term Loan and Working Capital Loan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27, 2024, the Company entered into a short-term loan agreement with Argentum Cedit Virtuti GCV whereby the Company borrowed $2 million (the “Loan”) on May 30, 2024. The Loan matured on September 10, 2024 (maturity date) and accrued interest at a rate of 8% per annum. On the maturity date, Company repaid the entire Loan amounting to $2 million and the accrued interest.</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September 9, 2024, the Company entered into a working capital loan agreement (the “Working Capital Loan Agreement”) with Allseas Investments SA (the “Allseas Investments”), a company related to Allseas. In accordance with the Working Capital Loan Agreement, Allseas Investments provided a loan to the Company amounting to $5 million (the “Working Capital Loan”) on September 10, 2024, to be used towards general corporate purposes and the repayment of all outstanding amounts under the Short-Term Loan between the Company and the Lender. The Working Capital Loan is payable to the Lender on or before the earlier of (i) the occurrence of certain financing events and (ii) April 1, 2025 (the “Repayment Date”). The Working Capital Loan will bear interest based on the 6-month Secured Overnight Financing Rate, 180-day average plus a margin of 4.0% per annum and is payable in two installments on January 2, 2025, and the Repayment Date (or plus a margin of 5.0% if all interest payments are deferred to the Repayment Date, at the Company’s election). On October 18, 2024, the Company entered into the First Amendment to the Working Capital Loan Agreement with Allseas Investments, resulting in a further draw of $2.5 million by the Company and a total Working Capital Loan drawn amount of $7.5 million.</w:t>
      </w:r>
    </w:p>
    <w:p>
      <w:pPr>
        <w:sectPr>
          <w:pgSz w:w="11900" w:h="16838" w:orient="portrait"/>
          <w:cols w:equalWidth="0" w:num="1">
            <w:col w:w="9920"/>
          </w:cols>
          <w:pgMar w:left="980" w:top="67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with ERAS Capital LLC and Gerard Barron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March 22, 2024, the Company entered into an Unsecured Credit Facility with Gerard Barron, our Chief Executive Officer and Chairman, and ERAS Capital LLC, the family fund of our director, Andrei Karkar, pursuant to which, we may borrow from the 2024 Lenders up to $25,000,000 in the aggregate ($12,500,000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December 31, 2025. The 2024 Credit Facility also contains customary events of default. The 2024 Credit Facility will terminate automatically if we or any of our subsidiaries raise at least USD $50,000,000 in the aggregate (i) through the issuance of any of our or our subsidiaries’ debt or equity securities, or (ii) in prepayments under an off-take agreement or similar commercial agreement. On August 13, 2024, the Company entered into the First Amendment to the 2024 Credit Facility with the 2024 Lenders, to increase the borrowing limit of the 2024 Credit Facility to $25 million in the aggregate ($12.5 million from each of the 2024 Lenders). On November 14, 2024, we entered into the Second Amendment to increase the borrowing limit to $38 million in the aggregate ($19 million from each of the 2024 Lenders) and to the 2024 Credit Facility with ERAS Capital LLC and Gerard Barron, to extend the maturity of the 2024 Credit Facility to December 31, 2025. In the three and nine months ended September 30, 2024, the Company drew $0.3 million and $4.2 million, respectively, from the 2024 Credit Facility.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party to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condensed consolidated interim financial statements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described in Note 3 to our condensed consolidated interim financial statements included in this Quarterly Report on Form 10-Q, there have been no material changes to our critical accounting policies and estimates as compared to the critical accounting policies and estimates disclosed in our 2023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at least through the end of the 2024 fiscal year and we expect to continue to take advantage of the benefits of the extended transition period at least through the end of the 2024 fiscal year,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the NORI Initial Assessment and TOML Mineral Resource Statement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estimated the size and quality of our resource in the NORI and TOML Areas, as described below, in our SEC Regulation S-K (subpart 1300) compliant Technical Report Summary - Initial Assessment, of the NORI Property, Clarion-Clipperton Zone, Pacific Ocean dated March 17, 2021 (“NORI Initial Assessment”) and Technical Report Summary - TOML Mineral Resource, Clarion-Clipperton Zone, Pacific Ocean dated March 26, 2021 (“TOML Mineral Resource Statement”), respectively, prepared by AMC Consultants Ltd. (“AMC”). We plan to continue to estimate our resources in the NORI and TOML Areas and develop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NORI Initial Assessment and TOML Mineral Resource Statement do not include the conversion of mineral resources to mineral reserves.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used in this Quarterly Report on Form 10-Q or in the applicable report summary, the terms “mineral resource,” “measured mineral resource,” “indicated mineral resource” and “inferred mineral resource”, as applicable, are defined and used in accordance with the SEC Mining Rules.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Quarterly Report on Form 10-Q includes information that has been prepared in accordance with the requirements of the SEC Mining Rules forth in subpart 1300 of Regulation S-K.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Likewise, you are cautioned not to assume that all or any part of measured or indicated mineral resources will ever be upgraded to mineral reserves.</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and Credit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rate risk is the risk that the fair value of our future cash flows and our financial instruments will fluctuate because of changes in market interest rates.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high cash need of our operating plan, we have kept our funds readily available, placed in secure, highly liquid interest-bearing investments, as at September 30, 2024.</w:t>
      </w:r>
    </w:p>
    <w:p>
      <w:pPr>
        <w:sectPr>
          <w:pgSz w:w="11900" w:h="16838" w:orient="portrait"/>
          <w:cols w:equalWidth="0" w:num="1">
            <w:col w:w="9920"/>
          </w:cols>
          <w:pgMar w:left="980" w:top="675"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a variety of markets and other risks including the effects of inflation and foreign currency translation, commodity pricing risks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spacing w:after="0" w:line="18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not effective as of September 30, 2024, as a result of a material weakness in our internal control over financial reporting as described below.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in Internal Control over Financial Reporting</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previously disclosed in our 2023 Annual Report on Form 10-K, management identified a material weakness in the operating effectiveness of our internal controls over the accounting for significant non-routine transactions that resulted from the inadequate and untimely involvement of stakeholders and technical advisors with an appropriate level of expertise to account for a non-routine, unusual and complex transaction.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material weakness resulted in errors in the financial statements and related disclosures in our Quarterly Reports on Form 10-Q for the quarter ended March 31, 2023, and for the six months ended June 30, 2023 and nine months ended September 30, 2023. See Note 22 to the audited consolidated financial statements for the year ended December 31, 2023, included in our 2023 Annual Report on form 10-K for more information about these errors and our revisions to these previously issued financial statements in our financial statements as of and for the year ended December 31, 2023, as included in the 2023 Annual report on Form 10-K.</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order to remediate this material weakness, we have developed and rolled out training on processes and controls related to complex, non-routine transactions and evaluating the circumstances under which we use technical advisors in connection with evaluating complex, non-routine transactions. We are also considering engaging the assistance of additional third-party resources as deemed appropriate to assist management in its remediation efforts.</w:t>
      </w:r>
    </w:p>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internal controls over significant non-routine transactions need to be in operation and tested for sufficient instances to be considered effective: such new controls will be tested with the next non-routine transaction. Consequently, the controls for non-routine transactions remain ineffective as of September 30, 2024.</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Notwithstanding our material weakness, we have concluded that our unaudited condensed consolidated interim financial statements included in this Quarterly Report on Form 10-Q fairly present in all material respects our financial condition, results of operations and cash flows for the periods presented in conformity with U.S. GAAP.</w:t>
      </w:r>
    </w:p>
    <w:p>
      <w:pPr>
        <w:sectPr>
          <w:pgSz w:w="11900" w:h="16838" w:orient="portrait"/>
          <w:cols w:equalWidth="0" w:num="1">
            <w:col w:w="9920"/>
          </w:cols>
          <w:pgMar w:left="980" w:top="675"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noted above, there were no changes in our internal control over financial reporting identified in connection with the evaluation of such internal controls that occurred during the third quarter ended September 30, 2024 that have materially affected, or are reasonably likely to materially affect, our internal control over financial reporting.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Disclosure Controls and Procedures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Except as set forth below, we are not currently a party to any material legal proceedings. There have been no material changes to the legal proceedings disclosed in our Annual Report on Form 10-K for the fiscal year ended 2023 (or in our Quarterly Report on Form 10-Q for the quarter ended September 30, 2024, as applicable). For a full description of these proceedings, please refer to the disclosures in our prior filings with the Securities and Exchange Commission.</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Agreements and breached the covenant of good faith and fair dealing. The Plaintiffs are seeking to recover compensable damages caused by the alleged wrongdoings. We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We filed a notice of appeal regarding the Court’s denial of our motion to dismiss the breach of the Subscription Agreement claim in March 2024 and the appeal was heard by the Court on November 8, 2024. The parties are currently awaiting a ruling. There is no assurance that we will be successful in our defense of this lawsuit or that insurance will be available or adequate to fund any settlement or judgment or the litigation costs of this action. Such losses or range of possible losses cannot be reliably estimated.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You should carefully review and consider the information regarding certain factors that could materially affect our business, consolidated financial condition or results of operations set forth under Item 1A. Risk Factors in our 2023 Annual Report on Form 10-K. There have been no material changes from or additions to the risk factors disclosed in our 2023 Annual Report on Form 10-K other than the revised risk factors set forth below. We may disclose changes to risk factors or additional factors from time to time in our future filings with the SEC.</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numerous regulatory uncertainties which, if not resolved in our favor, would have a material adverse impact on our business.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4, 2023 the United Nations finalized the UN High Seas Treaty. The treaty does not replace or amend UNCLOS, or the authority of the ISA, and must be interpreted consistently with the rights granted by the Convention.</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date, no commercial collection (also referred to as “mining,” “exploitation” or “harvesting”) of nodules has occurred on the seafloor in the area of the high seas beyond the limits of national jurisdiction (the “Area”), which includes the CCZ. Moreover, despite the release by the ISA of the Draft Regulations on Exploitation of Mineral Resources (the “Draft Regulations”), finalization of such regulations remains subject to approval and adoption by the ISA. Once adopted, these regulations will add to the legal and technical framework for exploitation of the polymetallic nodules in the NORI, TOML and Marawa contract areas.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Section 1, paragraph 15 of the 1994 Agreement Relating to the Implementation of Part XI of UNCLOS (the “1994 Agreement”)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June 25, 2021, Nauru submitted such a notice, with an effective date of July 9, 2021, to the ISA requesting that it complete the adoption of rules, regulations and procedures (“RRPs” or the “Mining Code”) necessary to facilitate the approval of plans of work for exploitation in the Area. As a result of that notice, the ISA was required to adopt the relevant RRPs for exploitation by July 9, 2023. The ISA, however, did not adopt the RRPs for exploitation by the July 9, 2023 deadline. At its July 2023 session, the ISA released a road map for the finalization of the Mining Code, with a view to its adoption during the 30th session of the ISA in 2025. The road map included three scheduled ISA Council meetings through July 2024 to elaborate on the Mining Code. The Mining Code was not completed at the July 2024 ISA Council meetings and during these meetings, the ISA agreed to continue the negotiations of the Mining Code with a continued view to its adoption during the 30th session of the ISA in 2025. The ISA Council has scheduled two ISA Council meetings in March and July 2025 to progress the Mining Code and has agreed to continue working intersessionally to advance the text. Although we believe the ISA will adopt the Mining Code, there can be no assurances that the Mining Code will be adopted within this timeline, or at all, as a result of actions of ISA member States or otherwise. For example, at least 32 ISA member States out of the 169 ISA members have expressed reservations about the timing of commercialization of seafloor mineral resources and have called for a ban, moratorium, or precautionary pause on the commercialization of these resources. In addition, although the Draft Regulations and several supporting standards and guidelines are at an advanced stage, there remains uncertainty regarding the final form that these will take, as well as the impact that such regulations, standards and guidelines will have on our ability to meet our objectives.</w:t>
      </w:r>
    </w:p>
    <w:p>
      <w:pPr>
        <w:spacing w:after="0" w:line="19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the ISA Council did not complete the adoption and elaboration of the Mining Code by the prescribed deadline of July 9, 2023, pursuant to Section 1, Paragraph 15(c) of the Annex to the 1994 Agreement, if an application for a plan of work for exploitation is now submitted to the ISA, the ISA is nonetheless required to consider and provisionally approve such a plan of work based on: (i) the provisions of the UNCLOS; (ii) any rules, regulations and procedures that the ISA may have adopted provisionally, (iii) the basis of the norms contained in the UNCLOS and (iv) the terms and principles contained in the 1994 Agreement, including the principle of non-discrimination among contractors.</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NORI intends to submit an application to the ISA for an exploitation contract, which will include a plan of work for exploitation for the NORI contract area, expected to be filed on June 27, 2025. If the ISA has not adopted the final Mining Code by the time NORI submits this application, we believe that the ISA will review and provisionally approve the plan of work for exploitation included therein pursuant to Section 1, Paragraph 15(c) of the Annex to the 1994 Agreement discussed above. The ISA released its road map to finalize the Mining Code at its July 2023 session and at its July 2024 session agreed to continue the negotiations of the Mining Code with a continued view to its adoption during the 30th session of the ISA in 2025, however, it has also stated that the commercial exploitation of mineral resources in the ISA’s jurisdictional area should not be carried out in the absence of RRPs relating to exploitation. In addition, there can be no assurances that the ISA will come to a consensus as to the interpretation of Section 1, Paragraph 15(c) of the Annex to the 1994 Agreement. Although we believe the ISA will accept and consider an application for a plan of work for exploitation in the absence of the final Mining Code, there is no consensus within the ISA as to the process to be followed for its consideration of such an application, including the involvement of the ISA’s Legal and Technical Commission (LTC) and whether and how long the ISA could delay its consideration of an application past the proscribed 60-day period. As a result, and to provide clarity on the application review process and timeline, the Republic of Nauru, in consultation with NORI, has formally requested that this issue be added to the agenda of the Council’s March 2025 meeting. We expect that this will allow Council to discuss and approve the process to be confirmed prior to NORI’s expected application submission date of June 27, 2025. In light of some ISA Member States calling for a ban, moratorium or precautionary pause on the commercialization of seafloor mineral resources, there can be no assurance that the ISA will provisionally approve our plan of work for exploitation, within one year from submission thereof, or at all, or that such provisional approval would lead to the issuance of an exploitation contract with the ISA. On August 2, 2024, the ISA Assembly elected Leticia Carvalho of Brazil as the new Secretary-General of the ISA for the period 2025-2028. There can be no assurances that the ISA’s stated target for adoption of the Mining Code of 2025 will be met or that any application for an exploitation contract will be approved before the final Mining Code is adopted.</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collection of polymetallic nodules within the CCZ, where our exploration areas are located, will require approval of an ISA Exploitation Contract (which will authorize commercial collection activities). As part of the application for an ISA Exploitation Contract, all contractors are required to complete baseline studies and an Environment and Social Impact Assessment (ESIA), culminating in an EIS, prior to collecting nodules at a commercial scale. The EIS would be accompanied by an Environmental Monitoring and Management Plan (EMMP) which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order to move our exploration projects into commercial production, our wholly owned subsidiaries, NORI and TOML will each need to conclude an exploitation contract with the ISA, as will our partner, Marawa, in addition to obtaining related permits that may be required by our commercial partners. There can be no assurance that the ISA will approve our application for a plan of work for exploitation and issue an exploitation contract to our subsidiaries in a timely manner or at all. Even if the ISA timely evaluates such applications(s), our subsidiaries may be required to submit a supplementary EIS or perform additional studies or campaigns before obtaining approval. As such, there is a risk that an exploitation contract may not be granted by the ISA, may not be granted on a timely basis, thereby delaying our potential timeline for commercial exploitation, or may be granted on uneconomic terms.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Similarly, with respect to sponsoring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agreements between our subsidiaries NORI and TOML and each of their host Sponsoring States, Tonga and Nauru, respectively. Each subsidiary has been registered and incorporated within such host nation and each host nation has maintained effective control, supervision, regulation, and sponsorship over the conduct of such subsidiary. While we have beneficial ownership over such subsidiaries, each subsidiary operates under the regulation and sponsorship of Nauru and Tonga. If such arrangement is challenged, or sponsorship is terminated, we may have to restructure the ownership or operations of such subsidiary to ensure continued State sponsorship. Failure to maintain sponsorship, or secure new state sponsorship, will have a material impact on such subsidiary and on our overall business and operations.</w:t>
      </w:r>
    </w:p>
    <w:p>
      <w:pPr>
        <w:spacing w:after="0" w:line="19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the rates of payments are yet to be set by the ISA, the 1994 Agreement prescribes a relevant framework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CCZ. There can be no assurance that the ISA will put in place a Mining Code in a timely manner or at all. Such regulations may also impose burdensome obligations or restrictions on us, and/or may contain terms that do not enable us to develop our projects.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August 2024, as a result of a new process established by the LTC to identify contractors who may be at risk of non-compliance with obligations under their respective exploration contract, the ISA sent notifications of such potential risk of non-compliance to multiple contractors, including TOML and Marawa.</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LTC’s notification to TOML cited concerns, which relate mainly to the failure to conduct planned sampling campaigns, the need to submit digital data in the revised reporting templates, delays in surveys for environmental baseline development, and the delay in submission of its scoping report. TOML is in the process of responding to the notification and is positioned to take corrective action if necessary. The Company is confident that its response and corrective action(s) (if any) will be satisfactory to rectify the LTC’s concerns regarding TOML; however, no assurances can be given that the LTC will be fully satisfied. If the LTC deems TOML’s response insufficient or incomplete, or if TOML fails to respond, the LTC, in line with ISAB/29/LTC/5, may report TOML to Council for further consideration and action. If TOML is deemed to have not remedied all issues raised by the LTC, there is a risk of non-compliance and the ISA suspending some or all rights granted under the exploration license, which could include halting exploration activities, and in severe cases, termination of the exploration contract, which could have a material and adverse effect on our future business prospects and financial condition.</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LTC’s notification to Marawa cited concerns, which relate mainly to the lack of expedition work, absence of study activities or data submission, failure to provide a detailed exploration strategy, delays in conducting planned research cruises, and insufficient analysis of biological samples. If the LTC deems Marawa’s response insufficient or incomplete, or if Marawa fails to respond, the LTC, in line with ISAB/29/LTC/5, may report Marawa to Council for further consideration and action. If Marawa is deemed to have not remedied all issues raised by the LTC, there is a risk of non-compliance and the ISA suspending some or all rights granted under the exploration license, which could include halting exploration activities, and in severe cases, termination of the exploration contract.</w:t>
      </w:r>
    </w:p>
    <w:p>
      <w:pPr>
        <w:sectPr>
          <w:pgSz w:w="11900" w:h="16838" w:orient="portrait"/>
          <w:cols w:equalWidth="0" w:num="1">
            <w:col w:w="9920"/>
          </w:cols>
          <w:pgMar w:left="980" w:top="67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litigation that may adversely affect us and may not be successful in our litigation related to non-performing Private Investment in Public Equity (“PIPE”) investors.</w:t>
      </w:r>
    </w:p>
    <w:p>
      <w:pPr>
        <w:spacing w:after="0" w:line="15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Due to the nature of our business, we may be subject to regulatory investigations, claims, lawsuits and other proceedings in the ordinary course of our business. The results of these legal proceedings cannot be predicted with certainty due to the uncertainty inherent in litigation, including the effects of discovery of new evidence or advancement of new legal theories, the difficulty of predicting decisions of judges and juries and the possibility that decisions may be reversed on appeal. We can provide no assurances that these matters will not have a material adverse effect on our business. Following periods of volatility in the market, securities class-action litigation has often been instituted against companies. On October 28, 2021, a shareholder filed a putative class action against us and certain executives in federal district court for the Eastern District of New York, captioned Caper v. TMC The Metals Company Inc. F/K/A Sustainable Opportunities Acquisition Corp., Gerard Barron and Scott Leonard. The complaint alleges that all defendants violated Section 10(b) of the Exchange Act, and Rule 10b-5 promulgated thereunder, and Messrs. Barron and Leonard violated Section 20(a) of the Exchange Act, by making false and/or misleading statements and/or failing to disclose information about our operations and prospects during the period from March 4, 2021 to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We deny any allegations of wrongdoing and filed and served the plaintiff a motion to dismiss on July 12, 2022 and intend to defend against this lawsuit. On July 12, 2023, an oral hearing on the motion to dismiss was held. The parties are currently awaiting a ruling. 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Agreements and breached the covenant of good faith and fair dealing. The Plaintiffs are seeking to recover compensable damages caused by the alleged wrongdoings. We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We filed a notice of appeal regarding the Court’s denial of our motion to dismiss the breach of the Subscription Agreement claim and the appeal was heard by the Court on November 8, 2024. The parties are currently awaiting a ruling. There is no assurance that we will be successful in our defense of this lawsuit or that insurance will be available or adequate to fund any settlement or judgment or the litigation costs of this action. Such losses or range of possible losses cannot be reliably estimated.</w:t>
      </w:r>
    </w:p>
    <w:p>
      <w:pPr>
        <w:spacing w:after="0" w:line="20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expected to receive approximately $330 million of proceeds in the private placement that closed on September 9, 2021 in connection with the Closing but only received $110.3 million (net of transactions costs). On September 20, 2021, we commenced litigation in the New York Superior Court, New York County against two investors who failed to fund their commitments pursuant to subscription agreements entered into in connection with the expected financing. These actions are captioned Sustainable Opportunities Acquisition Corp. n/k/a TMC the metals company Inc. v. Ethos Fund I, LP, Ethos GP, LLC, Ethos DeepGreen PIPE, LLC, and Ethos Manager, LLC, Index No. 655527/2021 (N.Y. Sup. Ct.) and Sustainable Opportunities Acquisition Corp. n/k/a TMC the metals company Inc. v. Ramas Capital Management, LLC, Ramas Energy Opportunities I, LP, Ramas Energy Opportunities I GP, LLC, and Ganesh Betanabhatla, Index No. 655528/2021 (N.Y. Sup. Ct.). The operative complaints allege that the investors breached the relevant subscription agreement and that the investors’ affiliates tortiously interfered with the subscription agreements by causing the investor not to fund its contractual obligations. We are seeking compensatory damages (plus interest), expenses, costs, and attorneys’ fees. There can be no assurances, however, that we will be successful in our efforts against these investors.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November 8, 2024, a shareholder filed a putative class action against us and certain executives in federal district court for the Central District of California, captioned Lin v. TMC The Metals Company Inc., Gerard Barron, and Craig Shesky. The complaint alleges that all defendants violated Section 10(b) of the Exchange Act and Rule 10b-5 promulgated thereunder, and Messrs. Barron and Shesky violated Section 20(a) of the Exchange Act, by making false and/or misleading statements and/or failing to disclose information regarding the classification of the non-financial asset received from our partnership with Low Carbon Royalties Inc. and the derecognition of the capitalized exploration contract related to NORI. The alleged misstatements and omissions pertain to our initial classification of this non-financial asst as a gain on disposition (being a sale of future revenue) and subsequent reclassification thereof as a royalty liability (and re-capitalization of the exploration contract) and the restatement of our previously issued financial statements as a result thereof for the three months ended March 31, 2023, the six months ended June 30, 2023 and the nine months ended September 30, 2023 in March 2024.</w:t>
      </w:r>
    </w:p>
    <w:p>
      <w:pPr>
        <w:sectPr>
          <w:pgSz w:w="11900" w:h="16838" w:orient="portrait"/>
          <w:cols w:equalWidth="0" w:num="1">
            <w:col w:w="9920"/>
          </w:cols>
          <w:pgMar w:left="980" w:top="675"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complaint purports to represent a class of shareholders who acquired our securities between May 12, 2023, and March 25, 2024, and seeks to recover compensable damages caused by the alleged wrongdoings. We intend to defend against the lawsuit. There can be no assurance, however, that we will be successful in our defense, or that insurance will be available or adequate to fund any settlement or judgment or the litigation costs of this action. Due to the early stage of this litigation, such losses or range of possible losses cannot be reliably estimated.</w:t>
      </w:r>
    </w:p>
    <w:p>
      <w:pPr>
        <w:spacing w:after="0" w:line="1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repurchase any of our equity securities during the three months ended September 30, 2024.</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10b5-1 Trading Arrangements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directors or officers (as defined in Section 16 of the Securities Exchange Act of 1934, as amended) adopted, modified or terminated any contract, instruction or written plan for the purchase or sale of our securities that was intended to satisfy the affirmative defense conditions of Rule 10b5-1(c) or any “non-Rule 10b5-1 trading arrangement,” as defined in Item 408(a)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Credit Facilities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14, 2024, we entered into the Second Amendment to the 2024 Credit Facility with the 2024 Lenders, Gerard Barron and ERAS Capital LLC (the “Second Amendment”), to increase the borrowing limit thereunder to $38 million in the aggregate ($19 million from each of the 2024 Lenders) and to extend the maturity date to December 31, 2025. Under the terms of the Second Amendment, the parties agreed to an increase in the underutilization fee to 6.5% and to allow repayment of the Loan to be made in equity at the Company’s election. The foregoing description of the Second Amendment does not purport to be a complete description of the rights and obligations of the parties thereunder and is qualified in its entirety by reference to the full text of the Second Amendment which we expect to attach as an Exhibit to our next Annual Report on Form 10-K and incorporated therein by reference.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SEC File/ Reg.</w:t>
            </w:r>
          </w:p>
        </w:tc>
        <w:tc>
          <w:tcPr>
            <w:tcW w:w="0" w:type="dxa"/>
            <w:vAlign w:val="bottom"/>
          </w:tcPr>
          <w:p>
            <w:pPr>
              <w:spacing w:after="0"/>
              <w:rPr>
                <w:sz w:val="1"/>
                <w:szCs w:val="1"/>
                <w:color w:val="auto"/>
              </w:rPr>
            </w:pPr>
          </w:p>
        </w:tc>
      </w:tr>
      <w:tr>
        <w:trPr>
          <w:trHeight w:val="148"/>
        </w:trPr>
        <w:tc>
          <w:tcPr>
            <w:tcW w:w="980" w:type="dxa"/>
            <w:vAlign w:val="bottom"/>
            <w:gridSpan w:val="3"/>
            <w:vMerge w:val="continue"/>
          </w:tcPr>
          <w:p>
            <w:pPr>
              <w:spacing w:after="0"/>
              <w:rPr>
                <w:sz w:val="12"/>
                <w:szCs w:val="12"/>
                <w:color w:val="auto"/>
              </w:rPr>
            </w:pPr>
          </w:p>
        </w:tc>
        <w:tc>
          <w:tcPr>
            <w:tcW w:w="1120" w:type="dxa"/>
            <w:vAlign w:val="bottom"/>
          </w:tcPr>
          <w:p>
            <w:pPr>
              <w:spacing w:after="0"/>
              <w:rPr>
                <w:sz w:val="12"/>
                <w:szCs w:val="12"/>
                <w:color w:val="auto"/>
              </w:rPr>
            </w:pPr>
          </w:p>
        </w:tc>
        <w:tc>
          <w:tcPr>
            <w:tcW w:w="2580" w:type="dxa"/>
            <w:vAlign w:val="bottom"/>
            <w:gridSpan w:val="21"/>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15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20" w:type="dxa"/>
            <w:vAlign w:val="bottom"/>
          </w:tcPr>
          <w:p>
            <w:pPr>
              <w:spacing w:after="0"/>
              <w:rPr>
                <w:sz w:val="15"/>
                <w:szCs w:val="15"/>
                <w:color w:val="auto"/>
              </w:rPr>
            </w:pPr>
          </w:p>
        </w:tc>
        <w:tc>
          <w:tcPr>
            <w:tcW w:w="2580" w:type="dxa"/>
            <w:vAlign w:val="bottom"/>
            <w:gridSpan w:val="21"/>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 or Schedule</w:t>
            </w:r>
          </w:p>
        </w:tc>
        <w:tc>
          <w:tcPr>
            <w:tcW w:w="1140" w:type="dxa"/>
            <w:vAlign w:val="bottom"/>
            <w:gridSpan w:val="2"/>
            <w:vMerge w:val="continue"/>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42"/>
        </w:trPr>
        <w:tc>
          <w:tcPr>
            <w:tcW w:w="76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auto"/>
              </w:rPr>
              <w:t>10.1†</w:t>
            </w: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3580" w:type="dxa"/>
            <w:vAlign w:val="bottom"/>
            <w:tcBorders>
              <w:top w:val="single" w:sz="8" w:color="auto"/>
            </w:tcBorders>
            <w:gridSpan w:val="21"/>
            <w:shd w:val="clear" w:color="auto" w:fill="CCEEFF"/>
          </w:tcPr>
          <w:p>
            <w:pPr>
              <w:spacing w:after="0" w:line="142" w:lineRule="exact"/>
              <w:rPr>
                <w:rFonts w:ascii="Times New Roman" w:cs="Times New Roman" w:eastAsia="Times New Roman" w:hAnsi="Times New Roman"/>
                <w:sz w:val="15"/>
                <w:szCs w:val="15"/>
                <w:color w:val="0000EE"/>
              </w:rPr>
            </w:pPr>
            <w:hyperlink r:id="rId59">
              <w:r>
                <w:rPr>
                  <w:rFonts w:ascii="Times New Roman" w:cs="Times New Roman" w:eastAsia="Times New Roman" w:hAnsi="Times New Roman"/>
                  <w:sz w:val="15"/>
                  <w:szCs w:val="15"/>
                  <w:color w:val="0000EE"/>
                </w:rPr>
                <w:t>Third Amendment to the Unsecured Credit Facility, dated</w:t>
              </w:r>
            </w:hyperlink>
          </w:p>
        </w:tc>
        <w:tc>
          <w:tcPr>
            <w:tcW w:w="1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5"/>
                <w:szCs w:val="15"/>
                <w:color w:val="auto"/>
              </w:rPr>
              <w:t>Form 8-K</w:t>
            </w: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ind w:right="224"/>
              <w:spacing w:after="0" w:line="142" w:lineRule="exact"/>
              <w:rPr>
                <w:sz w:val="20"/>
                <w:szCs w:val="20"/>
                <w:color w:val="auto"/>
              </w:rPr>
            </w:pPr>
            <w:r>
              <w:rPr>
                <w:rFonts w:ascii="Times New Roman" w:cs="Times New Roman" w:eastAsia="Times New Roman" w:hAnsi="Times New Roman"/>
                <w:sz w:val="15"/>
                <w:szCs w:val="15"/>
                <w:color w:val="auto"/>
                <w:w w:val="99"/>
              </w:rPr>
              <w:t>08/16/2024</w:t>
            </w: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ind w:right="285"/>
              <w:spacing w:after="0" w:line="142" w:lineRule="exact"/>
              <w:rPr>
                <w:sz w:val="20"/>
                <w:szCs w:val="20"/>
                <w:color w:val="auto"/>
              </w:rPr>
            </w:pPr>
            <w:r>
              <w:rPr>
                <w:rFonts w:ascii="Times New Roman" w:cs="Times New Roman" w:eastAsia="Times New Roman" w:hAnsi="Times New Roman"/>
                <w:sz w:val="15"/>
                <w:szCs w:val="15"/>
                <w:color w:val="auto"/>
              </w:rPr>
              <w:t>001-39281</w:t>
            </w:r>
          </w:p>
        </w:tc>
        <w:tc>
          <w:tcPr>
            <w:tcW w:w="0" w:type="dxa"/>
            <w:vAlign w:val="bottom"/>
          </w:tcPr>
          <w:p>
            <w:pPr>
              <w:spacing w:after="0"/>
              <w:rPr>
                <w:sz w:val="1"/>
                <w:szCs w:val="1"/>
                <w:color w:val="auto"/>
              </w:rPr>
            </w:pPr>
          </w:p>
        </w:tc>
      </w:tr>
      <w:tr>
        <w:trPr>
          <w:trHeight w:val="142"/>
        </w:trPr>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3520" w:type="dxa"/>
            <w:vAlign w:val="bottom"/>
            <w:tcBorders>
              <w:top w:val="single" w:sz="8" w:color="0000EE"/>
            </w:tcBorders>
            <w:gridSpan w:val="18"/>
            <w:shd w:val="clear" w:color="auto" w:fill="CCEEFF"/>
          </w:tcPr>
          <w:p>
            <w:pPr>
              <w:spacing w:after="0" w:line="142" w:lineRule="exact"/>
              <w:rPr>
                <w:rFonts w:ascii="Times New Roman" w:cs="Times New Roman" w:eastAsia="Times New Roman" w:hAnsi="Times New Roman"/>
                <w:sz w:val="15"/>
                <w:szCs w:val="15"/>
                <w:color w:val="0000EE"/>
              </w:rPr>
            </w:pPr>
            <w:hyperlink r:id="rId59">
              <w:r>
                <w:rPr>
                  <w:rFonts w:ascii="Times New Roman" w:cs="Times New Roman" w:eastAsia="Times New Roman" w:hAnsi="Times New Roman"/>
                  <w:sz w:val="15"/>
                  <w:szCs w:val="15"/>
                  <w:color w:val="0000EE"/>
                </w:rPr>
                <w:t>August 16, 2024, by and between TMC the metals</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CCEEFF"/>
            </w:tcBorders>
            <w:gridSpan w:val="2"/>
            <w:shd w:val="clear" w:color="auto" w:fill="CCEEFF"/>
          </w:tcPr>
          <w:p>
            <w:pPr>
              <w:jc w:val="center"/>
              <w:ind w:right="140"/>
              <w:spacing w:after="0" w:line="142" w:lineRule="exact"/>
              <w:rPr>
                <w:sz w:val="20"/>
                <w:szCs w:val="20"/>
                <w:color w:val="auto"/>
              </w:rPr>
            </w:pPr>
            <w:r>
              <w:rPr>
                <w:rFonts w:ascii="Times New Roman" w:cs="Times New Roman" w:eastAsia="Times New Roman" w:hAnsi="Times New Roman"/>
                <w:sz w:val="15"/>
                <w:szCs w:val="15"/>
                <w:color w:val="auto"/>
              </w:rPr>
              <w:t>(Exhibit 10.1)</w:t>
            </w:r>
          </w:p>
        </w:tc>
        <w:tc>
          <w:tcPr>
            <w:tcW w:w="10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3060" w:type="dxa"/>
            <w:vAlign w:val="bottom"/>
            <w:tcBorders>
              <w:top w:val="single" w:sz="8" w:color="0000EE"/>
            </w:tcBorders>
            <w:gridSpan w:val="8"/>
            <w:shd w:val="clear" w:color="auto" w:fill="CCEEFF"/>
          </w:tcPr>
          <w:p>
            <w:pPr>
              <w:spacing w:after="0" w:line="142" w:lineRule="exact"/>
              <w:rPr>
                <w:rFonts w:ascii="Times New Roman" w:cs="Times New Roman" w:eastAsia="Times New Roman" w:hAnsi="Times New Roman"/>
                <w:sz w:val="15"/>
                <w:szCs w:val="15"/>
                <w:color w:val="0000EE"/>
              </w:rPr>
            </w:pPr>
            <w:hyperlink r:id="rId59">
              <w:r>
                <w:rPr>
                  <w:rFonts w:ascii="Times New Roman" w:cs="Times New Roman" w:eastAsia="Times New Roman" w:hAnsi="Times New Roman"/>
                  <w:sz w:val="15"/>
                  <w:szCs w:val="15"/>
                  <w:color w:val="0000EE"/>
                </w:rPr>
                <w:t>company Inc. Argentum Cedit Virtuti GCV</w:t>
              </w:r>
            </w:hyperlink>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gridSpan w:val="3"/>
          </w:tcPr>
          <w:p>
            <w:pPr>
              <w:spacing w:after="0" w:line="142" w:lineRule="exact"/>
              <w:rPr>
                <w:sz w:val="20"/>
                <w:szCs w:val="20"/>
                <w:color w:val="auto"/>
              </w:rPr>
            </w:pPr>
            <w:r>
              <w:rPr>
                <w:rFonts w:ascii="Times New Roman" w:cs="Times New Roman" w:eastAsia="Times New Roman" w:hAnsi="Times New Roman"/>
                <w:sz w:val="15"/>
                <w:szCs w:val="15"/>
                <w:color w:val="auto"/>
              </w:rPr>
              <w:t>10.2†</w:t>
            </w:r>
          </w:p>
        </w:tc>
        <w:tc>
          <w:tcPr>
            <w:tcW w:w="3700" w:type="dxa"/>
            <w:vAlign w:val="bottom"/>
            <w:gridSpan w:val="22"/>
          </w:tcPr>
          <w:p>
            <w:pPr>
              <w:spacing w:after="0" w:line="142" w:lineRule="exact"/>
              <w:rPr>
                <w:rFonts w:ascii="Times New Roman" w:cs="Times New Roman" w:eastAsia="Times New Roman" w:hAnsi="Times New Roman"/>
                <w:sz w:val="15"/>
                <w:szCs w:val="15"/>
                <w:color w:val="0000EE"/>
              </w:rPr>
            </w:pPr>
            <w:hyperlink r:id="rId60">
              <w:r>
                <w:rPr>
                  <w:rFonts w:ascii="Times New Roman" w:cs="Times New Roman" w:eastAsia="Times New Roman" w:hAnsi="Times New Roman"/>
                  <w:sz w:val="15"/>
                  <w:szCs w:val="15"/>
                  <w:color w:val="0000EE"/>
                </w:rPr>
                <w:t>Working Capital Loan Agreement, dated September 9,</w:t>
              </w:r>
            </w:hyperlink>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5"/>
                <w:szCs w:val="15"/>
                <w:color w:val="auto"/>
              </w:rPr>
              <w:t>Form 8-K</w:t>
            </w:r>
          </w:p>
        </w:tc>
        <w:tc>
          <w:tcPr>
            <w:tcW w:w="1000" w:type="dxa"/>
            <w:vAlign w:val="bottom"/>
          </w:tcPr>
          <w:p>
            <w:pPr>
              <w:jc w:val="right"/>
              <w:ind w:right="224"/>
              <w:spacing w:after="0" w:line="142" w:lineRule="exact"/>
              <w:rPr>
                <w:sz w:val="20"/>
                <w:szCs w:val="20"/>
                <w:color w:val="auto"/>
              </w:rPr>
            </w:pPr>
            <w:r>
              <w:rPr>
                <w:rFonts w:ascii="Times New Roman" w:cs="Times New Roman" w:eastAsia="Times New Roman" w:hAnsi="Times New Roman"/>
                <w:sz w:val="15"/>
                <w:szCs w:val="15"/>
                <w:color w:val="auto"/>
                <w:w w:val="99"/>
              </w:rPr>
              <w:t>09/12/2024</w:t>
            </w:r>
          </w:p>
        </w:tc>
        <w:tc>
          <w:tcPr>
            <w:tcW w:w="140" w:type="dxa"/>
            <w:vAlign w:val="bottom"/>
          </w:tcPr>
          <w:p>
            <w:pPr>
              <w:spacing w:after="0"/>
              <w:rPr>
                <w:sz w:val="12"/>
                <w:szCs w:val="12"/>
                <w:color w:val="auto"/>
              </w:rPr>
            </w:pPr>
          </w:p>
        </w:tc>
        <w:tc>
          <w:tcPr>
            <w:tcW w:w="1040" w:type="dxa"/>
            <w:vAlign w:val="bottom"/>
          </w:tcPr>
          <w:p>
            <w:pPr>
              <w:jc w:val="right"/>
              <w:ind w:right="285"/>
              <w:spacing w:after="0" w:line="142" w:lineRule="exact"/>
              <w:rPr>
                <w:sz w:val="20"/>
                <w:szCs w:val="20"/>
                <w:color w:val="auto"/>
              </w:rPr>
            </w:pPr>
            <w:r>
              <w:rPr>
                <w:rFonts w:ascii="Times New Roman" w:cs="Times New Roman" w:eastAsia="Times New Roman" w:hAnsi="Times New Roman"/>
                <w:sz w:val="15"/>
                <w:szCs w:val="15"/>
                <w:color w:val="auto"/>
              </w:rPr>
              <w:t>001-39281</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20" w:type="dxa"/>
            <w:vAlign w:val="bottom"/>
            <w:tcBorders>
              <w:top w:val="single" w:sz="8" w:color="0000EE"/>
            </w:tcBorders>
            <w:gridSpan w:val="12"/>
          </w:tcPr>
          <w:p>
            <w:pPr>
              <w:spacing w:after="0" w:line="142" w:lineRule="exact"/>
              <w:rPr>
                <w:rFonts w:ascii="Times New Roman" w:cs="Times New Roman" w:eastAsia="Times New Roman" w:hAnsi="Times New Roman"/>
                <w:sz w:val="15"/>
                <w:szCs w:val="15"/>
                <w:color w:val="0000EE"/>
              </w:rPr>
            </w:pPr>
            <w:hyperlink r:id="rId60">
              <w:r>
                <w:rPr>
                  <w:rFonts w:ascii="Times New Roman" w:cs="Times New Roman" w:eastAsia="Times New Roman" w:hAnsi="Times New Roman"/>
                  <w:sz w:val="15"/>
                  <w:szCs w:val="15"/>
                  <w:color w:val="0000EE"/>
                </w:rPr>
                <w:t>2024, by and between TMC the metals company Inc.</w:t>
              </w:r>
            </w:hyperlink>
          </w:p>
        </w:tc>
        <w:tc>
          <w:tcPr>
            <w:tcW w:w="380" w:type="dxa"/>
            <w:vAlign w:val="bottom"/>
            <w:gridSpan w:val="10"/>
          </w:tcPr>
          <w:p>
            <w:pPr>
              <w:spacing w:after="0" w:line="142" w:lineRule="exact"/>
              <w:rPr>
                <w:rFonts w:ascii="Times New Roman" w:cs="Times New Roman" w:eastAsia="Times New Roman" w:hAnsi="Times New Roman"/>
                <w:sz w:val="15"/>
                <w:szCs w:val="15"/>
                <w:color w:val="0000EE"/>
              </w:rPr>
            </w:pPr>
            <w:hyperlink r:id="rId60">
              <w:r>
                <w:rPr>
                  <w:rFonts w:ascii="Times New Roman" w:cs="Times New Roman" w:eastAsia="Times New Roman" w:hAnsi="Times New Roman"/>
                  <w:sz w:val="15"/>
                  <w:szCs w:val="15"/>
                  <w:color w:val="0000EE"/>
                </w:rPr>
                <w:t>and</w:t>
              </w:r>
            </w:hyperlink>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5"/>
                <w:szCs w:val="15"/>
                <w:color w:val="auto"/>
              </w:rPr>
              <w:t>(Exhibit 10.1)</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80" w:type="dxa"/>
            <w:vAlign w:val="bottom"/>
            <w:tcBorders>
              <w:top w:val="single" w:sz="8" w:color="0000EE"/>
            </w:tcBorders>
            <w:gridSpan w:val="16"/>
          </w:tcPr>
          <w:p>
            <w:pPr>
              <w:spacing w:after="0" w:line="142" w:lineRule="exact"/>
              <w:rPr>
                <w:rFonts w:ascii="Times New Roman" w:cs="Times New Roman" w:eastAsia="Times New Roman" w:hAnsi="Times New Roman"/>
                <w:sz w:val="15"/>
                <w:szCs w:val="15"/>
                <w:color w:val="0000EE"/>
              </w:rPr>
            </w:pPr>
            <w:hyperlink r:id="rId60">
              <w:r>
                <w:rPr>
                  <w:rFonts w:ascii="Times New Roman" w:cs="Times New Roman" w:eastAsia="Times New Roman" w:hAnsi="Times New Roman"/>
                  <w:sz w:val="15"/>
                  <w:szCs w:val="15"/>
                  <w:color w:val="0000EE"/>
                </w:rPr>
                <w:t>Allseas Investments SA</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auto"/>
              </w:rPr>
              <w:t>10.3+</w:t>
            </w:r>
          </w:p>
        </w:tc>
        <w:tc>
          <w:tcPr>
            <w:tcW w:w="220" w:type="dxa"/>
            <w:vAlign w:val="bottom"/>
            <w:tcBorders>
              <w:right w:val="single" w:sz="8" w:color="CCEEFF"/>
            </w:tcBorders>
            <w:shd w:val="clear" w:color="auto" w:fill="CCEEFF"/>
          </w:tcPr>
          <w:p>
            <w:pPr>
              <w:spacing w:after="0"/>
              <w:rPr>
                <w:sz w:val="12"/>
                <w:szCs w:val="12"/>
                <w:color w:val="auto"/>
              </w:rPr>
            </w:pPr>
          </w:p>
        </w:tc>
        <w:tc>
          <w:tcPr>
            <w:tcW w:w="3700" w:type="dxa"/>
            <w:vAlign w:val="bottom"/>
            <w:gridSpan w:val="22"/>
            <w:shd w:val="clear" w:color="auto" w:fill="CCEEFF"/>
          </w:tcPr>
          <w:p>
            <w:pPr>
              <w:spacing w:after="0" w:line="142" w:lineRule="exact"/>
              <w:rPr>
                <w:rFonts w:ascii="Times New Roman" w:cs="Times New Roman" w:eastAsia="Times New Roman" w:hAnsi="Times New Roman"/>
                <w:sz w:val="15"/>
                <w:szCs w:val="15"/>
                <w:color w:val="0000EE"/>
              </w:rPr>
            </w:pPr>
            <w:hyperlink r:id="rId61">
              <w:r>
                <w:rPr>
                  <w:rFonts w:ascii="Times New Roman" w:cs="Times New Roman" w:eastAsia="Times New Roman" w:hAnsi="Times New Roman"/>
                  <w:sz w:val="15"/>
                  <w:szCs w:val="15"/>
                  <w:color w:val="0000EE"/>
                </w:rPr>
                <w:t>Amendment to the Working Capital Loan Agreement,</w:t>
              </w:r>
            </w:hyperlink>
          </w:p>
        </w:tc>
        <w:tc>
          <w:tcPr>
            <w:tcW w:w="1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center"/>
              <w:ind w:right="140"/>
              <w:spacing w:after="0" w:line="142" w:lineRule="exact"/>
              <w:rPr>
                <w:sz w:val="20"/>
                <w:szCs w:val="20"/>
                <w:color w:val="auto"/>
              </w:rPr>
            </w:pPr>
            <w:r>
              <w:rPr>
                <w:rFonts w:ascii="Times New Roman" w:cs="Times New Roman" w:eastAsia="Times New Roman" w:hAnsi="Times New Roman"/>
                <w:sz w:val="15"/>
                <w:szCs w:val="15"/>
                <w:color w:val="auto"/>
              </w:rPr>
              <w:t>Form 8-K</w:t>
            </w:r>
          </w:p>
        </w:tc>
        <w:tc>
          <w:tcPr>
            <w:tcW w:w="1000" w:type="dxa"/>
            <w:vAlign w:val="bottom"/>
            <w:shd w:val="clear" w:color="auto" w:fill="CCEEFF"/>
          </w:tcPr>
          <w:p>
            <w:pPr>
              <w:jc w:val="right"/>
              <w:ind w:right="224"/>
              <w:spacing w:after="0" w:line="142" w:lineRule="exact"/>
              <w:rPr>
                <w:sz w:val="20"/>
                <w:szCs w:val="20"/>
                <w:color w:val="auto"/>
              </w:rPr>
            </w:pPr>
            <w:r>
              <w:rPr>
                <w:rFonts w:ascii="Times New Roman" w:cs="Times New Roman" w:eastAsia="Times New Roman" w:hAnsi="Times New Roman"/>
                <w:sz w:val="15"/>
                <w:szCs w:val="15"/>
                <w:color w:val="auto"/>
                <w:w w:val="99"/>
              </w:rPr>
              <w:t>10/24/2024</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85"/>
              <w:spacing w:after="0" w:line="142" w:lineRule="exact"/>
              <w:rPr>
                <w:sz w:val="20"/>
                <w:szCs w:val="20"/>
                <w:color w:val="auto"/>
              </w:rPr>
            </w:pPr>
            <w:r>
              <w:rPr>
                <w:rFonts w:ascii="Times New Roman" w:cs="Times New Roman" w:eastAsia="Times New Roman" w:hAnsi="Times New Roman"/>
                <w:sz w:val="15"/>
                <w:szCs w:val="15"/>
                <w:color w:val="auto"/>
              </w:rPr>
              <w:t>001-39281</w:t>
            </w:r>
          </w:p>
        </w:tc>
        <w:tc>
          <w:tcPr>
            <w:tcW w:w="0" w:type="dxa"/>
            <w:vAlign w:val="bottom"/>
          </w:tcPr>
          <w:p>
            <w:pPr>
              <w:spacing w:after="0"/>
              <w:rPr>
                <w:sz w:val="1"/>
                <w:szCs w:val="1"/>
                <w:color w:val="auto"/>
              </w:rPr>
            </w:pPr>
          </w:p>
        </w:tc>
      </w:tr>
      <w:tr>
        <w:trPr>
          <w:trHeight w:val="142"/>
        </w:trPr>
        <w:tc>
          <w:tcPr>
            <w:tcW w:w="26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3280" w:type="dxa"/>
            <w:vAlign w:val="bottom"/>
            <w:tcBorders>
              <w:top w:val="single" w:sz="8" w:color="0000EE"/>
              <w:bottom w:val="single" w:sz="8" w:color="0000EE"/>
            </w:tcBorders>
            <w:gridSpan w:val="10"/>
            <w:shd w:val="clear" w:color="auto" w:fill="CCEEFF"/>
          </w:tcPr>
          <w:p>
            <w:pPr>
              <w:spacing w:after="0" w:line="142" w:lineRule="exact"/>
              <w:rPr>
                <w:rFonts w:ascii="Times New Roman" w:cs="Times New Roman" w:eastAsia="Times New Roman" w:hAnsi="Times New Roman"/>
                <w:sz w:val="15"/>
                <w:szCs w:val="15"/>
                <w:color w:val="0000EE"/>
                <w:w w:val="99"/>
              </w:rPr>
            </w:pPr>
            <w:hyperlink r:id="rId61">
              <w:r>
                <w:rPr>
                  <w:rFonts w:ascii="Times New Roman" w:cs="Times New Roman" w:eastAsia="Times New Roman" w:hAnsi="Times New Roman"/>
                  <w:sz w:val="15"/>
                  <w:szCs w:val="15"/>
                  <w:color w:val="0000EE"/>
                  <w:w w:val="99"/>
                </w:rPr>
                <w:t>dated October 18, 2024, by and between the Company</w:t>
              </w:r>
            </w:hyperlink>
          </w:p>
        </w:tc>
        <w:tc>
          <w:tcPr>
            <w:tcW w:w="20" w:type="dxa"/>
            <w:vAlign w:val="bottom"/>
            <w:tcBorders>
              <w:top w:val="single" w:sz="8" w:color="CCEEFF"/>
              <w:bottom w:val="single" w:sz="8" w:color="0000EE"/>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3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560" w:type="dxa"/>
            <w:vAlign w:val="bottom"/>
            <w:tcBorders>
              <w:top w:val="single" w:sz="8" w:color="CCEEFF"/>
              <w:bottom w:val="single" w:sz="8" w:color="CCEEFF"/>
            </w:tcBorders>
            <w:gridSpan w:val="2"/>
            <w:shd w:val="clear" w:color="auto" w:fill="CCEEFF"/>
          </w:tcPr>
          <w:p>
            <w:pPr>
              <w:jc w:val="center"/>
              <w:ind w:right="140"/>
              <w:spacing w:after="0" w:line="142" w:lineRule="exact"/>
              <w:rPr>
                <w:sz w:val="20"/>
                <w:szCs w:val="20"/>
                <w:color w:val="auto"/>
              </w:rPr>
            </w:pPr>
            <w:r>
              <w:rPr>
                <w:rFonts w:ascii="Times New Roman" w:cs="Times New Roman" w:eastAsia="Times New Roman" w:hAnsi="Times New Roman"/>
                <w:sz w:val="15"/>
                <w:szCs w:val="15"/>
                <w:color w:val="auto"/>
              </w:rPr>
              <w:t>(Exhibit 10.1)</w:t>
            </w:r>
          </w:p>
        </w:tc>
        <w:tc>
          <w:tcPr>
            <w:tcW w:w="10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3300" w:type="dxa"/>
            <w:vAlign w:val="bottom"/>
            <w:gridSpan w:val="11"/>
            <w:shd w:val="clear" w:color="auto" w:fill="CCEEFF"/>
          </w:tcPr>
          <w:p>
            <w:pPr>
              <w:spacing w:after="0" w:line="142" w:lineRule="exact"/>
              <w:rPr>
                <w:rFonts w:ascii="Times New Roman" w:cs="Times New Roman" w:eastAsia="Times New Roman" w:hAnsi="Times New Roman"/>
                <w:sz w:val="15"/>
                <w:szCs w:val="15"/>
                <w:color w:val="0000EE"/>
              </w:rPr>
            </w:pPr>
            <w:hyperlink r:id="rId61">
              <w:r>
                <w:rPr>
                  <w:rFonts w:ascii="Times New Roman" w:cs="Times New Roman" w:eastAsia="Times New Roman" w:hAnsi="Times New Roman"/>
                  <w:sz w:val="15"/>
                  <w:szCs w:val="15"/>
                  <w:color w:val="0000EE"/>
                </w:rPr>
                <w:t>and Allseas Investments SA.</w:t>
              </w:r>
            </w:hyperlink>
          </w:p>
        </w:tc>
        <w:tc>
          <w:tcPr>
            <w:tcW w:w="4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4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auto"/>
              </w:rPr>
              <w:t>10.4+</w:t>
            </w:r>
          </w:p>
        </w:tc>
        <w:tc>
          <w:tcPr>
            <w:tcW w:w="220" w:type="dxa"/>
            <w:vAlign w:val="bottom"/>
            <w:tcBorders>
              <w:right w:val="single" w:sz="8" w:color="CCEEFF"/>
            </w:tcBorders>
            <w:shd w:val="clear" w:color="auto" w:fill="CCEEFF"/>
          </w:tcPr>
          <w:p>
            <w:pPr>
              <w:spacing w:after="0"/>
              <w:rPr>
                <w:sz w:val="12"/>
                <w:szCs w:val="12"/>
                <w:color w:val="auto"/>
              </w:rPr>
            </w:pPr>
          </w:p>
        </w:tc>
        <w:tc>
          <w:tcPr>
            <w:tcW w:w="3700" w:type="dxa"/>
            <w:vAlign w:val="bottom"/>
            <w:gridSpan w:val="22"/>
            <w:shd w:val="clear" w:color="auto" w:fill="CCEEFF"/>
          </w:tcPr>
          <w:p>
            <w:pPr>
              <w:spacing w:after="0" w:line="149" w:lineRule="exact"/>
              <w:rPr>
                <w:rFonts w:ascii="Times New Roman" w:cs="Times New Roman" w:eastAsia="Times New Roman" w:hAnsi="Times New Roman"/>
                <w:sz w:val="15"/>
                <w:szCs w:val="15"/>
                <w:color w:val="0000EE"/>
              </w:rPr>
            </w:pPr>
            <w:hyperlink r:id="rId62">
              <w:r>
                <w:rPr>
                  <w:rFonts w:ascii="Times New Roman" w:cs="Times New Roman" w:eastAsia="Times New Roman" w:hAnsi="Times New Roman"/>
                  <w:sz w:val="15"/>
                  <w:szCs w:val="15"/>
                  <w:color w:val="0000EE"/>
                </w:rPr>
                <w:t>First Amendment to the Unsecured Credit Facility, dated</w:t>
              </w:r>
            </w:hyperlink>
          </w:p>
        </w:tc>
        <w:tc>
          <w:tcPr>
            <w:tcW w:w="1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5"/>
                <w:szCs w:val="15"/>
                <w:color w:val="auto"/>
              </w:rPr>
              <w:t>Form 10-Q</w:t>
            </w:r>
          </w:p>
        </w:tc>
        <w:tc>
          <w:tcPr>
            <w:tcW w:w="1000" w:type="dxa"/>
            <w:vAlign w:val="bottom"/>
            <w:shd w:val="clear" w:color="auto" w:fill="CCEEFF"/>
          </w:tcPr>
          <w:p>
            <w:pPr>
              <w:jc w:val="right"/>
              <w:ind w:right="224"/>
              <w:spacing w:after="0" w:line="149" w:lineRule="exact"/>
              <w:rPr>
                <w:sz w:val="20"/>
                <w:szCs w:val="20"/>
                <w:color w:val="auto"/>
              </w:rPr>
            </w:pPr>
            <w:r>
              <w:rPr>
                <w:rFonts w:ascii="Times New Roman" w:cs="Times New Roman" w:eastAsia="Times New Roman" w:hAnsi="Times New Roman"/>
                <w:sz w:val="15"/>
                <w:szCs w:val="15"/>
                <w:color w:val="auto"/>
                <w:w w:val="99"/>
              </w:rPr>
              <w:t>08/14/2024</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85"/>
              <w:spacing w:after="0" w:line="149" w:lineRule="exact"/>
              <w:rPr>
                <w:sz w:val="20"/>
                <w:szCs w:val="20"/>
                <w:color w:val="auto"/>
              </w:rPr>
            </w:pPr>
            <w:r>
              <w:rPr>
                <w:rFonts w:ascii="Times New Roman" w:cs="Times New Roman" w:eastAsia="Times New Roman" w:hAnsi="Times New Roman"/>
                <w:sz w:val="15"/>
                <w:szCs w:val="15"/>
                <w:color w:val="auto"/>
              </w:rPr>
              <w:t>001-39281</w:t>
            </w:r>
          </w:p>
        </w:tc>
        <w:tc>
          <w:tcPr>
            <w:tcW w:w="0" w:type="dxa"/>
            <w:vAlign w:val="bottom"/>
          </w:tcPr>
          <w:p>
            <w:pPr>
              <w:spacing w:after="0"/>
              <w:rPr>
                <w:sz w:val="1"/>
                <w:szCs w:val="1"/>
                <w:color w:val="auto"/>
              </w:rPr>
            </w:pPr>
          </w:p>
        </w:tc>
      </w:tr>
      <w:tr>
        <w:trPr>
          <w:trHeight w:val="142"/>
        </w:trPr>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3460" w:type="dxa"/>
            <w:vAlign w:val="bottom"/>
            <w:tcBorders>
              <w:top w:val="single" w:sz="8" w:color="0000EE"/>
            </w:tcBorders>
            <w:gridSpan w:val="15"/>
            <w:shd w:val="clear" w:color="auto" w:fill="CCEEFF"/>
          </w:tcPr>
          <w:p>
            <w:pPr>
              <w:spacing w:after="0" w:line="142" w:lineRule="exact"/>
              <w:rPr>
                <w:rFonts w:ascii="Times New Roman" w:cs="Times New Roman" w:eastAsia="Times New Roman" w:hAnsi="Times New Roman"/>
                <w:sz w:val="15"/>
                <w:szCs w:val="15"/>
                <w:color w:val="0000EE"/>
              </w:rPr>
            </w:pPr>
            <w:hyperlink r:id="rId62">
              <w:r>
                <w:rPr>
                  <w:rFonts w:ascii="Times New Roman" w:cs="Times New Roman" w:eastAsia="Times New Roman" w:hAnsi="Times New Roman"/>
                  <w:sz w:val="15"/>
                  <w:szCs w:val="15"/>
                  <w:color w:val="0000EE"/>
                </w:rPr>
                <w:t>August 13, 2024, by and between TMC the metals</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CCEEFF"/>
            </w:tcBorders>
            <w:gridSpan w:val="2"/>
            <w:shd w:val="clear" w:color="auto" w:fill="CCEEFF"/>
          </w:tcPr>
          <w:p>
            <w:pPr>
              <w:jc w:val="center"/>
              <w:ind w:right="140"/>
              <w:spacing w:after="0" w:line="142" w:lineRule="exact"/>
              <w:rPr>
                <w:sz w:val="20"/>
                <w:szCs w:val="20"/>
                <w:color w:val="auto"/>
              </w:rPr>
            </w:pPr>
            <w:r>
              <w:rPr>
                <w:rFonts w:ascii="Times New Roman" w:cs="Times New Roman" w:eastAsia="Times New Roman" w:hAnsi="Times New Roman"/>
                <w:sz w:val="15"/>
                <w:szCs w:val="15"/>
                <w:color w:val="auto"/>
              </w:rPr>
              <w:t>(Exhibit 10.5)</w:t>
            </w:r>
          </w:p>
        </w:tc>
        <w:tc>
          <w:tcPr>
            <w:tcW w:w="10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3080" w:type="dxa"/>
            <w:vAlign w:val="bottom"/>
            <w:tcBorders>
              <w:top w:val="single" w:sz="8" w:color="0000EE"/>
            </w:tcBorders>
            <w:gridSpan w:val="9"/>
            <w:shd w:val="clear" w:color="auto" w:fill="CCEEFF"/>
          </w:tcPr>
          <w:p>
            <w:pPr>
              <w:spacing w:after="0" w:line="142" w:lineRule="exact"/>
              <w:rPr>
                <w:rFonts w:ascii="Times New Roman" w:cs="Times New Roman" w:eastAsia="Times New Roman" w:hAnsi="Times New Roman"/>
                <w:sz w:val="15"/>
                <w:szCs w:val="15"/>
                <w:color w:val="0000EE"/>
                <w:w w:val="97"/>
              </w:rPr>
            </w:pPr>
            <w:hyperlink r:id="rId62">
              <w:r>
                <w:rPr>
                  <w:rFonts w:ascii="Times New Roman" w:cs="Times New Roman" w:eastAsia="Times New Roman" w:hAnsi="Times New Roman"/>
                  <w:sz w:val="15"/>
                  <w:szCs w:val="15"/>
                  <w:color w:val="0000EE"/>
                  <w:w w:val="97"/>
                </w:rPr>
                <w:t>company Inc. and Gerard Barron and ERAS Capital</w:t>
              </w:r>
            </w:hyperlink>
          </w:p>
        </w:tc>
        <w:tc>
          <w:tcPr>
            <w:tcW w:w="620" w:type="dxa"/>
            <w:vAlign w:val="bottom"/>
            <w:tcBorders>
              <w:top w:val="single" w:sz="8" w:color="CCEEFF"/>
            </w:tcBorders>
            <w:gridSpan w:val="13"/>
            <w:shd w:val="clear" w:color="auto" w:fill="CCEEFF"/>
          </w:tcPr>
          <w:p>
            <w:pPr>
              <w:ind w:left="120"/>
              <w:spacing w:after="0" w:line="142" w:lineRule="exact"/>
              <w:rPr>
                <w:rFonts w:ascii="Times New Roman" w:cs="Times New Roman" w:eastAsia="Times New Roman" w:hAnsi="Times New Roman"/>
                <w:sz w:val="15"/>
                <w:szCs w:val="15"/>
                <w:color w:val="0000EE"/>
              </w:rPr>
            </w:pPr>
            <w:hyperlink r:id="rId62">
              <w:r>
                <w:rPr>
                  <w:rFonts w:ascii="Times New Roman" w:cs="Times New Roman" w:eastAsia="Times New Roman" w:hAnsi="Times New Roman"/>
                  <w:sz w:val="15"/>
                  <w:szCs w:val="15"/>
                  <w:color w:val="0000EE"/>
                </w:rPr>
                <w:t>LLC</w:t>
              </w:r>
            </w:hyperlink>
          </w:p>
        </w:tc>
        <w:tc>
          <w:tcPr>
            <w:tcW w:w="1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90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4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31.</w:t>
            </w:r>
            <w:r>
              <w:rPr>
                <w:rFonts w:ascii="Times New Roman" w:cs="Times New Roman" w:eastAsia="Times New Roman" w:hAnsi="Times New Roman"/>
                <w:sz w:val="15"/>
                <w:szCs w:val="15"/>
                <w:u w:val="single" w:color="auto"/>
                <w:color w:val="0000EE"/>
              </w:rPr>
              <w:t>1</w:t>
            </w:r>
          </w:p>
        </w:tc>
        <w:tc>
          <w:tcPr>
            <w:tcW w:w="220" w:type="dxa"/>
            <w:vAlign w:val="bottom"/>
            <w:tcBorders>
              <w:right w:val="single" w:sz="8" w:color="CCEEFF"/>
            </w:tcBorders>
            <w:shd w:val="clear" w:color="auto" w:fill="CCEEFF"/>
          </w:tcPr>
          <w:p>
            <w:pPr>
              <w:spacing w:after="0"/>
              <w:rPr>
                <w:sz w:val="12"/>
                <w:szCs w:val="12"/>
                <w:color w:val="auto"/>
              </w:rPr>
            </w:pPr>
          </w:p>
        </w:tc>
        <w:tc>
          <w:tcPr>
            <w:tcW w:w="3700" w:type="dxa"/>
            <w:vAlign w:val="bottom"/>
            <w:gridSpan w:val="22"/>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Certification of the Principal Executive Officer pursuant</w:t>
            </w:r>
          </w:p>
        </w:tc>
        <w:tc>
          <w:tcPr>
            <w:tcW w:w="14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5"/>
                <w:szCs w:val="15"/>
                <w:color w:val="auto"/>
                <w:w w:val="91"/>
              </w:rPr>
              <w:t>X</w:t>
            </w: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top w:val="single" w:sz="8" w:color="0000EE"/>
              <w:bottom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3040" w:type="dxa"/>
            <w:vAlign w:val="bottom"/>
            <w:tcBorders>
              <w:top w:val="single" w:sz="8" w:color="0000EE"/>
              <w:bottom w:val="single" w:sz="8" w:color="0000EE"/>
            </w:tcBorders>
            <w:gridSpan w:val="7"/>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0000EE"/>
              </w:rPr>
              <w:t>to Section 302 of the Sarbanes-Oxley Act of 2002</w:t>
            </w:r>
          </w:p>
        </w:tc>
        <w:tc>
          <w:tcPr>
            <w:tcW w:w="380" w:type="dxa"/>
            <w:vAlign w:val="bottom"/>
            <w:tcBorders>
              <w:top w:val="single" w:sz="8" w:color="0000EE"/>
              <w:bottom w:val="single" w:sz="8" w:color="CCEEFF"/>
            </w:tcBorders>
            <w:gridSpan w:val="7"/>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5"/>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3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gridSpan w:val="2"/>
          </w:tcPr>
          <w:p>
            <w:pPr>
              <w:spacing w:after="0" w:line="142" w:lineRule="exact"/>
              <w:rPr>
                <w:sz w:val="20"/>
                <w:szCs w:val="20"/>
                <w:color w:val="auto"/>
              </w:rPr>
            </w:pPr>
            <w:r>
              <w:rPr>
                <w:rFonts w:ascii="Times New Roman" w:cs="Times New Roman" w:eastAsia="Times New Roman" w:hAnsi="Times New Roman"/>
                <w:sz w:val="15"/>
                <w:szCs w:val="15"/>
                <w:color w:val="0000EE"/>
              </w:rPr>
              <w:t>31.</w:t>
            </w:r>
            <w:r>
              <w:rPr>
                <w:rFonts w:ascii="Times New Roman" w:cs="Times New Roman" w:eastAsia="Times New Roman" w:hAnsi="Times New Roman"/>
                <w:sz w:val="15"/>
                <w:szCs w:val="15"/>
                <w:u w:val="single" w:color="auto"/>
                <w:color w:val="0000EE"/>
              </w:rPr>
              <w:t>2</w:t>
            </w:r>
          </w:p>
        </w:tc>
        <w:tc>
          <w:tcPr>
            <w:tcW w:w="220" w:type="dxa"/>
            <w:vAlign w:val="bottom"/>
          </w:tcPr>
          <w:p>
            <w:pPr>
              <w:spacing w:after="0"/>
              <w:rPr>
                <w:sz w:val="12"/>
                <w:szCs w:val="12"/>
                <w:color w:val="auto"/>
              </w:rPr>
            </w:pPr>
          </w:p>
        </w:tc>
        <w:tc>
          <w:tcPr>
            <w:tcW w:w="3700" w:type="dxa"/>
            <w:vAlign w:val="bottom"/>
            <w:gridSpan w:val="22"/>
          </w:tcPr>
          <w:p>
            <w:pPr>
              <w:spacing w:after="0" w:line="142" w:lineRule="exact"/>
              <w:rPr>
                <w:sz w:val="20"/>
                <w:szCs w:val="20"/>
                <w:color w:val="auto"/>
              </w:rPr>
            </w:pPr>
            <w:r>
              <w:rPr>
                <w:rFonts w:ascii="Times New Roman" w:cs="Times New Roman" w:eastAsia="Times New Roman" w:hAnsi="Times New Roman"/>
                <w:sz w:val="15"/>
                <w:szCs w:val="15"/>
                <w:color w:val="0000EE"/>
              </w:rPr>
              <w:t>Certification of the Principal Financial Officer pursuant to</w:t>
            </w:r>
          </w:p>
        </w:tc>
        <w:tc>
          <w:tcPr>
            <w:tcW w:w="14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5"/>
                <w:szCs w:val="15"/>
                <w:color w:val="auto"/>
                <w:w w:val="91"/>
              </w:rPr>
              <w:t>X</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top w:val="single" w:sz="8" w:color="0000EE"/>
            </w:tcBorders>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80" w:type="dxa"/>
            <w:vAlign w:val="bottom"/>
            <w:tcBorders>
              <w:top w:val="single" w:sz="8" w:color="0000EE"/>
              <w:bottom w:val="single" w:sz="8" w:color="0000EE"/>
            </w:tcBorders>
            <w:gridSpan w:val="6"/>
          </w:tcPr>
          <w:p>
            <w:pPr>
              <w:spacing w:after="0" w:line="142" w:lineRule="exact"/>
              <w:rPr>
                <w:sz w:val="20"/>
                <w:szCs w:val="20"/>
                <w:color w:val="auto"/>
              </w:rPr>
            </w:pPr>
            <w:r>
              <w:rPr>
                <w:rFonts w:ascii="Times New Roman" w:cs="Times New Roman" w:eastAsia="Times New Roman" w:hAnsi="Times New Roman"/>
                <w:sz w:val="15"/>
                <w:szCs w:val="15"/>
                <w:color w:val="0000EE"/>
              </w:rPr>
              <w:t>Section 302 of the Sarbanes-Oxley Act of 2002</w:t>
            </w:r>
          </w:p>
        </w:tc>
        <w:tc>
          <w:tcPr>
            <w:tcW w:w="660" w:type="dxa"/>
            <w:vAlign w:val="bottom"/>
            <w:tcBorders>
              <w:top w:val="single" w:sz="8" w:color="0000EE"/>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right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0000EE"/>
                <w:w w:val="97"/>
              </w:rPr>
              <w:t>32*</w:t>
            </w:r>
          </w:p>
        </w:tc>
        <w:tc>
          <w:tcPr>
            <w:tcW w:w="5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3700" w:type="dxa"/>
            <w:vAlign w:val="bottom"/>
            <w:gridSpan w:val="22"/>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0000EE"/>
              </w:rPr>
              <w:t>Certifications of the Chief Executive Officer and Chief</w:t>
            </w:r>
          </w:p>
        </w:tc>
        <w:tc>
          <w:tcPr>
            <w:tcW w:w="1480" w:type="dxa"/>
            <w:vAlign w:val="bottom"/>
            <w:gridSpan w:val="2"/>
            <w:shd w:val="clear" w:color="auto" w:fill="CCEEFF"/>
          </w:tcPr>
          <w:p>
            <w:pPr>
              <w:jc w:val="center"/>
              <w:ind w:right="140"/>
              <w:spacing w:after="0" w:line="142" w:lineRule="exact"/>
              <w:rPr>
                <w:sz w:val="20"/>
                <w:szCs w:val="20"/>
                <w:color w:val="auto"/>
              </w:rPr>
            </w:pPr>
            <w:r>
              <w:rPr>
                <w:rFonts w:ascii="Times New Roman" w:cs="Times New Roman" w:eastAsia="Times New Roman" w:hAnsi="Times New Roman"/>
                <w:sz w:val="15"/>
                <w:szCs w:val="15"/>
                <w:color w:val="auto"/>
                <w:w w:val="91"/>
              </w:rPr>
              <w:t>X</w:t>
            </w: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Borders>
              <w:right w:val="single" w:sz="8" w:color="CCEEFF"/>
            </w:tcBorders>
            <w:shd w:val="clear" w:color="auto" w:fill="0000EE"/>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40" w:type="dxa"/>
            <w:vAlign w:val="bottom"/>
            <w:gridSpan w:val="10"/>
            <w:shd w:val="clear" w:color="auto" w:fill="0000EE"/>
          </w:tcPr>
          <w:p>
            <w:pPr>
              <w:spacing w:after="0" w:line="20" w:lineRule="exact"/>
              <w:rPr>
                <w:sz w:val="1"/>
                <w:szCs w:val="1"/>
                <w:color w:val="auto"/>
              </w:rPr>
            </w:pPr>
          </w:p>
        </w:tc>
        <w:tc>
          <w:tcPr>
            <w:tcW w:w="220" w:type="dxa"/>
            <w:vAlign w:val="bottom"/>
            <w:gridSpan w:val="7"/>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3700" w:type="dxa"/>
            <w:vAlign w:val="bottom"/>
            <w:gridSpan w:val="22"/>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0000EE"/>
              </w:rPr>
              <w:t>Financial Officer pursuant to Section 906 of the Sarbanes-</w:t>
            </w:r>
          </w:p>
        </w:tc>
        <w:tc>
          <w:tcPr>
            <w:tcW w:w="1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3560" w:type="dxa"/>
            <w:vAlign w:val="bottom"/>
            <w:tcBorders>
              <w:top w:val="single" w:sz="8" w:color="0000EE"/>
            </w:tcBorders>
            <w:gridSpan w:val="20"/>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0000EE"/>
              </w:rPr>
              <w:t>Oxley Act of 2002</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980" w:type="dxa"/>
            <w:vAlign w:val="bottom"/>
            <w:gridSpan w:val="3"/>
          </w:tcPr>
          <w:p>
            <w:pPr>
              <w:spacing w:after="0" w:line="138" w:lineRule="exact"/>
              <w:rPr>
                <w:sz w:val="20"/>
                <w:szCs w:val="20"/>
                <w:color w:val="auto"/>
              </w:rPr>
            </w:pPr>
            <w:r>
              <w:rPr>
                <w:rFonts w:ascii="Times New Roman" w:cs="Times New Roman" w:eastAsia="Times New Roman" w:hAnsi="Times New Roman"/>
                <w:sz w:val="15"/>
                <w:szCs w:val="15"/>
                <w:color w:val="auto"/>
              </w:rPr>
              <w:t>101.INS</w:t>
            </w:r>
          </w:p>
        </w:tc>
        <w:tc>
          <w:tcPr>
            <w:tcW w:w="3700" w:type="dxa"/>
            <w:vAlign w:val="bottom"/>
            <w:gridSpan w:val="22"/>
          </w:tcPr>
          <w:p>
            <w:pPr>
              <w:spacing w:after="0" w:line="138" w:lineRule="exact"/>
              <w:rPr>
                <w:sz w:val="20"/>
                <w:szCs w:val="20"/>
                <w:color w:val="auto"/>
              </w:rPr>
            </w:pPr>
            <w:r>
              <w:rPr>
                <w:rFonts w:ascii="Times New Roman" w:cs="Times New Roman" w:eastAsia="Times New Roman" w:hAnsi="Times New Roman"/>
                <w:sz w:val="15"/>
                <w:szCs w:val="15"/>
                <w:color w:val="auto"/>
              </w:rPr>
              <w:t>Inline XBRL Instance Document (the instance document</w:t>
            </w:r>
          </w:p>
        </w:tc>
        <w:tc>
          <w:tcPr>
            <w:tcW w:w="1480" w:type="dxa"/>
            <w:vAlign w:val="bottom"/>
            <w:gridSpan w:val="2"/>
          </w:tcPr>
          <w:p>
            <w:pPr>
              <w:jc w:val="center"/>
              <w:ind w:right="140"/>
              <w:spacing w:after="0" w:line="138" w:lineRule="exact"/>
              <w:rPr>
                <w:sz w:val="20"/>
                <w:szCs w:val="20"/>
                <w:color w:val="auto"/>
              </w:rPr>
            </w:pPr>
            <w:r>
              <w:rPr>
                <w:rFonts w:ascii="Times New Roman" w:cs="Times New Roman" w:eastAsia="Times New Roman" w:hAnsi="Times New Roman"/>
                <w:sz w:val="15"/>
                <w:szCs w:val="15"/>
                <w:color w:val="auto"/>
                <w:w w:val="91"/>
              </w:rPr>
              <w:t>X</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00" w:type="dxa"/>
            <w:vAlign w:val="bottom"/>
            <w:gridSpan w:val="22"/>
          </w:tcPr>
          <w:p>
            <w:pPr>
              <w:spacing w:after="0" w:line="162" w:lineRule="exact"/>
              <w:rPr>
                <w:sz w:val="20"/>
                <w:szCs w:val="20"/>
                <w:color w:val="auto"/>
              </w:rPr>
            </w:pPr>
            <w:r>
              <w:rPr>
                <w:rFonts w:ascii="Times New Roman" w:cs="Times New Roman" w:eastAsia="Times New Roman" w:hAnsi="Times New Roman"/>
                <w:sz w:val="15"/>
                <w:szCs w:val="15"/>
                <w:color w:val="auto"/>
              </w:rPr>
              <w:t>does not appear in the Interactive Data File because its</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00" w:type="dxa"/>
            <w:vAlign w:val="bottom"/>
            <w:gridSpan w:val="22"/>
          </w:tcPr>
          <w:p>
            <w:pPr>
              <w:spacing w:after="0" w:line="162" w:lineRule="exact"/>
              <w:rPr>
                <w:sz w:val="20"/>
                <w:szCs w:val="20"/>
                <w:color w:val="auto"/>
              </w:rPr>
            </w:pPr>
            <w:r>
              <w:rPr>
                <w:rFonts w:ascii="Times New Roman" w:cs="Times New Roman" w:eastAsia="Times New Roman" w:hAnsi="Times New Roman"/>
                <w:sz w:val="15"/>
                <w:szCs w:val="15"/>
                <w:color w:val="auto"/>
              </w:rPr>
              <w:t>XBRL tags are embedded within the Inline XBRL</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00" w:type="dxa"/>
            <w:vAlign w:val="bottom"/>
            <w:gridSpan w:val="22"/>
          </w:tcPr>
          <w:p>
            <w:pPr>
              <w:spacing w:after="0"/>
              <w:rPr>
                <w:sz w:val="20"/>
                <w:szCs w:val="20"/>
                <w:color w:val="auto"/>
              </w:rPr>
            </w:pPr>
            <w:r>
              <w:rPr>
                <w:rFonts w:ascii="Times New Roman" w:cs="Times New Roman" w:eastAsia="Times New Roman" w:hAnsi="Times New Roman"/>
                <w:sz w:val="15"/>
                <w:szCs w:val="15"/>
                <w:color w:val="auto"/>
              </w:rPr>
              <w:t>document)</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80" w:type="dxa"/>
            <w:vAlign w:val="bottom"/>
            <w:tcBorders>
              <w:right w:val="single" w:sz="8" w:color="CCEEFF"/>
            </w:tcBorders>
            <w:gridSpan w:val="3"/>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101.SCH</w:t>
            </w:r>
          </w:p>
        </w:tc>
        <w:tc>
          <w:tcPr>
            <w:tcW w:w="3700" w:type="dxa"/>
            <w:vAlign w:val="bottom"/>
            <w:gridSpan w:val="2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Inline XBRL Taxonomy Extension Schema Document</w:t>
            </w:r>
          </w:p>
        </w:tc>
        <w:tc>
          <w:tcPr>
            <w:tcW w:w="1480" w:type="dxa"/>
            <w:vAlign w:val="bottom"/>
            <w:gridSpan w:val="2"/>
            <w:shd w:val="clear" w:color="auto" w:fill="CCEEFF"/>
          </w:tcPr>
          <w:p>
            <w:pPr>
              <w:jc w:val="center"/>
              <w:ind w:right="140"/>
              <w:spacing w:after="0" w:line="162" w:lineRule="exact"/>
              <w:rPr>
                <w:sz w:val="20"/>
                <w:szCs w:val="20"/>
                <w:color w:val="auto"/>
              </w:rPr>
            </w:pPr>
            <w:r>
              <w:rPr>
                <w:rFonts w:ascii="Times New Roman" w:cs="Times New Roman" w:eastAsia="Times New Roman" w:hAnsi="Times New Roman"/>
                <w:sz w:val="15"/>
                <w:szCs w:val="15"/>
                <w:color w:val="auto"/>
                <w:w w:val="91"/>
              </w:rPr>
              <w:t>X</w:t>
            </w:r>
          </w:p>
        </w:tc>
        <w:tc>
          <w:tcPr>
            <w:tcW w:w="1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980" w:type="dxa"/>
            <w:vAlign w:val="bottom"/>
            <w:gridSpan w:val="3"/>
          </w:tcPr>
          <w:p>
            <w:pPr>
              <w:spacing w:after="0" w:line="145" w:lineRule="exact"/>
              <w:rPr>
                <w:sz w:val="20"/>
                <w:szCs w:val="20"/>
                <w:color w:val="auto"/>
              </w:rPr>
            </w:pPr>
            <w:r>
              <w:rPr>
                <w:rFonts w:ascii="Times New Roman" w:cs="Times New Roman" w:eastAsia="Times New Roman" w:hAnsi="Times New Roman"/>
                <w:sz w:val="15"/>
                <w:szCs w:val="15"/>
                <w:color w:val="auto"/>
              </w:rPr>
              <w:t>101.CAL</w:t>
            </w:r>
          </w:p>
        </w:tc>
        <w:tc>
          <w:tcPr>
            <w:tcW w:w="3700" w:type="dxa"/>
            <w:vAlign w:val="bottom"/>
            <w:gridSpan w:val="22"/>
          </w:tcPr>
          <w:p>
            <w:pPr>
              <w:spacing w:after="0" w:line="145" w:lineRule="exact"/>
              <w:rPr>
                <w:sz w:val="20"/>
                <w:szCs w:val="20"/>
                <w:color w:val="auto"/>
              </w:rPr>
            </w:pPr>
            <w:r>
              <w:rPr>
                <w:rFonts w:ascii="Times New Roman" w:cs="Times New Roman" w:eastAsia="Times New Roman" w:hAnsi="Times New Roman"/>
                <w:sz w:val="15"/>
                <w:szCs w:val="15"/>
                <w:color w:val="auto"/>
              </w:rPr>
              <w:t>Inline XBRL Taxonomy Extension Calculation Linkbase</w:t>
            </w:r>
          </w:p>
        </w:tc>
        <w:tc>
          <w:tcPr>
            <w:tcW w:w="148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5"/>
                <w:szCs w:val="15"/>
                <w:color w:val="auto"/>
                <w:w w:val="91"/>
              </w:rPr>
              <w:t>X</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00" w:type="dxa"/>
            <w:vAlign w:val="bottom"/>
            <w:gridSpan w:val="22"/>
          </w:tcPr>
          <w:p>
            <w:pPr>
              <w:spacing w:after="0"/>
              <w:rPr>
                <w:sz w:val="20"/>
                <w:szCs w:val="20"/>
                <w:color w:val="auto"/>
              </w:rPr>
            </w:pPr>
            <w:r>
              <w:rPr>
                <w:rFonts w:ascii="Times New Roman" w:cs="Times New Roman" w:eastAsia="Times New Roman" w:hAnsi="Times New Roman"/>
                <w:sz w:val="15"/>
                <w:szCs w:val="15"/>
                <w:color w:val="auto"/>
              </w:rPr>
              <w:t>Document</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980" w:type="dxa"/>
            <w:vAlign w:val="bottom"/>
            <w:tcBorders>
              <w:right w:val="single" w:sz="8" w:color="CCEEFF"/>
            </w:tcBorders>
            <w:gridSpan w:val="3"/>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101.DEF</w:t>
            </w:r>
          </w:p>
        </w:tc>
        <w:tc>
          <w:tcPr>
            <w:tcW w:w="3700" w:type="dxa"/>
            <w:vAlign w:val="bottom"/>
            <w:gridSpan w:val="22"/>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Inline XBRL Taxonomy Extension Definition Linkbase</w:t>
            </w:r>
          </w:p>
        </w:tc>
        <w:tc>
          <w:tcPr>
            <w:tcW w:w="1480" w:type="dxa"/>
            <w:vAlign w:val="bottom"/>
            <w:gridSpan w:val="2"/>
            <w:shd w:val="clear" w:color="auto" w:fill="CCEEFF"/>
          </w:tcPr>
          <w:p>
            <w:pPr>
              <w:jc w:val="center"/>
              <w:ind w:right="140"/>
              <w:spacing w:after="0" w:line="145" w:lineRule="exact"/>
              <w:rPr>
                <w:sz w:val="20"/>
                <w:szCs w:val="20"/>
                <w:color w:val="auto"/>
              </w:rPr>
            </w:pPr>
            <w:r>
              <w:rPr>
                <w:rFonts w:ascii="Times New Roman" w:cs="Times New Roman" w:eastAsia="Times New Roman" w:hAnsi="Times New Roman"/>
                <w:sz w:val="15"/>
                <w:szCs w:val="15"/>
                <w:color w:val="auto"/>
                <w:w w:val="91"/>
              </w:rPr>
              <w:t>X</w:t>
            </w: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60" w:type="dxa"/>
            <w:vAlign w:val="bottom"/>
            <w:tcBorders>
              <w:right w:val="single" w:sz="8" w:color="CCEEFF"/>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37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5"/>
                <w:szCs w:val="15"/>
                <w:color w:val="auto"/>
              </w:rPr>
              <w:t>Document</w:t>
            </w:r>
          </w:p>
        </w:tc>
        <w:tc>
          <w:tcPr>
            <w:tcW w:w="1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980" w:type="dxa"/>
            <w:vAlign w:val="bottom"/>
            <w:gridSpan w:val="3"/>
          </w:tcPr>
          <w:p>
            <w:pPr>
              <w:spacing w:after="0" w:line="145" w:lineRule="exact"/>
              <w:rPr>
                <w:sz w:val="20"/>
                <w:szCs w:val="20"/>
                <w:color w:val="auto"/>
              </w:rPr>
            </w:pPr>
            <w:r>
              <w:rPr>
                <w:rFonts w:ascii="Times New Roman" w:cs="Times New Roman" w:eastAsia="Times New Roman" w:hAnsi="Times New Roman"/>
                <w:sz w:val="15"/>
                <w:szCs w:val="15"/>
                <w:color w:val="auto"/>
              </w:rPr>
              <w:t>101.LAB</w:t>
            </w:r>
          </w:p>
        </w:tc>
        <w:tc>
          <w:tcPr>
            <w:tcW w:w="3700" w:type="dxa"/>
            <w:vAlign w:val="bottom"/>
            <w:gridSpan w:val="22"/>
          </w:tcPr>
          <w:p>
            <w:pPr>
              <w:spacing w:after="0" w:line="145" w:lineRule="exact"/>
              <w:rPr>
                <w:sz w:val="20"/>
                <w:szCs w:val="20"/>
                <w:color w:val="auto"/>
              </w:rPr>
            </w:pPr>
            <w:r>
              <w:rPr>
                <w:rFonts w:ascii="Times New Roman" w:cs="Times New Roman" w:eastAsia="Times New Roman" w:hAnsi="Times New Roman"/>
                <w:sz w:val="15"/>
                <w:szCs w:val="15"/>
                <w:color w:val="auto"/>
              </w:rPr>
              <w:t>Inline XBRL Taxonomy Extension Label Linkbase</w:t>
            </w:r>
          </w:p>
        </w:tc>
        <w:tc>
          <w:tcPr>
            <w:tcW w:w="148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5"/>
                <w:szCs w:val="15"/>
                <w:color w:val="auto"/>
                <w:w w:val="91"/>
              </w:rPr>
              <w:t>X</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00" w:type="dxa"/>
            <w:vAlign w:val="bottom"/>
            <w:gridSpan w:val="22"/>
          </w:tcPr>
          <w:p>
            <w:pPr>
              <w:spacing w:after="0"/>
              <w:rPr>
                <w:sz w:val="20"/>
                <w:szCs w:val="20"/>
                <w:color w:val="auto"/>
              </w:rPr>
            </w:pPr>
            <w:r>
              <w:rPr>
                <w:rFonts w:ascii="Times New Roman" w:cs="Times New Roman" w:eastAsia="Times New Roman" w:hAnsi="Times New Roman"/>
                <w:sz w:val="15"/>
                <w:szCs w:val="15"/>
                <w:color w:val="auto"/>
              </w:rPr>
              <w:t>Document</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60" w:type="dxa"/>
            <w:vAlign w:val="bottom"/>
            <w:tcBorders>
              <w:right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w w:val="97"/>
              </w:rPr>
              <w:t>104</w:t>
            </w:r>
          </w:p>
        </w:tc>
        <w:tc>
          <w:tcPr>
            <w:tcW w:w="5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3700" w:type="dxa"/>
            <w:vAlign w:val="bottom"/>
            <w:gridSpan w:val="22"/>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Cover Page Interactive Data File (embedded within the</w:t>
            </w:r>
          </w:p>
        </w:tc>
        <w:tc>
          <w:tcPr>
            <w:tcW w:w="1480" w:type="dxa"/>
            <w:vAlign w:val="bottom"/>
            <w:gridSpan w:val="2"/>
            <w:shd w:val="clear" w:color="auto" w:fill="CCEEFF"/>
          </w:tcPr>
          <w:p>
            <w:pPr>
              <w:jc w:val="center"/>
              <w:ind w:right="140"/>
              <w:spacing w:after="0" w:line="145" w:lineRule="exact"/>
              <w:rPr>
                <w:sz w:val="20"/>
                <w:szCs w:val="20"/>
                <w:color w:val="auto"/>
              </w:rPr>
            </w:pPr>
            <w:r>
              <w:rPr>
                <w:rFonts w:ascii="Times New Roman" w:cs="Times New Roman" w:eastAsia="Times New Roman" w:hAnsi="Times New Roman"/>
                <w:sz w:val="15"/>
                <w:szCs w:val="15"/>
                <w:color w:val="auto"/>
                <w:w w:val="91"/>
              </w:rPr>
              <w:t>X</w:t>
            </w: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60" w:type="dxa"/>
            <w:vAlign w:val="bottom"/>
            <w:tcBorders>
              <w:right w:val="single" w:sz="8" w:color="CCEEFF"/>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37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document)</w:t>
            </w:r>
          </w:p>
        </w:tc>
        <w:tc>
          <w:tcPr>
            <w:tcW w:w="1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firstLine="8"/>
        <w:spacing w:after="0" w:line="282" w:lineRule="auto"/>
        <w:tabs>
          <w:tab w:leader="none" w:pos="18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by means of marking such portions with brackets (“[***]”) because the identified confidential portions (i) are not material and (ii) is the type of information that the Company treats as private or confidential.</w:t>
      </w:r>
    </w:p>
    <w:p>
      <w:pPr>
        <w:spacing w:after="0" w:line="162" w:lineRule="exact"/>
        <w:rPr>
          <w:sz w:val="20"/>
          <w:szCs w:val="20"/>
          <w:color w:val="auto"/>
        </w:rPr>
      </w:pPr>
    </w:p>
    <w:p>
      <w:pPr>
        <w:ind w:firstLine="8"/>
        <w:spacing w:after="0" w:line="282" w:lineRule="auto"/>
        <w:tabs>
          <w:tab w:leader="none" w:pos="1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21" w:lineRule="exact"/>
        <w:rPr>
          <w:sz w:val="20"/>
          <w:szCs w:val="20"/>
          <w:color w:val="auto"/>
        </w:rPr>
      </w:pPr>
    </w:p>
    <w:p>
      <w:pPr>
        <w:jc w:val="both"/>
        <w:ind w:firstLine="8"/>
        <w:spacing w:after="0" w:line="261" w:lineRule="auto"/>
        <w:tabs>
          <w:tab w:leader="none" w:pos="1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 that accompany this Quarterly Report on Form 10-Q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644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15, 2024</w:t>
            </w:r>
          </w:p>
        </w:tc>
        <w:tc>
          <w:tcPr>
            <w:tcW w:w="64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  /s/ Gerard Barron</w:t>
            </w:r>
          </w:p>
        </w:tc>
      </w:tr>
      <w:tr>
        <w:trPr>
          <w:trHeight w:val="191"/>
        </w:trPr>
        <w:tc>
          <w:tcPr>
            <w:tcW w:w="34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34"/>
        </w:trPr>
        <w:tc>
          <w:tcPr>
            <w:tcW w:w="3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15, 2024</w:t>
            </w:r>
          </w:p>
        </w:tc>
        <w:tc>
          <w:tcPr>
            <w:tcW w:w="64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  /s/ Craig Shesky</w:t>
            </w:r>
          </w:p>
        </w:tc>
      </w:tr>
      <w:tr>
        <w:trPr>
          <w:trHeight w:val="191"/>
        </w:trPr>
        <w:tc>
          <w:tcPr>
            <w:tcW w:w="34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Gerard Barron, certify that:</w:t>
      </w:r>
    </w:p>
    <w:p>
      <w:pPr>
        <w:spacing w:after="0" w:line="225"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TMC the metals company Inc;</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9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656"/>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3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1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jc w:val="both"/>
        <w:ind w:firstLine="656"/>
        <w:spacing w:after="0" w:line="266" w:lineRule="auto"/>
        <w:tabs>
          <w:tab w:leader="none" w:pos="9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jc w:val="both"/>
        <w:ind w:firstLine="656"/>
        <w:spacing w:after="0" w:line="282" w:lineRule="auto"/>
        <w:tabs>
          <w:tab w:leader="none" w:pos="10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9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Gerard Barron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Chief Executive Officer </w:t>
      </w: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Shesky, certify that:</w:t>
      </w:r>
    </w:p>
    <w:p>
      <w:pPr>
        <w:spacing w:after="0" w:line="225" w:lineRule="exact"/>
        <w:rPr>
          <w:sz w:val="20"/>
          <w:szCs w:val="20"/>
          <w:color w:val="auto"/>
        </w:rPr>
      </w:pPr>
    </w:p>
    <w:p>
      <w:pPr>
        <w:ind w:left="1020" w:hanging="36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TMC the metals company Inc.;</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9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656"/>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1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7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jc w:val="both"/>
        <w:ind w:firstLine="656"/>
        <w:spacing w:after="0" w:line="266" w:lineRule="auto"/>
        <w:tabs>
          <w:tab w:leader="none" w:pos="97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jc w:val="both"/>
        <w:ind w:firstLine="656"/>
        <w:spacing w:after="0" w:line="282" w:lineRule="auto"/>
        <w:tabs>
          <w:tab w:leader="none" w:pos="9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9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Shesky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Chief Financial Officer </w:t>
      </w: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TMC the metals company Inc., a British Columbia, Canada corporation (the “Company”), does hereby certify, to such officer’s knowledge, that: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Quarterly Report for the quarter ended September 30, 2024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76"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Dated: November 15, 2024</w:t>
      </w:r>
      <w:r>
        <w:rPr>
          <w:sz w:val="20"/>
          <w:szCs w:val="20"/>
          <w:color w:val="auto"/>
        </w:rPr>
        <w:tab/>
      </w:r>
      <w:r>
        <w:rPr>
          <w:rFonts w:ascii="Times New Roman" w:cs="Times New Roman" w:eastAsia="Times New Roman" w:hAnsi="Times New Roman"/>
          <w:sz w:val="17"/>
          <w:szCs w:val="17"/>
          <w:color w:val="auto"/>
        </w:rPr>
        <w:t>/s/ Gerard Barron</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Dated: November 15, 2024</w:t>
      </w:r>
      <w:r>
        <w:rPr>
          <w:sz w:val="20"/>
          <w:szCs w:val="20"/>
          <w:color w:val="auto"/>
        </w:rPr>
        <w:tab/>
      </w:r>
      <w:r>
        <w:rPr>
          <w:rFonts w:ascii="Times New Roman" w:cs="Times New Roman" w:eastAsia="Times New Roman" w:hAnsi="Times New Roman"/>
          <w:sz w:val="17"/>
          <w:szCs w:val="17"/>
          <w:color w:val="auto"/>
        </w:rPr>
        <w:t>/s/ Craig Shesky</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2"/>
    </w:lvl>
    <w:lvl w:ilvl="1">
      <w:lvlJc w:val="left"/>
      <w:lvlText w:val="●"/>
      <w:numFmt w:val="bullet"/>
      <w:start w:val="1"/>
    </w:lvl>
  </w:abstractNum>
  <w:abstractNum w:abstractNumId="6">
    <w:nsid w:val="519B500D"/>
    <w:multiLevelType w:val="hybridMultilevel"/>
    <w:lvl w:ilvl="0">
      <w:lvlJc w:val="left"/>
      <w:lvlText w:val="%1."/>
      <w:numFmt w:val="decimal"/>
      <w:start w:val="5"/>
    </w:lvl>
  </w:abstractNum>
  <w:abstractNum w:abstractNumId="7">
    <w:nsid w:val="431BD7B7"/>
    <w:multiLevelType w:val="hybridMultilevel"/>
    <w:lvl w:ilvl="0">
      <w:lvlJc w:val="left"/>
      <w:lvlText w:val="%1."/>
      <w:numFmt w:val="decimal"/>
      <w:start w:val="7"/>
    </w:lvl>
  </w:abstractNum>
  <w:abstractNum w:abstractNumId="8">
    <w:nsid w:val="3F2DBA31"/>
    <w:multiLevelType w:val="hybridMultilevel"/>
    <w:lvl w:ilvl="0">
      <w:lvlJc w:val="left"/>
      <w:lvlText w:val="%1."/>
      <w:numFmt w:val="decimal"/>
      <w:start w:val="8"/>
    </w:lvl>
  </w:abstractNum>
  <w:abstractNum w:abstractNumId="9">
    <w:nsid w:val="7C83E458"/>
    <w:multiLevelType w:val="hybridMultilevel"/>
    <w:lvl w:ilvl="0">
      <w:lvlJc w:val="left"/>
      <w:lvlText w:val="%1."/>
      <w:numFmt w:val="decimal"/>
      <w:start w:val="9"/>
    </w:lvl>
  </w:abstractNum>
  <w:abstractNum w:abstractNumId="10">
    <w:nsid w:val="257130A3"/>
    <w:multiLevelType w:val="hybridMultilevel"/>
    <w:lvl w:ilvl="0">
      <w:lvlJc w:val="left"/>
      <w:lvlText w:val="%1."/>
      <w:numFmt w:val="decimal"/>
      <w:start w:val="1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4"/>
    </w:lvl>
  </w:abstractNum>
  <w:abstractNum w:abstractNumId="13">
    <w:nsid w:val="628C895D"/>
    <w:multiLevelType w:val="hybridMultilevel"/>
    <w:lvl w:ilvl="0">
      <w:lvlJc w:val="left"/>
      <w:lvlText w:val="%1."/>
      <w:numFmt w:val="decimal"/>
      <w:start w:val="13"/>
    </w:lvl>
  </w:abstractNum>
  <w:abstractNum w:abstractNumId="14">
    <w:nsid w:val="333AB105"/>
    <w:multiLevelType w:val="hybridMultilevel"/>
    <w:lvl w:ilvl="0">
      <w:lvlJc w:val="left"/>
      <w:lvlText w:val="%1."/>
      <w:numFmt w:val="decimal"/>
      <w:start w:val="14"/>
    </w:lvl>
  </w:abstractNum>
  <w:abstractNum w:abstractNumId="15">
    <w:nsid w:val="721DA317"/>
    <w:multiLevelType w:val="hybridMultilevel"/>
    <w:lvl w:ilvl="0">
      <w:lvlJc w:val="left"/>
      <w:lvlText w:val="%1."/>
      <w:numFmt w:val="decimal"/>
      <w:start w:val="15"/>
    </w:lvl>
  </w:abstractNum>
  <w:abstractNum w:abstractNumId="16">
    <w:nsid w:val="2443A858"/>
    <w:multiLevelType w:val="hybridMultilevel"/>
    <w:lvl w:ilvl="0">
      <w:lvlJc w:val="left"/>
      <w:lvlText w:val="%1."/>
      <w:numFmt w:val="decimal"/>
      <w:start w:val="16"/>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5"/>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5"/>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59" Type="http://schemas.openxmlformats.org/officeDocument/2006/relationships/hyperlink" Target="https://www.sec.gov/Archives/edgar/data/1798562/000110465924090521/tm2415212d3_ex10-1.htm" TargetMode="External"/><Relationship Id="rId60" Type="http://schemas.openxmlformats.org/officeDocument/2006/relationships/hyperlink" Target="https://www.sec.gov/Archives/edgar/data/1798562/000110465924099119/tm2423852d1_ex10-1.htm" TargetMode="External"/><Relationship Id="rId61" Type="http://schemas.openxmlformats.org/officeDocument/2006/relationships/hyperlink" Target="https://www.sec.gov/Archives/edgar/data/1798562/000110465924111183/tm2426755d1_ex10-1.htm" TargetMode="External"/><Relationship Id="rId62" Type="http://schemas.openxmlformats.org/officeDocument/2006/relationships/hyperlink" Target="https://www.sec.gov/Archives/edgar/data/1798562/000110465924089697/tmc-20240630xex10d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2024-11-15T05:26:27Z</dcterms:created>
  <dcterms:modified xsi:type="dcterms:W3CDTF">2024-11-15T05:26:27Z</dcterms:modified>
</cp:coreProperties>
</file>