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333-275822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142875</wp:posOffset>
            </wp:positionV>
            <wp:extent cx="222885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17,500,000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Warrants to Purchase 8,750,000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offering 17,500,000 of our common shares and accompanying Class B warrants to purchase 8,750,000 of our common shares in this offering (and the common shares issuable from time to time upon exercise of these Class B warrants). Each common share we sell in the offering will be accompanied by a Class B warrant to purchase 0.5 common shares at an exercise price of $2.00 per share. Each common share and accompanying Class B warrant will be sold at a negotiated price of $1.00. The common shares and accompanying Class B warrants will be issued separately but can only be purchased together in this offering.</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Class B warrant will be exercisable from and after the date of issuance. The Class B warrants will expire five years from issuance.</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shares and publicly listed warrants to purchase common shares, or the Public Warrants, are listed on the Nasdaq Global Select Market, or Nasdaq, under the symbol “TMC” and “TMCWW”, respectively. On November 13, 2024, the closing price of our common shares on the Nasdaq was $0.9564 per share and the closing price for our Public Warrants was $0.0706 per warrant.</w:t>
      </w:r>
    </w:p>
    <w:p>
      <w:pPr>
        <w:spacing w:after="0" w:line="17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under the federal securities laws and, as such, are subject to reduced public company reporting requirements. See “Prospectus Supplement Summary—Implications of Being an Emerging Growth Company and Smaller Reporting Company”.</w:t>
      </w:r>
    </w:p>
    <w:p>
      <w:pPr>
        <w:spacing w:after="0" w:line="172"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S-9 of this prospectus supplement and under similar headings in the documents incorporated by reference into this prospectus supplement and the accompanying prospectus for a discussion of certain risks you should consider before investing in our securities.</w:t>
      </w:r>
    </w:p>
    <w:p>
      <w:pPr>
        <w:spacing w:after="0" w:line="17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A.G.P./Alliance Global Partners, which we refer to as the placement agent, as a placement agent in connection with a portion of the shares issued in this offering. The placement agent has no obligation to buy any of the securities from us or to arrange for the purchase or sale of any specific number or dollar amount of securities. We have agreed to pay the placement agent the placement agent fees set forth in the table below. There is no arrangement for funds to be received in escrow, trust or similar arrangement. There is no minimum offering requirement. We will bear all costs associated with the offering. See “Plan of Distribution” beginning on page S-21 of this prospectus supplement for more information regarding these arrangements.</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4660" w:type="dxa"/>
            <w:vAlign w:val="bottom"/>
            <w:gridSpan w:val="4"/>
          </w:tcPr>
          <w:p>
            <w:pPr>
              <w:ind w:left="2560"/>
              <w:spacing w:after="0"/>
              <w:rPr>
                <w:sz w:val="20"/>
                <w:szCs w:val="20"/>
                <w:color w:val="auto"/>
              </w:rPr>
            </w:pPr>
            <w:r>
              <w:rPr>
                <w:rFonts w:ascii="Times New Roman" w:cs="Times New Roman" w:eastAsia="Times New Roman" w:hAnsi="Times New Roman"/>
                <w:sz w:val="18"/>
                <w:szCs w:val="18"/>
                <w:b w:val="1"/>
                <w:bCs w:val="1"/>
                <w:color w:val="auto"/>
              </w:rPr>
              <w:t>Accompanying Class B</w:t>
            </w:r>
          </w:p>
        </w:tc>
        <w:tc>
          <w:tcPr>
            <w:tcW w:w="300" w:type="dxa"/>
            <w:vAlign w:val="bottom"/>
          </w:tcPr>
          <w:p>
            <w:pPr>
              <w:spacing w:after="0"/>
              <w:rPr>
                <w:sz w:val="18"/>
                <w:szCs w:val="18"/>
                <w:color w:val="auto"/>
              </w:rPr>
            </w:pP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3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7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17,500,000</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include fees payable to the placement agent or proceeds from the exercise of the Class B warrants for cash, if any, issued in the offering. After deducting the fees we have agreed to pay to the placement agent in connection with this offering, the proceeds to us before expenses is $0.99 per share and accompanying Class B warrant and $17,300,000 in total. See Plan of Distribution” beginning on page S-21 of this prospectus supplement for additional information about the expenses payable in connection with this offering.</w:t>
      </w:r>
    </w:p>
    <w:p>
      <w:pPr>
        <w:spacing w:after="0" w:line="179"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securities offered by this prospectus supplement have not been qualified for distribution in Canada and may not be offered or sold in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November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November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90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7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6"/>
        </w:trPr>
        <w:tc>
          <w:tcPr>
            <w:tcW w:w="34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040" w:type="dxa"/>
            <w:vAlign w:val="bottom"/>
            <w:gridSpan w:val="8"/>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40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0000EE"/>
                <w:w w:val="95"/>
              </w:rPr>
              <w:t>S-1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7040" w:type="dxa"/>
            <w:vAlign w:val="bottom"/>
            <w:gridSpan w:val="8"/>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0000EE"/>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4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360" w:type="dxa"/>
            <w:vAlign w:val="bottom"/>
            <w:tcBorders>
              <w:right w:val="single" w:sz="8" w:color="CCEEFF"/>
            </w:tcBorders>
            <w:shd w:val="clear" w:color="auto" w:fill="CCEEFF"/>
          </w:tcPr>
          <w:p>
            <w:pPr>
              <w:spacing w:after="0"/>
              <w:rPr>
                <w:sz w:val="15"/>
                <w:szCs w:val="15"/>
                <w:color w:val="auto"/>
              </w:rPr>
            </w:pPr>
          </w:p>
        </w:tc>
        <w:tc>
          <w:tcPr>
            <w:tcW w:w="40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0000EE"/>
                <w:w w:val="95"/>
              </w:rPr>
              <w:t>S-7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200" w:type="dxa"/>
            <w:vAlign w:val="bottom"/>
            <w:gridSpan w:val="13"/>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0000EE"/>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8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80" w:type="dxa"/>
            <w:vAlign w:val="bottom"/>
            <w:gridSpan w:val="2"/>
            <w:shd w:val="clear" w:color="auto" w:fill="CCEEFF"/>
          </w:tcPr>
          <w:p>
            <w:pPr>
              <w:spacing w:after="0"/>
              <w:rPr>
                <w:sz w:val="15"/>
                <w:szCs w:val="15"/>
                <w:color w:val="auto"/>
              </w:rPr>
            </w:pPr>
          </w:p>
        </w:tc>
        <w:tc>
          <w:tcPr>
            <w:tcW w:w="76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S-14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NO CANADIAN PROSPECTUS QUALIFICATION</w:t>
            </w:r>
          </w:p>
        </w:tc>
        <w:tc>
          <w:tcPr>
            <w:tcW w:w="4680" w:type="dxa"/>
            <w:vAlign w:val="bottom"/>
            <w:gridSpan w:val="2"/>
          </w:tcPr>
          <w:p>
            <w:pPr>
              <w:spacing w:after="0"/>
              <w:rPr>
                <w:sz w:val="15"/>
                <w:szCs w:val="15"/>
                <w:color w:val="auto"/>
              </w:rPr>
            </w:pPr>
          </w:p>
        </w:tc>
        <w:tc>
          <w:tcPr>
            <w:tcW w:w="76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4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STATEMENTS REGARDING THE NORI INITIAL ASSESSMENT AND TOML MINERAL RESOURCE STATEMENT</w:t>
            </w:r>
          </w:p>
        </w:tc>
        <w:tc>
          <w:tcPr>
            <w:tcW w:w="76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S-15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20" w:type="dxa"/>
            <w:vAlign w:val="bottom"/>
          </w:tcPr>
          <w:p>
            <w:pPr>
              <w:spacing w:after="0"/>
              <w:rPr>
                <w:sz w:val="15"/>
                <w:szCs w:val="15"/>
                <w:color w:val="auto"/>
              </w:rPr>
            </w:pPr>
          </w:p>
        </w:tc>
        <w:tc>
          <w:tcPr>
            <w:tcW w:w="76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4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6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S-18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76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420" w:type="dxa"/>
            <w:vAlign w:val="bottom"/>
            <w:gridSpan w:val="10"/>
            <w:shd w:val="clear" w:color="auto" w:fill="CCEEFF"/>
          </w:tcPr>
          <w:p>
            <w:pPr>
              <w:spacing w:after="0"/>
              <w:rPr>
                <w:sz w:val="15"/>
                <w:szCs w:val="15"/>
                <w:color w:val="auto"/>
              </w:rPr>
            </w:pPr>
          </w:p>
        </w:tc>
        <w:tc>
          <w:tcPr>
            <w:tcW w:w="76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S-21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8420" w:type="dxa"/>
            <w:vAlign w:val="bottom"/>
            <w:gridSpan w:val="10"/>
          </w:tcPr>
          <w:p>
            <w:pPr>
              <w:spacing w:after="0"/>
              <w:rPr>
                <w:sz w:val="15"/>
                <w:szCs w:val="15"/>
                <w:color w:val="auto"/>
              </w:rPr>
            </w:pPr>
          </w:p>
        </w:tc>
        <w:tc>
          <w:tcPr>
            <w:tcW w:w="76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700" w:type="dxa"/>
            <w:vAlign w:val="bottom"/>
            <w:gridSpan w:val="16"/>
            <w:shd w:val="clear" w:color="auto" w:fill="CCEEFF"/>
          </w:tcPr>
          <w:p>
            <w:pPr>
              <w:spacing w:after="0"/>
              <w:rPr>
                <w:sz w:val="15"/>
                <w:szCs w:val="15"/>
                <w:color w:val="auto"/>
              </w:rPr>
            </w:pPr>
          </w:p>
        </w:tc>
        <w:tc>
          <w:tcPr>
            <w:tcW w:w="76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S-22</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6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7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ENFORCEABILITY OF CIVIL LIABILITIES AND SERVICE OF PROCESS</w:t>
            </w:r>
          </w:p>
        </w:tc>
        <w:tc>
          <w:tcPr>
            <w:tcW w:w="4740" w:type="dxa"/>
            <w:vAlign w:val="bottom"/>
            <w:gridSpan w:val="3"/>
            <w:shd w:val="clear" w:color="auto" w:fill="CCEEFF"/>
          </w:tcPr>
          <w:p>
            <w:pPr>
              <w:spacing w:after="0"/>
              <w:rPr>
                <w:sz w:val="15"/>
                <w:szCs w:val="15"/>
                <w:color w:val="auto"/>
              </w:rPr>
            </w:pPr>
          </w:p>
        </w:tc>
        <w:tc>
          <w:tcPr>
            <w:tcW w:w="76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S-22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7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4740" w:type="dxa"/>
            <w:vAlign w:val="bottom"/>
            <w:gridSpan w:val="3"/>
          </w:tcPr>
          <w:p>
            <w:pPr>
              <w:spacing w:after="0"/>
              <w:rPr>
                <w:sz w:val="15"/>
                <w:szCs w:val="15"/>
                <w:color w:val="auto"/>
              </w:rPr>
            </w:pPr>
          </w:p>
        </w:tc>
        <w:tc>
          <w:tcPr>
            <w:tcW w:w="76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S-23</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70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2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300" w:type="dxa"/>
            <w:vAlign w:val="bottom"/>
            <w:gridSpan w:val="12"/>
            <w:shd w:val="clear" w:color="auto" w:fill="CCEEFF"/>
          </w:tcPr>
          <w:p>
            <w:pPr>
              <w:spacing w:after="0"/>
              <w:rPr>
                <w:sz w:val="15"/>
                <w:szCs w:val="15"/>
                <w:color w:val="auto"/>
              </w:rPr>
            </w:pPr>
          </w:p>
        </w:tc>
        <w:tc>
          <w:tcPr>
            <w:tcW w:w="1520" w:type="dxa"/>
            <w:vAlign w:val="bottom"/>
            <w:gridSpan w:val="4"/>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0000EE"/>
                <w:w w:val="88"/>
              </w:rPr>
              <w:t>1</w:t>
            </w:r>
          </w:p>
        </w:tc>
        <w:tc>
          <w:tcPr>
            <w:tcW w:w="18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300" w:type="dxa"/>
            <w:vAlign w:val="bottom"/>
            <w:gridSpan w:val="12"/>
          </w:tcPr>
          <w:p>
            <w:pPr>
              <w:spacing w:after="0"/>
              <w:rPr>
                <w:sz w:val="15"/>
                <w:szCs w:val="15"/>
                <w:color w:val="auto"/>
              </w:rPr>
            </w:pPr>
          </w:p>
        </w:tc>
        <w:tc>
          <w:tcPr>
            <w:tcW w:w="1520" w:type="dxa"/>
            <w:vAlign w:val="bottom"/>
            <w:gridSpan w:val="4"/>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1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280" w:type="dxa"/>
            <w:vAlign w:val="bottom"/>
            <w:gridSpan w:val="18"/>
            <w:shd w:val="clear" w:color="auto" w:fill="CCEEFF"/>
          </w:tcPr>
          <w:p>
            <w:pPr>
              <w:spacing w:after="0"/>
              <w:rPr>
                <w:sz w:val="15"/>
                <w:szCs w:val="15"/>
                <w:color w:val="auto"/>
              </w:rPr>
            </w:pPr>
          </w:p>
        </w:tc>
        <w:tc>
          <w:tcPr>
            <w:tcW w:w="1520" w:type="dxa"/>
            <w:vAlign w:val="bottom"/>
            <w:gridSpan w:val="4"/>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5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20" w:type="dxa"/>
            <w:vAlign w:val="bottom"/>
            <w:gridSpan w:val="4"/>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8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95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520" w:type="dxa"/>
            <w:vAlign w:val="bottom"/>
            <w:gridSpan w:val="4"/>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0000EE"/>
                <w:w w:val="88"/>
              </w:rPr>
              <w:t>8</w:t>
            </w:r>
          </w:p>
        </w:tc>
        <w:tc>
          <w:tcPr>
            <w:tcW w:w="1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520" w:type="dxa"/>
            <w:vAlign w:val="bottom"/>
            <w:gridSpan w:val="4"/>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1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95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12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0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4540" w:type="dxa"/>
            <w:vAlign w:val="bottom"/>
            <w:gridSpan w:val="4"/>
          </w:tcPr>
          <w:p>
            <w:pPr>
              <w:spacing w:after="0"/>
              <w:rPr>
                <w:sz w:val="15"/>
                <w:szCs w:val="15"/>
                <w:color w:val="auto"/>
              </w:rPr>
            </w:pPr>
          </w:p>
        </w:tc>
        <w:tc>
          <w:tcPr>
            <w:tcW w:w="1700" w:type="dxa"/>
            <w:vAlign w:val="bottom"/>
            <w:gridSpan w:val="5"/>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30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500" w:type="dxa"/>
            <w:vAlign w:val="bottom"/>
            <w:gridSpan w:val="10"/>
            <w:shd w:val="clear" w:color="auto" w:fill="CCEEFF"/>
          </w:tcPr>
          <w:p>
            <w:pPr>
              <w:spacing w:after="0"/>
              <w:rPr>
                <w:sz w:val="15"/>
                <w:szCs w:val="15"/>
                <w:color w:val="auto"/>
              </w:rPr>
            </w:pP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16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500" w:type="dxa"/>
            <w:vAlign w:val="bottom"/>
            <w:gridSpan w:val="10"/>
          </w:tcPr>
          <w:p>
            <w:pPr>
              <w:spacing w:after="0"/>
              <w:rPr>
                <w:sz w:val="15"/>
                <w:szCs w:val="15"/>
                <w:color w:val="auto"/>
              </w:rPr>
            </w:pPr>
          </w:p>
        </w:tc>
        <w:tc>
          <w:tcPr>
            <w:tcW w:w="1700" w:type="dxa"/>
            <w:vAlign w:val="bottom"/>
            <w:gridSpan w:val="5"/>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95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CERTAIN IMPORTANT PROVISIONS OF THE NOTICE OF ARTICLES AND ARTICLES AND THE BCBCA</w:t>
            </w:r>
          </w:p>
        </w:tc>
        <w:tc>
          <w:tcPr>
            <w:tcW w:w="1700" w:type="dxa"/>
            <w:vAlign w:val="bottom"/>
            <w:gridSpan w:val="5"/>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95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33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700" w:type="dxa"/>
            <w:vAlign w:val="bottom"/>
            <w:gridSpan w:val="5"/>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35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55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4020" w:type="dxa"/>
            <w:vAlign w:val="bottom"/>
            <w:gridSpan w:val="2"/>
            <w:shd w:val="clear" w:color="auto" w:fill="CCEEFF"/>
          </w:tcPr>
          <w:p>
            <w:pPr>
              <w:spacing w:after="0"/>
              <w:rPr>
                <w:sz w:val="15"/>
                <w:szCs w:val="15"/>
                <w:color w:val="auto"/>
              </w:rPr>
            </w:pP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42</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5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4020" w:type="dxa"/>
            <w:vAlign w:val="bottom"/>
            <w:gridSpan w:val="2"/>
          </w:tcPr>
          <w:p>
            <w:pPr>
              <w:spacing w:after="0"/>
              <w:rPr>
                <w:sz w:val="15"/>
                <w:szCs w:val="15"/>
                <w:color w:val="auto"/>
              </w:rPr>
            </w:pPr>
          </w:p>
        </w:tc>
        <w:tc>
          <w:tcPr>
            <w:tcW w:w="1700" w:type="dxa"/>
            <w:vAlign w:val="bottom"/>
            <w:gridSpan w:val="5"/>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44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760" w:type="dxa"/>
            <w:vAlign w:val="bottom"/>
            <w:gridSpan w:val="19"/>
            <w:shd w:val="clear" w:color="auto" w:fill="CCEEFF"/>
          </w:tcPr>
          <w:p>
            <w:pPr>
              <w:spacing w:after="0"/>
              <w:rPr>
                <w:sz w:val="15"/>
                <w:szCs w:val="15"/>
                <w:color w:val="auto"/>
              </w:rPr>
            </w:pP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700" w:type="dxa"/>
            <w:vAlign w:val="bottom"/>
            <w:gridSpan w:val="5"/>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95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700" w:type="dxa"/>
            <w:vAlign w:val="bottom"/>
            <w:gridSpan w:val="5"/>
            <w:shd w:val="clear" w:color="auto" w:fill="CCEEFF"/>
          </w:tcPr>
          <w:p>
            <w:pPr>
              <w:jc w:val="center"/>
              <w:ind w:left="1070"/>
              <w:spacing w:after="0" w:line="176" w:lineRule="exact"/>
              <w:rPr>
                <w:sz w:val="20"/>
                <w:szCs w:val="20"/>
                <w:color w:val="auto"/>
              </w:rPr>
            </w:pPr>
            <w:r>
              <w:rPr>
                <w:rFonts w:ascii="Times New Roman" w:cs="Times New Roman" w:eastAsia="Times New Roman" w:hAnsi="Times New Roman"/>
                <w:sz w:val="18"/>
                <w:szCs w:val="18"/>
                <w:color w:val="0000EE"/>
                <w:w w:val="99"/>
              </w:rPr>
              <w:t>44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and other statistical data included or incorporated by reference in this prospectus supplement were obtained from industry publications, market research and publicly available information as well as publications and research conducted by or on behalf of TMC.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neither we or the placement agent make any representation as to the accuracy of such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supplement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“shelf” registration statement on Form S-3 that we filed with the U.S. Securities and Exchange Commission, or the SEC, using a “shelf” registration process. This prospectus supplement describes the specific terms of this offering. The accompanying base prospectus, including the documents incorporated by reference therein, provides general information about us, some of which, such as the section therein entitled “Plan of Distribution,” may not apply to this offering. Generally, when we refer to this prospectus, we are referring to both this prospectus supplement and the accompanying base prospectus, combined.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urge you to carefully read this prospectus supplement, the accompanying base prospectus, the documents incorporated by reference herein and therein and the additional information under the headings “Information Incorporated by Reference” and “Where You Can Find More Information” before buying any of the securities being offered under this prospectus supplement. These documents contain information you should consider when making your investment decision.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base prospectus. We have not, and the placement agent has not, authorized anyone to provide you with different information. If anyone provides you with different or inconsistent information, you should not rely on it. This prospectus supplement may add, update or change information contained in the accompanying base prospectus. To the extent any information in this prospectus supplement is inconsistent with the accompanying base prospectus, you should rely on the information in this prospectus supplement. The information in this prospectus supplement will be deemed to modify or supersede the information in the accompanying base prospectus and the documents incorporated by reference therein, except for those documents incorporated by reference therein which we file with the SEC after the date of this prospectus supplement.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or incorporated by reference in this prospectus supplement and the accompanying base prospectus is accurate on any date subsequent to the date set forth on the front cover of this prospectus supplement and the accompanying base prospectus or on any date subsequent to the date of the document incorporated by reference, as applicable. Our business, financial condition, results of operations and prospects may have changed since those dates.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described in this prospectus supplement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otherwise indicated or required by the context, the terms “TMC,” “we,” “our,” “us” and the “Company” refer to TMC the metals company Inc.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927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summary contains basic information about us and this offering. This summary highlights selected information contained elsewhere in, or incorporated by reference into, this prospectus supplement. This summary is not complete and may not contain all of the information that may be important to you and that you should consider before deciding whether or not to invest in our securities. For a more complete understanding of TMC and this offering, you should carefully read this prospectus supplement, including the information incorporated by reference into this prospectus supplement, in its entirety. Investing in our securities involves risks that are described in this prospectus supplement under the heading “Risk Factors,” under the heading “Item 1A. Risk Factors” in our Annual Report on Form 10-K for the year ended December 31, 2023, as updated and supplemented under the heading “Item 1A. Risk Factors” in our Quarterly Reports on Form 10-Q for the quarters ended March 31, 2024 and June 30, 2024, and in our other filings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or CCZ, about 1,500 miles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 carbon energy, as well as for infrastructure and development.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 and renewable energy storage markets, (ii) copper cathode for EV wiring, energy transmission and other applications, and (iii) manganese silicate for manganese alloy production required for steel production. Our mission is to build a carefully managed, shared stock of metal, or a metal commons,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seafloor minerals in international waters is regulated by the International Seabed Authority, or ISA, an intergovernmental organization established pursuant to the 1994 Agreement, or the 1994 Agreement, Relating to the Implementation of the United Nations Convention on the Law of the Sea, or UNCLOS or the Convention.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two based on ISA exploration contracts, through our subsidiaries Nauru Ocean Resources Inc., or NORI, and Tonga Offshore Mining Limited, or TOML, sponsored by the Republic of Nauru, or Nauru, and the Kingdom of Tonga, or Tonga, respectively, and exclusive commercial rights through our subsidiary, DeepGreen Engineering Pte. Ltd.’s, or DGE, and its arrangement with Marawa Research and Exploration Limited, or Marawa, a company owned and sponsored by the Republic of Kiribati, or Kiribati.</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14" w:right="439" w:bottom="1440" w:gutter="0" w:footer="0" w:header="0"/>
        </w:sectPr>
      </w:pPr>
    </w:p>
    <w:bookmarkStart w:id="6" w:name="page7"/>
    <w:bookmarkEnd w:id="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299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t xml:space="preserve">We have key strategic alliances with (i) Allseas Group S.A., a leading global offshore contractor, which developed and tested a pilot collection system, and is now working to modify it into the first commercial production system and (ii) Glencore International AG, or Glencore, which holds offtake rights to 50% of the NORI nickel and copper production, if produced from a DGE-owned or controlled facility. In addition, we have worked with an engineering firm Hatch Ltd. (Hatch) and consultants Kingston Process Metallurgy Inc.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After several months of pre-feasibility work in 2022 on the possibility of building a processing facility in India for Project Zero, we decided to adopt a capital-light approach and focus on sourcing an existing processing facility requiring lower capital expenditures and which we believe may offer a lower risk solution to get Project Zero into production. In November 2022, we entered into a non-binding Memorandum of Understanding, or MoU, with Pacific Metals Co Ltd, or PAMCO, of Japan </w:t>
      </w:r>
      <w:r>
        <w:rPr>
          <w:rFonts w:ascii="Times New Roman" w:cs="Times New Roman" w:eastAsia="Times New Roman" w:hAnsi="Times New Roman"/>
          <w:sz w:val="18"/>
          <w:szCs w:val="18"/>
          <w:color w:val="auto"/>
          <w:highlight w:val="white"/>
        </w:rPr>
        <w:t>pursuant to which PAMCO completed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prefeasibility work assessing the prospect of processing nodules using their existing facilities. </w:t>
      </w:r>
      <w:r>
        <w:rPr>
          <w:rFonts w:ascii="Times New Roman" w:cs="Times New Roman" w:eastAsia="Times New Roman" w:hAnsi="Times New Roman"/>
          <w:sz w:val="18"/>
          <w:szCs w:val="18"/>
          <w:color w:val="auto"/>
        </w:rPr>
        <w:t>In November 2023, we entered into a binding MoU with</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PAMCO whereby they committed to completing a feasibility study (expected to be completed during the fourth quarter of 2024) to toll treat 1.3 million tonnes of wet polymetallic nodules per year at its Hachinohe, Japan smelting facility expected to start in the second quarter of 2026, provided we obtain an exploitation contract from the ISA as expected. The toll treatment is intended to take place on a dedicated Rotary Kiln Electric Arc Furnace (RKEF) processing line and produce two products: nickel-copper-cobalt alloy, an intermediate product used as feedstock to produce lithium-ion battery cathodes, and a manganese silicate product used to make silico-manganese alloy, a critical input into steel manufacturing. We expect this partnership to progress to a definitive tolling agreement before the end of 2024, subject to successful evaluation study outcomes and agreement to mutually acceptable commercial terms. There can be no assurance that we will enter into such definitive strategic alliance in a particular time period, or at all, or on terms similar to those set forth in the binding MoU, or that if such definitive tolling agreement is entered into by us or that the existing facility will be able to successfully process nodules in a particular time period, or at all.</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currently focused on preparing our application for a plan of work to the ISA for our first exploitation contract for the NORI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12, 2024, we provided a corporate update regarding the expected submission date of NORI’s application, or the Application, for a plan of work to the ISA for our first exploitation contract for the collection, processing and refining of polymetallic nodules found on the seafloor in the NORI’s contract area in international waters of the CCZ and NORI’s strategy following the submission of the Application; ISA progress on adopting the final rules, regulations and procedures for exploitation of seafloor polymetallic nodules, or the RRPs or the Mining Code, additions to our business strategy and preliminary unaudited financial information as of and for the three months ended September 30, 2024.</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NORI Application Submission and Strategy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discussions between NORI and its sponsoring state, Nauru, NORI has set the date of June 27, 2025 for its expected submission of the Application to the ISA.</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According to the ISA Council's decisions ISBA/28/C/24 and ISBA/28/C/25, if NORI submits an application for a plan of work for exploitation before the RRPs have been adopted, the ISA Council at its next meeting, as a matter of priority, will consider the process for considering such an application. The ISA Council is not scheduled to meet again until March 2025. We believe it is unlikely that the ISA Council will consider an application for a plan of work for exploitation before this session. Considering this, Nauru is formally requesting that the ISA clarify the submission and review process for such an application at the March 2025 meetings before NORI submits the Application and, therefore, have decided to submit the Application after the March 2025 meetings.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18" w:right="439" w:bottom="1440" w:gutter="0" w:footer="0" w:header="0"/>
        </w:sectPr>
      </w:pPr>
    </w:p>
    <w:bookmarkStart w:id="7" w:name="page8"/>
    <w:bookmarkEnd w:id="7"/>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In our view, the process for the consideration of the Application has already been set forth under UNCLOS and Paragraph 15 of Section 1 of the Annex to the 1994 Agreement. Consistent with NORI’s rights under the Convention and the 1994 Agreement, NORI can submit the Application and have it considered and provisionally approved based on “the provisions of the Convention and any rules, regulations and procedures that the Council may have adopted provisionally, or on the basis of the norms contained in the Convention and the terms and principles contained in the Implementation Agreement as well as the principle of non-discrimination among contractors.” In an effort to ensure clarity on the submission process, consideration of the Application, and timelines, Nauru, in consultation with NORI, is formally requesting that this issue be added to the agenda of the ISA Council’s March 2025 meeting. We believe that this will allow the ISA Council to agree on the process prior to NORI’s Application submission date of June 27, 2025 and to help provide more certainty to NORI, us and the ISA in the submission and review of the Application. We and Nauru are confident in our rights under the 1994 Agreement, and if necessary in the future, can also seek action through International Tribunal for the Law of the Sea’s Seabed Disputes Chamber to seek additional clarity on the submission and review of the Application.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Mining Code Progress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ISA Council completed a first reading of the consolidated text of the draft Mining Code at the July 2024 Council meeting. It was agreed that a revised consolidated text of the draft Mining Code would be provided to the ISA Council by the end of November 2024. We have engaged with Leticia Reis de Carvalho, the newly-elected Secretary General of the ISA, and expect to work with Ms. Carvalho in a constructive manner as the ISA continues to work to have the final Mining Code adopted.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Reductions and Deferral of Capital Expenditures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Following the expected submission of the Application by NORI, we expect quarterly cash use of less than $5 million. We have already begun the process of reducing or eliminating certain operating expenses to ensure our financial resiliency while the ISA considers NORI’s expected Application.</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 we do not expect to raise funds for capital expenditures related to the preparation of the Hidden Gem vessel for commercial production until such time as the final RRPs are adopted, the Application is approved based on the draft RRPs, or until other potential non-dilutive strategic financing is in place. We expect to provide further updates on the potential timing of the start of commercial production following sufficient clarity on these items.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Expanded Company Strategy</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Given the significant rise in seafloor resource exploration opportunities around the globe and our leadership position and experience in this industry, having invested over $500 million since inception to achieve milestones in environmental research, resource definition, test mining and test processing, we have begun to explore a new strategy to (1) develop a services business for seafloor resource development and (2) optimize and diversify our resource portfolio within the Area and in national jurisdictions. We are in discussions with several parties on services contracts to provide our expertise in the areas of new exploration plans of work, resource definition, environmental impact assessments, data management and offshore campaign execution. We are also actively evaluating opportunities for us to enter new exploration contract areas, already permitted properties and producing properties.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are in discussions with respect to these new opportunities, there can be no assurances that we will enter into agreements with respect to the development of a services business or to optimize and diversify our portfolio in a particular time period, or at all, or on terms that will allow either of these opportunities to be developed and executed in a profitable manner.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18" w:right="4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Preliminary Unaudited Financial Information as of and for the Three Months Ended September 30, 2024</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2024, the Company estimates that it had cash on hand of $0.4 million. In addition, as of September 30, 2024, the Company estimates that it had short-term debt of approximately $9.2 million, representing amounts outstanding under the Unsecured Credit Facility, dated March 22, 2024, as amended, with Gerard Barron, our Chief Executive Officer and Chairman, and ERAS Capital LLC, the family fund of our director, Andrei Karkar, or the 2024 Credit Facility, and the Working Capital Loan Agreement, dated September 9, 2024, with Allseas Investments S.A., or the Working Capital Loan Agreement. The Company also estimates that operating expenses were approximately $20.0 million and net cash used in operating activities was approximately $5.7 million for the three months ended September 30, 2024. As of September 30, 2024, there remained $20.8 million undrawn under the 2024 Credit Facility and the full amount of $27.5 million undrawn from the Unsecured Credit Facility, dated March 22, 2023, as amended, with Argentum Cedit Virtuti GCV, a company related to Allseas Group SA, or the 2023 Credit Facility. In addition, as of September 30, 2024, the Company had approximately $25.0 million available to be sold under the At-the-Market Equity Distribution Agreement, or the Sales Agreement, with Wedbush Securities Inc., having raised $4.9 million in the nine months ended September 30, 2024 at an average per share price of $1.53.</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presented above is estimated, unaudited and preliminary and is subject to completion. The Company is in the process of finalizing its financial results for the quarter ended September 30, 2024. As a result, the estimates above may differ from the actual results that will be presented in the Company’s consolidated financial statements as of and for the quarter ended September 30, 2024 when these consolidated financial statements are completed. The information presented above is based upon management estimates to date and is the responsibility of management. The Company’s independent registered public accounting firm has not audited, reviewed, compiled or performed any procedures with respect to this information and, accordingly, does not express an opinion or any other form of assurance upon this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18, 2024, the Company amended the Working Capital Loan Agreement to increase the loan amount thereunder from $5.0 million to $7.5 million. In addition, as of the closing of the offering, (i) the borrowing limit under the 2023 Credit Facility will return to $25.0 million in the aggregate and (ii) the borrowing limit under the 2024 Credit Facility will return to $20.0 million in the aggregate ($10.0 million from each of the lenders); in each case pursuant to the terms of the applicable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the Province of British Columbia, Canada, and DeepGreen Metals Inc., a company existing under the laws of the Province of British Columbia, Canada, or DeepGreen. In connection with the closing of the Business Combination, or the Closing, SOAC changed its name to “TMC the metals company Inc.”</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 Our website address is www.metals.co. The information contained on, or that can be accessed through, our website is not and shall not be deemed to be part of this prospectus supplement. We have included our website address in this prospectus supplement solely as an inactive textual reference. Investors should not rely on any such information in deciding whether to purchase our common shares or other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14"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927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Implications of Being an Emerging Growth Company and a Smaller Reporting Company</w:t>
      </w:r>
    </w:p>
    <w:p>
      <w:pPr>
        <w:spacing w:after="0" w:line="229"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176" w:lineRule="exact"/>
        <w:rPr>
          <w:sz w:val="20"/>
          <w:szCs w:val="20"/>
          <w:color w:val="auto"/>
        </w:rPr>
      </w:pPr>
    </w:p>
    <w:p>
      <w:pPr>
        <w:jc w:val="both"/>
        <w:ind w:left="964" w:hanging="316"/>
        <w:spacing w:after="0" w:line="257"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9"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9" w:lineRule="exact"/>
        <w:rPr>
          <w:rFonts w:ascii="Times New Roman" w:cs="Times New Roman" w:eastAsia="Times New Roman" w:hAnsi="Times New Roman"/>
          <w:sz w:val="18"/>
          <w:szCs w:val="18"/>
          <w:color w:val="auto"/>
        </w:rPr>
      </w:pPr>
    </w:p>
    <w:p>
      <w:pPr>
        <w:ind w:left="964" w:right="20" w:hanging="316"/>
        <w:spacing w:after="0" w:line="250"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ind w:left="964" w:hanging="316"/>
        <w:spacing w:after="0" w:line="260"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81"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shares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supplement.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left="4"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supplement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19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jc w:val="both"/>
        <w:ind w:left="4" w:hanging="4"/>
        <w:spacing w:after="0" w:line="252" w:lineRule="auto"/>
        <w:tabs>
          <w:tab w:leader="none" w:pos="2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914" w:right="4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37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t>THE OFFERING</w:t>
      </w:r>
    </w:p>
    <w:p>
      <w:pPr>
        <w:spacing w:after="0" w:line="225"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Common shares offered by</w:t>
      </w:r>
      <w:r>
        <w:rPr>
          <w:sz w:val="20"/>
          <w:szCs w:val="20"/>
          <w:color w:val="auto"/>
        </w:rPr>
        <w:tab/>
      </w:r>
      <w:r>
        <w:rPr>
          <w:rFonts w:ascii="Times New Roman" w:cs="Times New Roman" w:eastAsia="Times New Roman" w:hAnsi="Times New Roman"/>
          <w:sz w:val="18"/>
          <w:szCs w:val="18"/>
          <w:color w:val="auto"/>
        </w:rPr>
        <w:t>17,500,000 shares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w:t>
      </w:r>
    </w:p>
    <w:p>
      <w:pPr>
        <w:sectPr>
          <w:pgSz w:w="11900" w:h="16838" w:orient="portrait"/>
          <w:cols w:equalWidth="0" w:num="1">
            <w:col w:w="11240"/>
          </w:cols>
          <w:pgMar w:left="320" w:top="914" w:right="339" w:bottom="1440" w:gutter="0" w:footer="0" w:header="0"/>
        </w:sectPr>
      </w:pPr>
    </w:p>
    <w:p>
      <w:pPr>
        <w:spacing w:after="0" w:line="20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Class B warrants offered by us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Class B warrants to purchase up to an aggregate of 8,750,000 common shares. The common shares are being sold together with the Class B warrants. Each common share will be accompanied by a Class B warrant to purchase 0.5 common shares. The Class B warrants are exercisable beginning on the issuance date, or the Initial Exercise Date, at an exercise price of $2.00 per share, and will terminate on November 14, 2029, or the Termination Date.</w:t>
      </w:r>
    </w:p>
    <w:p>
      <w:pPr>
        <w:spacing w:after="0" w:line="176" w:lineRule="exact"/>
        <w:rPr>
          <w:sz w:val="20"/>
          <w:szCs w:val="20"/>
          <w:color w:val="auto"/>
        </w:rPr>
      </w:pPr>
    </w:p>
    <w:p>
      <w:pPr>
        <w:sectPr>
          <w:pgSz w:w="11900" w:h="16838" w:orient="portrait"/>
          <w:cols w:equalWidth="0" w:num="2">
            <w:col w:w="2260" w:space="280"/>
            <w:col w:w="8700"/>
          </w:cols>
          <w:pgMar w:left="320" w:top="91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322,241,883 shares.</w:t>
            </w:r>
          </w:p>
        </w:tc>
      </w:tr>
      <w:tr>
        <w:trPr>
          <w:trHeight w:val="238"/>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8820" w:type="dxa"/>
            <w:vAlign w:val="bottom"/>
          </w:tcPr>
          <w:p>
            <w:pPr>
              <w:spacing w:after="0"/>
              <w:rPr>
                <w:sz w:val="20"/>
                <w:szCs w:val="20"/>
                <w:color w:val="auto"/>
              </w:rPr>
            </w:pPr>
          </w:p>
        </w:tc>
      </w:tr>
      <w:tr>
        <w:trPr>
          <w:trHeight w:val="410"/>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to be</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339,741,883 shares assuming no exercise of any Class B warrants issued in this offering.</w:t>
            </w: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immediately</w:t>
            </w:r>
          </w:p>
        </w:tc>
        <w:tc>
          <w:tcPr>
            <w:tcW w:w="8820" w:type="dxa"/>
            <w:vAlign w:val="bottom"/>
          </w:tcPr>
          <w:p>
            <w:pPr>
              <w:spacing w:after="0"/>
              <w:rPr>
                <w:sz w:val="18"/>
                <w:szCs w:val="18"/>
                <w:color w:val="auto"/>
              </w:rPr>
            </w:pPr>
          </w:p>
        </w:tc>
      </w:tr>
      <w:tr>
        <w:trPr>
          <w:trHeight w:val="238"/>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8820" w:type="dxa"/>
            <w:vAlign w:val="bottom"/>
          </w:tcPr>
          <w:p>
            <w:pPr>
              <w:spacing w:after="0"/>
              <w:rPr>
                <w:sz w:val="20"/>
                <w:szCs w:val="20"/>
                <w:color w:val="auto"/>
              </w:rPr>
            </w:pPr>
          </w:p>
        </w:tc>
      </w:tr>
      <w:tr>
        <w:trPr>
          <w:trHeight w:val="432"/>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common share and accompanying Class B warrant will be sold at a negotiated price of $1.00.</w:t>
            </w:r>
          </w:p>
        </w:tc>
      </w:tr>
      <w:tr>
        <w:trPr>
          <w:trHeight w:val="414"/>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Settlement after T+1</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the common shares and Class B warrants will be made against any payment therefor on or before</w:t>
            </w:r>
          </w:p>
        </w:tc>
      </w:tr>
      <w:tr>
        <w:trPr>
          <w:trHeight w:val="234"/>
        </w:trPr>
        <w:tc>
          <w:tcPr>
            <w:tcW w:w="2420" w:type="dxa"/>
            <w:vAlign w:val="bottom"/>
          </w:tcPr>
          <w:p>
            <w:pPr>
              <w:spacing w:after="0"/>
              <w:rPr>
                <w:sz w:val="20"/>
                <w:szCs w:val="20"/>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22, 2024.</w:t>
            </w:r>
          </w:p>
        </w:tc>
      </w:tr>
      <w:tr>
        <w:trPr>
          <w:trHeight w:val="414"/>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 $16.5 million, after deducting fees payable to</w:t>
            </w:r>
          </w:p>
        </w:tc>
      </w:tr>
      <w:tr>
        <w:trPr>
          <w:trHeight w:val="216"/>
        </w:trPr>
        <w:tc>
          <w:tcPr>
            <w:tcW w:w="24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placement agent and other estimated offering expenses payable by us, assuming no exercise of the Class B</w:t>
            </w:r>
          </w:p>
        </w:tc>
      </w:tr>
      <w:tr>
        <w:trPr>
          <w:trHeight w:val="216"/>
        </w:trPr>
        <w:tc>
          <w:tcPr>
            <w:tcW w:w="24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issued in this offering. We intend to use the net proceeds from this offering for working capital and general</w:t>
            </w:r>
          </w:p>
        </w:tc>
      </w:tr>
      <w:tr>
        <w:trPr>
          <w:trHeight w:val="234"/>
        </w:trPr>
        <w:tc>
          <w:tcPr>
            <w:tcW w:w="2420" w:type="dxa"/>
            <w:vAlign w:val="bottom"/>
          </w:tcPr>
          <w:p>
            <w:pPr>
              <w:spacing w:after="0"/>
              <w:rPr>
                <w:sz w:val="20"/>
                <w:szCs w:val="20"/>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purposes. See “Use of Proceeds” beginning on page S-17 of this prospectus supplement for additional detail.</w:t>
            </w:r>
          </w:p>
        </w:tc>
      </w:tr>
      <w:tr>
        <w:trPr>
          <w:trHeight w:val="414"/>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common shares are listed on Nasdaq under the symbol “TMC”. We do not intend to list the Class B warrants, nor</w:t>
            </w:r>
          </w:p>
        </w:tc>
      </w:tr>
      <w:tr>
        <w:trPr>
          <w:trHeight w:val="216"/>
        </w:trPr>
        <w:tc>
          <w:tcPr>
            <w:tcW w:w="24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 we expect the Class B warrants to be quoted on Nasdaq or any other national securities exchange or any other</w:t>
            </w:r>
          </w:p>
        </w:tc>
      </w:tr>
      <w:tr>
        <w:trPr>
          <w:trHeight w:val="234"/>
        </w:trPr>
        <w:tc>
          <w:tcPr>
            <w:tcW w:w="2420" w:type="dxa"/>
            <w:vAlign w:val="bottom"/>
          </w:tcPr>
          <w:p>
            <w:pPr>
              <w:spacing w:after="0"/>
              <w:rPr>
                <w:sz w:val="20"/>
                <w:szCs w:val="20"/>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nationally recognized trading system.</w:t>
            </w:r>
          </w:p>
        </w:tc>
      </w:tr>
      <w:tr>
        <w:trPr>
          <w:trHeight w:val="414"/>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S-9 and other</w:t>
            </w:r>
          </w:p>
        </w:tc>
      </w:tr>
      <w:tr>
        <w:trPr>
          <w:trHeight w:val="216"/>
        </w:trPr>
        <w:tc>
          <w:tcPr>
            <w:tcW w:w="24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included or incorporated in this prospectus supplement for a discussion of factors you should carefully</w:t>
            </w:r>
          </w:p>
        </w:tc>
      </w:tr>
      <w:tr>
        <w:trPr>
          <w:trHeight w:val="234"/>
        </w:trPr>
        <w:tc>
          <w:tcPr>
            <w:tcW w:w="2420" w:type="dxa"/>
            <w:vAlign w:val="bottom"/>
          </w:tcPr>
          <w:p>
            <w:pPr>
              <w:spacing w:after="0"/>
              <w:rPr>
                <w:sz w:val="20"/>
                <w:szCs w:val="20"/>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414"/>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w:t>
            </w: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have agreed not to issue any common shares and common share equivalents with an effective price of less than</w:t>
            </w:r>
          </w:p>
        </w:tc>
      </w:tr>
      <w:tr>
        <w:trPr>
          <w:trHeight w:val="234"/>
        </w:trPr>
        <w:tc>
          <w:tcPr>
            <w:tcW w:w="2420" w:type="dxa"/>
            <w:vAlign w:val="bottom"/>
          </w:tcPr>
          <w:p>
            <w:pPr>
              <w:spacing w:after="0"/>
              <w:rPr>
                <w:sz w:val="20"/>
                <w:szCs w:val="20"/>
                <w:color w:val="auto"/>
              </w:rPr>
            </w:pPr>
          </w:p>
        </w:tc>
        <w:tc>
          <w:tcPr>
            <w:tcW w:w="8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 per share for a period of six months following the closing of this offering, subject to customary exceptions.</w:t>
            </w:r>
          </w:p>
        </w:tc>
      </w:tr>
      <w:tr>
        <w:trPr>
          <w:trHeight w:val="226"/>
        </w:trPr>
        <w:tc>
          <w:tcPr>
            <w:tcW w:w="2420" w:type="dxa"/>
            <w:vAlign w:val="bottom"/>
            <w:tcBorders>
              <w:bottom w:val="single" w:sz="8" w:color="auto"/>
            </w:tcBorders>
          </w:tcPr>
          <w:p>
            <w:pPr>
              <w:spacing w:after="0"/>
              <w:rPr>
                <w:sz w:val="19"/>
                <w:szCs w:val="19"/>
                <w:color w:val="auto"/>
              </w:rPr>
            </w:pPr>
          </w:p>
        </w:tc>
        <w:tc>
          <w:tcPr>
            <w:tcW w:w="8820" w:type="dxa"/>
            <w:vAlign w:val="bottom"/>
            <w:tcBorders>
              <w:bottom w:val="single" w:sz="8" w:color="auto"/>
            </w:tcBorders>
          </w:tcPr>
          <w:p>
            <w:pPr>
              <w:spacing w:after="0"/>
              <w:rPr>
                <w:sz w:val="19"/>
                <w:szCs w:val="19"/>
                <w:color w:val="auto"/>
              </w:rPr>
            </w:pPr>
          </w:p>
        </w:tc>
      </w:tr>
      <w:tr>
        <w:trPr>
          <w:trHeight w:val="429"/>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240"/>
          </w:cols>
          <w:pgMar w:left="320" w:top="914" w:right="339" w:bottom="1440" w:gutter="0" w:footer="0" w:header="0"/>
          <w:type w:val="continuous"/>
        </w:sectPr>
      </w:pPr>
    </w:p>
    <w:bookmarkStart w:id="11" w:name="page12"/>
    <w:bookmarkEnd w:id="1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3064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3064510"/>
                    </a:xfrm>
                    <a:prstGeom prst="rect">
                      <a:avLst/>
                    </a:prstGeom>
                    <a:noFill/>
                  </pic:spPr>
                </pic:pic>
              </a:graphicData>
            </a:graphic>
          </wp:anchor>
        </w:drawing>
        <w:t>The number of our common shares that will be outstanding immediately after this offering is based on 322,241,883 common shares outstanding as of June 30, 2024, and excludes:</w:t>
      </w:r>
    </w:p>
    <w:p>
      <w:pPr>
        <w:spacing w:after="0" w:line="162" w:lineRule="exact"/>
        <w:rPr>
          <w:sz w:val="20"/>
          <w:szCs w:val="20"/>
          <w:color w:val="auto"/>
        </w:rPr>
      </w:pPr>
    </w:p>
    <w:p>
      <w:pPr>
        <w:jc w:val="both"/>
        <w:ind w:left="960" w:hanging="316"/>
        <w:spacing w:after="0" w:line="25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28,028,062 common shares and 14,896,783 special shares, which are automatically convertible into common shares on a one-for-one basis if certain price thresholds are met, issuable upon exercise of share options outstanding as of June 30, 2024 under our stock incentive plans, at a weighted average per option exercise price of $1.21;</w:t>
      </w:r>
    </w:p>
    <w:p>
      <w:pPr>
        <w:spacing w:after="0" w:line="1"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35,761,561 common shares issuable upon the vesting of restricted share units outstanding as of June 30, 2024;</w:t>
      </w:r>
    </w:p>
    <w:p>
      <w:pPr>
        <w:spacing w:after="0" w:line="9"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39,714,811 common shares available as of June 30, 2024 for future grant under the 2021 Incentive Equity Plan;</w:t>
      </w:r>
    </w:p>
    <w:p>
      <w:pPr>
        <w:spacing w:after="0" w:line="9"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10,669,037 common shares available as of June 30, 2024 for future issuance under the 2021 Employee Stock Purchase Plan;</w:t>
      </w:r>
    </w:p>
    <w:p>
      <w:pPr>
        <w:spacing w:after="0" w:line="9" w:lineRule="exact"/>
        <w:rPr>
          <w:rFonts w:ascii="Times New Roman" w:cs="Times New Roman" w:eastAsia="Times New Roman" w:hAnsi="Times New Roman"/>
          <w:sz w:val="18"/>
          <w:szCs w:val="18"/>
          <w:color w:val="auto"/>
        </w:rPr>
      </w:pPr>
    </w:p>
    <w:p>
      <w:pPr>
        <w:ind w:left="960" w:hanging="316"/>
        <w:spacing w:after="0" w:line="250"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136,239,964 common shares reserved for issuance upon conversion of our outstanding special shares, which are automatically convertible into common shares on a one-for-one basis if certain price thresholds are met; and</w:t>
      </w:r>
    </w:p>
    <w:p>
      <w:pPr>
        <w:jc w:val="both"/>
        <w:ind w:left="960" w:hanging="316"/>
        <w:spacing w:after="0" w:line="253"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30,730,770 common shares issuable upon exercise of outstanding warrants as of June 30, 2024 to purchase common shares, at a weighted average per warrant exercise price of $9.78. The exercise price of the 6,230,770 outstanding Class A warrants will be adjusted in connection with this offering as described in the accompanying base prosectus under “Description of Warrants – Outstanding Warrants – Class A Warrants - Exercise Price Adjustment for Certain Share Issuances”.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Class B warrants issued in this offering and does not reflect the potential issuance of our common shares that remain available for sale as of the date of this prospectus supplement under our “at-the-market” offering program, pursuant to which we may sell common shares for remaining gross proceeds of up to $30 million from time to time under the At-The-Market Equity Distribution Agreement we entered into in December 2022,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45"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Our Annual Report on Form 10-K for the fiscal year ended December 31, 2023,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securities. Since the filing of our Form 10-K, there have been no material changes in our risk factors relating to our business from those disclosed therein, other than as provided below under “Risks Related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25, 2021, Nauru submitted such a notice, with an effective date of July 9, 2021, to the ISA requesting that it complete the adoption of the RRPs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the Mining Code. The Mining Code was not completed at the July 2024 ISA Council meetings and during these meetings, the ISA agreed to continue the negotiations of the Mining Code with a continued view to its adoption during the 30th session of the ISA in 2025. The ISA Council has scheduled two ISA Council meetings in March and July 2025 to progress the Mining Code and has agreed to continue working intersessionally to advance the text Although we believe the ISA will adopt the Mining Code, there can be no assurances that the Mining Code will be adopted within this timeline, or at all, as a result of actions of ISA member States or otherwise. For example, at least 30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including the principle of non-discrimination among contractors.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NORI intends to submit an application to the ISA for an exploitation contract, which will include a plan of work for exploitation for the NORI contract area, on June 27, 2025. If the ISA has not adopted the final Mining Code by the time NORI submits this application, we believe that the ISA will review and provisionally approve the plan of work for exploitation included therein pursuant to Section 1, Paragraph 15(c) of the Annex to the 1994 Agreement discussed above. The ISA released its road map to finalize the Mining Code at its July 2023 session and at its July 2024 session agreed to continue the negotiations of the Mining Code with a continued view to its adoption during the 30th session of the ISA in 2025, however, it has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or LTC, and whether and how long the ISA could delay its consideration of an application past the proscribed 60-day period. As a result, and in light of some ISA Member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 On August 2, 2024, the ISA Assembly elected Leticia Carvalho of Brazil as the new Secretary-General of the ISA for the period 2025-2028. There can be no assurances that the ISA’s stated target for adoption of the Mining Code of 2025 will be met or that any application for an exploitation contract will be approved before the final Mining Code is adopted.</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Environment and Social Impact Assessment, or ESIA, culminating in an Environmental Impact Statement, or EIS, prior to collecting nodules at a commercial scale. The EIS would be accompanied by an Environmental Management and Monitoring Plan,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receive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line="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12529"/>
        </w:rPr>
        <w:t xml:space="preserve">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w:t>
      </w:r>
      <w:r>
        <w:rPr>
          <w:rFonts w:ascii="Times New Roman" w:cs="Times New Roman" w:eastAsia="Times New Roman" w:hAnsi="Times New Roman"/>
          <w:sz w:val="18"/>
          <w:szCs w:val="18"/>
          <w:color w:val="000000"/>
        </w:rPr>
        <w:t>financial</w:t>
      </w:r>
      <w:r>
        <w:rPr>
          <w:rFonts w:ascii="Times New Roman" w:cs="Times New Roman" w:eastAsia="Times New Roman" w:hAnsi="Times New Roman"/>
          <w:sz w:val="18"/>
          <w:szCs w:val="18"/>
          <w:color w:val="212529"/>
        </w:rPr>
        <w:t xml:space="preserve">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 xml:space="preserve">We currently hold exclusive exploration rights through our subsidiaries NORI and TOML and exclusive commercial </w:t>
      </w:r>
      <w:r>
        <w:rPr>
          <w:rFonts w:ascii="Times New Roman" w:cs="Times New Roman" w:eastAsia="Times New Roman" w:hAnsi="Times New Roman"/>
          <w:sz w:val="18"/>
          <w:szCs w:val="18"/>
          <w:color w:val="000000"/>
        </w:rPr>
        <w:t>rights</w:t>
      </w:r>
      <w:r>
        <w:rPr>
          <w:rFonts w:ascii="Times New Roman" w:cs="Times New Roman" w:eastAsia="Times New Roman" w:hAnsi="Times New Roman"/>
          <w:sz w:val="18"/>
          <w:szCs w:val="18"/>
          <w:color w:val="212529"/>
        </w:rPr>
        <w:t xml:space="preserve"> through an agreement with Marawa, to three polymetallic nodule areas in the CCZ. The exploration contracts for each of these three areas require us to conduct certain activities in accordance with approved plans of work. The suspension or termination of our exploration contract for the NORI area would, and any of our other explorations contracts could, have a material and adverse effect on our future business prospects and financial condition.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2529"/>
        </w:rPr>
        <w:t xml:space="preserve">In 2024, the LTC of the ISA established a new process to identify contractors who may be at risk of non-compliance with obligations under their respective exploration contract. In August 2024, as a result of this new process,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ISA sent notifications of such potential risk of non-compliance to TOML and Marawa. TOML and Marawa have until November 30, 2024 to respond to the notices. The LTC’s notification to TOML cited concerns, which relate mainly to the failure to conduct planned sampling campaigns, the need to submit digital data in the revised reporting templates, delays in surveys for environmental baseline </w:t>
      </w:r>
      <w:r>
        <w:rPr>
          <w:rFonts w:ascii="Times New Roman" w:cs="Times New Roman" w:eastAsia="Times New Roman" w:hAnsi="Times New Roman"/>
          <w:sz w:val="18"/>
          <w:szCs w:val="18"/>
          <w:color w:val="000000"/>
        </w:rPr>
        <w:t>development</w:t>
      </w:r>
      <w:r>
        <w:rPr>
          <w:rFonts w:ascii="Times New Roman" w:cs="Times New Roman" w:eastAsia="Times New Roman" w:hAnsi="Times New Roman"/>
          <w:sz w:val="18"/>
          <w:szCs w:val="18"/>
          <w:color w:val="212529"/>
        </w:rPr>
        <w:t>, and the delay in submission of its scoping report. The LTC’s notification to Marawa cited concerns, which relate mainly to the lack of expedition work, absence of study activities or data submission, failure to provide a detailed exploration strategy, delays in conducting planned research cruises, and insufficient analysis of biological samples. Both TOML and Marawa are in the process of responding to the notifications. If the LTC deems either response incomplete or does not effectively address the LTC’s concerns, or if either TOML or Marawa fails to respond in a timely manner, the LTC, in line with its established process, may report TOML or Marawa to the ISA Council for further consideration and action. If either TOML or Marawa is deemed to have not remedied all issues raised by the LTC and the ISA then determines that TOML or Marwara is not in compliance with its respective obligations under its respective exploration contract, the ISA could impose monetary sanctions on TOML or Marawa, suspend some or all rights under the applicable exploration contract, which could include halting exploration activities, or terminate TOML’s or Marawa’s respective exploration contract, any of which could have a material and adverse effect on our future business prospects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We are involved in litigation that may adversely affect us and may not be successful in our litigation related to non-performing Private Investment in Public Equity, or PIPE, investors.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212529"/>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w:t>
      </w:r>
      <w:r>
        <w:rPr>
          <w:rFonts w:ascii="Times New Roman" w:cs="Times New Roman" w:eastAsia="Times New Roman" w:hAnsi="Times New Roman"/>
          <w:sz w:val="18"/>
          <w:szCs w:val="18"/>
          <w:color w:val="000000"/>
        </w:rPr>
        <w:t>the appeal was heard by the Court on November 8, 2024. The parties are currently awaiting a ruling</w:t>
      </w:r>
      <w:r>
        <w:rPr>
          <w:rFonts w:ascii="Times New Roman" w:cs="Times New Roman" w:eastAsia="Times New Roman" w:hAnsi="Times New Roman"/>
          <w:sz w:val="18"/>
          <w:szCs w:val="18"/>
          <w:color w:val="212529"/>
        </w:rPr>
        <w: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gain on disposition (being a sale of future revenue) and subsequent</w:t>
      </w:r>
    </w:p>
    <w:p>
      <w:pPr>
        <w:sectPr>
          <w:pgSz w:w="11900" w:h="16901" w:orient="portrait"/>
          <w:cols w:equalWidth="0" w:num="1">
            <w:col w:w="11240"/>
          </w:cols>
          <w:pgMar w:left="320" w:top="1120" w:right="339" w:bottom="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of securities in this offering will experience immediate and substantial dilution in the book value of their investment. You may experience further dilution upon exercise of our outstanding options and warrants.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public offering price per common share and accompanying Class B warrant in this offering is substantially </w:t>
      </w:r>
      <w:r>
        <w:rPr>
          <w:rFonts w:ascii="Times New Roman" w:cs="Times New Roman" w:eastAsia="Times New Roman" w:hAnsi="Times New Roman"/>
          <w:sz w:val="18"/>
          <w:szCs w:val="18"/>
          <w:color w:val="212529"/>
        </w:rPr>
        <w:t>higher</w:t>
      </w:r>
      <w:r>
        <w:rPr>
          <w:rFonts w:ascii="Times New Roman" w:cs="Times New Roman" w:eastAsia="Times New Roman" w:hAnsi="Times New Roman"/>
          <w:sz w:val="18"/>
          <w:szCs w:val="18"/>
          <w:color w:val="auto"/>
        </w:rPr>
        <w:t xml:space="preserve"> than the net tangible book value per share before giving effect to this offering. Accordingly, if you purchase securities in this offering, you will incur immediate substantial dilution of approximately $0.97 per share, representing the difference between the public offering price per share and our as adjusted net tangible book value as of June 30, 2024. In addition, if our outstanding options or warrants are exercised, you could experience further dilution. For a further description of the dilution that you will experience immediately after this offering, see the section in this prospectus supplement entitled “Dilution.”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or the perception that such future sales may occur, may cause our share price to decline.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our common shares in the public market, or the perception that these sales could occur, following this offering could cause the market price of our common shares to decline. A substantial majority of the outstanding common shares are, and the common shares sold in this offering upon issuance will be, freely tradable without restriction or further registration under the Securities Act of 1933, as amended, or the Securities Act.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shares.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and we could spend the proceeds from this offering in ways our shareholders may not agree with or that do not yield a favorable return, if at all. We intend to use the net proceeds from this offering for working capital and general corporate purposes. See “Use of Proceeds” beginning on page S-17 of this prospectus supplement for additional detail. However, our use of these proceeds may differ substantially from our current plans. If we do not invest or apply the proceeds from this offering in ways that improve our operating results, we may fail to achieve expected financial results, which could cause our share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As a result, you must rely on capital appreciation for any return on your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paying cash dividends on our common shares in the foreseeable future. Any payment of cash dividends will also depend on our financial condition, results of operations, capital requirements and other factors and will be at the discretion of our board of directors. Accordingly, you will have to rely on capital appreciation, if any, to earn a return on your investment in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Class B warrants to purchase common shares being offered in this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Class B warrants being offered in this offering, and we do not expect a market to develop. In addition, we do not intend to apply to list the Class B warrants on any national securities exchange or other nationally recognized trading system, including Nasdaq. Without an active market, the liquidity of the Class B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Class B warrants will have no rights as a common shareholder until they acquire our common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you acquire our common shares upon exercise of the Class B warrants, you will have no rights with respect to our common shares issuable upon exercise of the Class B warrants. Upon exercise of your Class B warrants, you will be entitled to exercise the rights of a common shareholder only as to matters for which the record date occurs after the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warrants are speculative in nature.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Class B warrants offered hereby do not confer any rights of common share ownership on their holders, such as voting rights or the right to receive dividends, but rather merely represent the right to acquire common shares at a fixed price. Specifically, commencing on the date of issuance, holders of the Class B warrants may acquire the common shares issuable upon exercise of such Class B warrants at an exercise price of $2.00 per share. Moreover, following this offering, the market value of the Class B warrants is uncertain and there can be no assurance that the market value of the Class B warrants will equal or exceed their offering price. There can be no assurance that the market price of the common shares will ever equal or exceed the exercise price of the Class B warrants and consequently, whether it will ever be profitable for holders of the Class B warrants to exercise the Class B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warrants may not have any value.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the price of our common shares does not exceed the exercise price for the Class B warrants during the period when the Class B warrants are exercisable, the Class B warrants may not have any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therein include forward-looking statements within the meaning of Section 27A of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the accompanying prospectus and the documents incorporated by reference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supplement, the accompanying prospectus and the other documents or reports incorporated by reference therein,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the ISA’s final exploitation regulations that will create the legal and technical framework for exploitation of polymetallic nodules in the CCZ;</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 in our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prospectus and in the documents incorporated by reference therein,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accompanying prospectus, as updated and supplemented by the discussion of risks and uncertainties under “Risk Factors” contained in any supplements to this prospectus supplement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the accompanying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CANADIAN PROSPECTUS QUALIFICATION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common shares, Class B warrants and any common shares issuable from time to time upon exercise of the Class B warrants offered hereby have not been and will not be qualified for distribution to the public under the securities laws of any province or territory of Canada. The common shares, Class B warrants and any common shares issuable from time to time upon exercise of the Class B warrants may not be offered or sold, directly or indirectly, in Canada or to a Canadian purchaser or to any person who is purchasing for distribution to, or for the account of, any person in Canada. The Company is not a reporting issuer under Canadian securities laws and, as such, the common shares, Class B warrants and any common shares issuable from time to time upon exercise of the Class B warrants will be subject to resale restrictions in Canada under such laws for an indefinite amount of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 RESOURCE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where otherwise stated, the scientific and technical information set forth in this prospectus supplement relating to the NORI Area (as defined herein) and the TOML Area (as defined herein) and in the documents incorporated by reference is based on technical reports, or the Technical Reports, prepared in accordance with the SEC rules set forth in subpart 1300 of Regulation S-K as promulgated by the SEC, or S-K 1300.</w:t>
      </w:r>
    </w:p>
    <w:p>
      <w:pPr>
        <w:spacing w:after="0" w:line="176" w:lineRule="exact"/>
        <w:rPr>
          <w:sz w:val="20"/>
          <w:szCs w:val="20"/>
          <w:color w:val="auto"/>
        </w:rPr>
      </w:pPr>
    </w:p>
    <w:p>
      <w:pPr>
        <w:jc w:val="both"/>
        <w:ind w:left="980" w:hanging="324"/>
        <w:spacing w:after="0" w:line="258"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NORI Area, the technical report entitled “Technical Report Summary – Initial Assessment of the NORI Property, Clarion-Clipperton Zone” dated as of March 17, 2021, or the NORI Initial Assessment, and in respect of the TOML Area, the technical report entitled “Technical Report Summary – TOML Mineral Resource, Clarion Clipperton Zone, Pacific Ocean” dated as of March 26, 2021, or the TOML Mineral Resource Statement, prepared by AMC Consultants Pty Ltd. and other qualified persons, each a “qualified person” as defined in S-K 1300.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supplement includes information that has been prepared in accordance with the requirements of the SEC Mining Rules forth in S-K 1300.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information on each of the polymetallic nodule areas in the Clarion-Clipperton Zone and the Technical Reports referred to above can be found in our Annual Report on Form 10-K for the year ended December 31, 2023. Each of the authors of the Technical Reports listed under the heading “Experts” in this prospectus supplement is a “qualified person” for the purposes of S-K 1300. The information contained in this prospectus supplement and the documents incorporated by reference herein regarding the NORI Area and the TOML Area has been derived from the Technical Reports, is subject to certain assumptions, qualifications and procedures described in the Technical Reports and is qualified in its entirety by the full text of the Technical Reports, each of which is available on EDGAR, at www.sec.gov. For greater certainty, the Technical Reports are not incorporated by reference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sale of the securities in this offering will be approximately $16.5 million, after deducting the placement agent fees and estimated offering expenses payable by us. This estimate excludes the proceeds, if any, from the exercise of the Class B warrants sold in this offering.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including any proceeds from the exercise of the Class B warrants sold in this offering, for working capital and general corporate purposes. As of the date of this prospectus supplement, we cannot specify with certainty all of the particular uses for the net proceeds to be received upon the completion of this offering. Additionally, our management will have broad discretion in the timing and application of these proceeds. Pending application of the net proceeds as described above, we intend to invest the proceeds of this offering in money market funds, certificates of deposit and corporate debt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offering price per share and accompanying Class B warrant and the as adjusted net tangible book value (deficit) per share after giving effect to this offering (excluding the common shares issuable upon exercise of the Class B warrants being offered in this offering and the payment of the exercise price therefor). We calculate net tangible book value (deficit) per share by dividing the net tangible book value (deficit), which is tangible assets (consisting of cash, exploration contracts, equipment and investments) less total liabilities (which excludes deferred tax liabilities), by the number of outstanding common shares. Dilution represents the difference between the amount per share paid by purchasers of common shares in this offering and the as adjusted net tangible book value (deficit) per share immediately after giving effect to this offering. Our net tangible book value (deficit) as of June 30, 2024 was approximately $(6.7) million, or $(0.02) per share.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of 17,500,000 common shares and accompanying Class B warrants to purchase 8,750,000 common shares at the offering price of $1.00 per share and accompanying Class B warrant and after deducting the placement agent fee and estimated offering expenses, our as adjusted net tangible book value (not including the impact of exercise of Class B warrants) as of June 30, 2024 would have been approximately $9.8 million, or $0.03 per share. This represents an immediate increase in as adjusted net tangible book value of $0.05 per share to our existing shareholders and an immediate dilution of $0.97 per share issued to the investors purchasing securities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2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common share and accompanying Class B warrant</w:t>
            </w:r>
          </w:p>
        </w:tc>
        <w:tc>
          <w:tcPr>
            <w:tcW w:w="2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(deficit) per share as of June 30, 2024</w:t>
            </w:r>
          </w:p>
        </w:tc>
        <w:tc>
          <w:tcPr>
            <w:tcW w:w="2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2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02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2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table and discussion are based on 322,241,883 common shares outstanding as of June 30, 2024, and excludes: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28,028,062 common shares and 14,896,783 special shares, which are automatically convertible into common shares on a one-for-one basis if certain price thresholds are met, issuable upon exercise of share options outstanding as of June 30, 2024 under our stock incentive plans, at a weighted average per option exercise price of $1.21;</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35,761,561 common shares issuable upon the vesting of restricted share units outstanding as of June 30, 2024;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39,714,811 common shares available as of June 30, 2024 for future grant under the 2021 Incentive Equity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10,669,037 common shares available as of June 30, 2024 for future issuance under the 2021 Employee Stock Purchase Plan;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136,239,964 common shares reserved for issuance upon conversion of our outstanding special shares, which are automatically convertible into common shares on a one-for-one basis if certain price thresholds are met; and</w:t>
      </w:r>
    </w:p>
    <w:p>
      <w:pPr>
        <w:jc w:val="both"/>
        <w:ind w:left="980" w:hanging="324"/>
        <w:spacing w:after="0" w:line="253"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30,730,770 common shares issuable upon exercise of outstanding warrants as of June 30, 2024 to purchase common shares, at a weighted average per warrant exercise price of $9.78. The exercise price of the 6,230,770 outstanding Class A warrants will be adjusted in connection with this offering as described in the accompanying base prosectus under “Description of Warrants – Outstanding Warrants – Class A Warrants - Exercise Price Adjustment for Certain Share Issuances”.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are exercised, restricted share units vest, new options or restricted share units are issued under our equity incentive plans, or we issue additional common shares or other equity or convertible securities in the future, there may be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common shares and each other class of our securities that qualifies or limits our common shares are described under the caption “Description of Common Shares and Special Shares” and “Description of Preferred Shares” starting on page 16 of the accompanying prospectus. As of November 13, 2024, we had 324,262,652 common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Class B warrants that are being offered hereby is not complete and is subject to, and qualified in its entirety by, the provisions of the Class B warrants, the form of which will be filed as an exhibit to a Current Report on Form 8-K that we will file with the SEC and that will be incorporated by reference into the registration statement of which this prospectus supplement forms a part. Prospective investors should carefully review the terms and provisions of the form of Class B warrants for a complete description of the terms and conditions of the Class B warrants.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Form. </w:t>
      </w:r>
      <w:r>
        <w:rPr>
          <w:rFonts w:ascii="Times New Roman" w:cs="Times New Roman" w:eastAsia="Times New Roman" w:hAnsi="Times New Roman"/>
          <w:sz w:val="18"/>
          <w:szCs w:val="18"/>
          <w:color w:val="auto"/>
        </w:rPr>
        <w:t>The Class B warrants will be issued as individual Class B warrant agreements to the investors.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Class B warrants are exercisable at any time on or after the issuance date until five years after issuance. The Class B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exercisable, at the option of each holder, in whole or in part by delivering to us a duly executed exercise notice and, at any time a registration statement registering the issuance of the common shares underlying the Class B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B warrants under the Securities Act is not then effective or available, the holder may only exercise the Class B warrant through a cashless exercise, in which case the holder would receive upon such exercise the net number of common shares determined according to the formula set forth in the Class B warrant. No fractional shares will be issued in connection with the exercise of a Class B warrant. In lieu of fractional shares, we will round down to the next whole share.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Class B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B warrants. However, any holder may increase or decrease such percentage to any other percentage not in excess of 9.99% (or 19.99% with prior written approval of the Company) upon at least 61 days’ prior notice from the holder to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Exercise Price; Adjustment</w:t>
      </w:r>
      <w:r>
        <w:rPr>
          <w:rFonts w:ascii="Times New Roman" w:cs="Times New Roman" w:eastAsia="Times New Roman" w:hAnsi="Times New Roman"/>
          <w:sz w:val="18"/>
          <w:szCs w:val="18"/>
          <w:color w:val="auto"/>
        </w:rPr>
        <w:t>. The initial exercise price per common share purchasable upon exercise of the Class B warrants is $2.00 per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Transferability/Warrant Agent</w:t>
      </w:r>
      <w:r>
        <w:rPr>
          <w:rFonts w:ascii="Times New Roman" w:cs="Times New Roman" w:eastAsia="Times New Roman" w:hAnsi="Times New Roman"/>
          <w:sz w:val="18"/>
          <w:szCs w:val="18"/>
          <w:color w:val="auto"/>
        </w:rPr>
        <w:t>. Subject to applicable laws, the Class B warrants may be offered for sale, sold, transferred or assigned without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There is currently no trading market for the Class B warrants and a trading market is not expected to develop. The Company will initially act as warrant agent for the Class B warrants.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We do not plan on making the Class B warrants eligible to trade on any national securities exchange or any other 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trading system or market.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Class B warrants and generally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common shares, the sale, transfer or other disposition of all or substantially all of our properties or assets, our consolidation or merger with or into another person, the holders of the Class B warrants will be entitled to receive upon exercise of the Class B warrants the kind and amount of securities, cash or other property that the holders would have received had they exercised the Class B warrants immediately prior to such fundamental transaction.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Call Provision</w:t>
      </w:r>
      <w:r>
        <w:rPr>
          <w:rFonts w:ascii="Times New Roman" w:cs="Times New Roman" w:eastAsia="Times New Roman" w:hAnsi="Times New Roman"/>
          <w:sz w:val="18"/>
          <w:szCs w:val="18"/>
          <w:color w:val="auto"/>
        </w:rPr>
        <w:t>. Subject to the terms of the Class B warrants, if (i) the volume weighted average price for each of 30 consecutive trading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exceeds $5.00 (subject to adjustment for forward and reverse stock splits, recapitalizations, stock dividends) and (ii) the holder of the Class B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B warrants for which a notice of exercise has not yet been delivered for consideration equal to $0.0001 per warrant share.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Exercise Price Adjustment for Certain Share Issuances</w:t>
      </w:r>
      <w:r>
        <w:rPr>
          <w:rFonts w:ascii="Times New Roman" w:cs="Times New Roman" w:eastAsia="Times New Roman" w:hAnsi="Times New Roman"/>
          <w:sz w:val="18"/>
          <w:szCs w:val="18"/>
          <w:color w:val="auto"/>
        </w:rPr>
        <w:t>. Subject to customary exceptions set forth in the Class B warrants, from the original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Class B warrant until December 31, 2024, if the Company or any subsidiary thereof, as applicable, at any time while the Class B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w:t>
      </w:r>
    </w:p>
    <w:p>
      <w:pPr>
        <w:spacing w:after="0" w:line="1" w:lineRule="exact"/>
        <w:rPr>
          <w:sz w:val="20"/>
          <w:szCs w:val="20"/>
          <w:color w:val="auto"/>
        </w:rPr>
      </w:pPr>
    </w:p>
    <w:p>
      <w:pPr>
        <w:jc w:val="both"/>
        <w:ind w:firstLine="8"/>
        <w:spacing w:after="0" w:line="255"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spacing w:after="0" w:line="18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Class B warrants or by virtue of such holder’s ownership of common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 Class B warrant does not have the rights or privileges of a holder of our common share, including any voting rights, until the holder exercises the Class B warrant.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Class B warrants are governed by New York law.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a securities purchase agreement directly with the investors who have agreed to purchase our securities in this offering. The securities purchase agreement contains customary representations, warranties and covenants. We will only sell securities in this offering to such investors.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deliver the securities being issued to the investors in this offering upon receipt of investor funds for the purchase of the securities offered pursuant to this prospectus supplement. We expect to deliver the common shares and Class B warrants being offered pursuant to this prospectus supplement on or before November 22,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A.G.P./Alliance Global Partners acted as a placement agent in the offering and Cantor Fitzgerald &amp; Co. and EAS Advisors, through Odeon Capital Group, LLC, are engaged as our financial advisors. The placement agent is not purchasing or selling any of the securities offered by this prospectus supplement, nor is it required to arrange the purchase or sale of any specific number or dollar amount of securities. The terms of this offering were subject to market conditions and negotiations between us and prospective investors. The factors considered in determining the price of the common shares and the Class B warrants included the recent market price of our common shares, the general condition of the securities market at the time of this offering, the history of, and the prospects, for the industry in which we compete, our past and present operations, and our prospects for future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the total offering expenses of this offering that will be payable by us will be approximately $1,000,000, including $200,000 payable to the placement agent (which represents 5.9% of the amount in common shares and Class B warrants placed by the placement agent) and $125,000 for reimbursement to the placement agent for legal fees, which also includes other legal, printing, financial advisors and various other fees.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financial advisors are not acting as underwriters, placement agents or finders in connection with this offering, and accordingly, our financial advisors are neither purchasing shares nor offering shares to the public in connection with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and Public Warrants are listed on Nasdaq under the trading symbol “TMC” and “TMCWW”, respectively.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Class B warrants, and we do not expect a market to develop. In addition, we do not intend to list the Class B warrants, nor do we expect Class B warrants to be quoted, on the Nasdaq or any other national securities exchange or any other nationally recognized trading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supplement and certain other legal matters related to Canadian law. Mintz, Levin, Cohn, Ferris, Glovsky and Popeo, P.C., or Mintz, has passed upon certain other legal matters. Goodwin Procter LLP is counsel to A.G.P./Alliance Global Partners in connection with this offering. Fasken and Mintz own 14,630 and 36,361 common shares,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2023 and 2022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(File No. 333-275822), of which this prospectus supplement and the accompanying prospectus form a part, under the Securities Act, to register our common shares offered by this prospectus supplement. This prospectus supplement and the accompanying prospectus do not contain all of the information contained in the registration statement and the exhibits and schedules to the registration statement. For further information about us and the common shares, please refer to the registration statement, including the exhibits to the registration statement. The exhibits to the registration statement provide more details of the matters discussed in this prospectus supplement and the accompanying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supplement or the accompanying prospectus. We include our website address in this prospectus supplement and the accompanying prospectus only as an inactive textual reference. Information contained in our website does not constitute a part of this prospectus supplement and the accompanying prospectus or our other filings with the SEC.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 SERVICE OF PROCESS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the Province of British Columbia, Canada with our registered office located in British Columbia, Canada.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us or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or other non-U.S. court would take jurisdiction on a matter of liability predicated solely upon U.S. federal securities laws or any state securities or blue-sky laws, and uncertainty with respect to whether a Canadian or other non-U.S. court would enforce a foreign judgement on liabilities predicated upon the U.S. federal securities laws or any state securities or blue-sky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001-39281. The documents incorporated by reference into this prospectus supplement contain important information that you should read about 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225" w:lineRule="exact"/>
        <w:rPr>
          <w:sz w:val="20"/>
          <w:szCs w:val="20"/>
          <w:color w:val="auto"/>
        </w:rPr>
      </w:pPr>
    </w:p>
    <w:p>
      <w:pPr>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3">
        <w:r>
          <w:rPr>
            <w:rFonts w:ascii="Times New Roman" w:cs="Times New Roman" w:eastAsia="Times New Roman" w:hAnsi="Times New Roman"/>
            <w:sz w:val="18"/>
            <w:szCs w:val="18"/>
            <w:u w:val="single" w:color="auto"/>
            <w:color w:val="0000EE"/>
          </w:rPr>
          <w:t>Annual Report on Form 10-K for the fiscal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that we filed with the SEC on March 25, 2024 and as amended on </w:t>
      </w:r>
      <w:hyperlink r:id="rId44">
        <w:r>
          <w:rPr>
            <w:rFonts w:ascii="Times New Roman" w:cs="Times New Roman" w:eastAsia="Times New Roman" w:hAnsi="Times New Roman"/>
            <w:sz w:val="18"/>
            <w:szCs w:val="18"/>
            <w:u w:val="single" w:color="auto"/>
            <w:color w:val="0000EE"/>
          </w:rPr>
          <w:t>Form 10-K/A that we filed with the SEC on April 18, 2024;</w:t>
        </w:r>
      </w:hyperlink>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and June 30, 2024 that we filed with the SEC on </w:t>
      </w:r>
      <w:hyperlink r:id="rId45">
        <w:r>
          <w:rPr>
            <w:rFonts w:ascii="Times New Roman" w:cs="Times New Roman" w:eastAsia="Times New Roman" w:hAnsi="Times New Roman"/>
            <w:sz w:val="18"/>
            <w:szCs w:val="18"/>
            <w:u w:val="single" w:color="auto"/>
            <w:color w:val="0000EE"/>
          </w:rPr>
          <w:t>May 13, 2024</w:t>
        </w:r>
      </w:hyperlink>
      <w:r>
        <w:rPr>
          <w:rFonts w:ascii="Times New Roman" w:cs="Times New Roman" w:eastAsia="Times New Roman" w:hAnsi="Times New Roman"/>
          <w:sz w:val="18"/>
          <w:szCs w:val="18"/>
          <w:color w:val="auto"/>
        </w:rPr>
        <w:t xml:space="preserve"> and </w:t>
      </w:r>
      <w:hyperlink r:id="rId46">
        <w:r>
          <w:rPr>
            <w:rFonts w:ascii="Times New Roman" w:cs="Times New Roman" w:eastAsia="Times New Roman" w:hAnsi="Times New Roman"/>
            <w:sz w:val="18"/>
            <w:szCs w:val="18"/>
            <w:u w:val="single" w:color="auto"/>
            <w:color w:val="0000EE"/>
          </w:rPr>
          <w:t>August 14, 2024</w:t>
        </w:r>
      </w:hyperlink>
      <w:r>
        <w:rPr>
          <w:rFonts w:ascii="Times New Roman" w:cs="Times New Roman" w:eastAsia="Times New Roman" w:hAnsi="Times New Roman"/>
          <w:sz w:val="18"/>
          <w:szCs w:val="18"/>
          <w:color w:val="auto"/>
        </w:rPr>
        <w:t>, respectively;</w:t>
      </w:r>
    </w:p>
    <w:p>
      <w:pPr>
        <w:jc w:val="both"/>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47">
        <w:r>
          <w:rPr>
            <w:rFonts w:ascii="Times New Roman" w:cs="Times New Roman" w:eastAsia="Times New Roman" w:hAnsi="Times New Roman"/>
            <w:sz w:val="18"/>
            <w:szCs w:val="18"/>
            <w:u w:val="single" w:color="auto"/>
            <w:color w:val="0000EE"/>
          </w:rPr>
          <w:t>March 25, 2024</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April 11, 2024</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April 18, 2024</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May 31,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August 16,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September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October 24,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 xml:space="preserve">November 12, 2024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filings that are furnished under applicable SEC rules rather than filed);</w:t>
      </w:r>
    </w:p>
    <w:p>
      <w:pPr>
        <w:spacing w:after="0" w:line="1" w:lineRule="exact"/>
        <w:rPr>
          <w:rFonts w:ascii="Times New Roman" w:cs="Times New Roman" w:eastAsia="Times New Roman" w:hAnsi="Times New Roman"/>
          <w:sz w:val="18"/>
          <w:szCs w:val="18"/>
          <w:color w:val="0000EE"/>
        </w:rPr>
      </w:pP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6">
        <w:r>
          <w:rPr>
            <w:rFonts w:ascii="Times New Roman" w:cs="Times New Roman" w:eastAsia="Times New Roman" w:hAnsi="Times New Roman"/>
            <w:sz w:val="18"/>
            <w:szCs w:val="18"/>
            <w:u w:val="single" w:color="auto"/>
            <w:color w:val="0000EE"/>
          </w:rPr>
          <w:t>Definitive Proxy Statement on Schedule 14A that we filed with the SEC on April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deemed filed under applicable SEC rules;</w:t>
      </w: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w:t>
      </w:r>
      <w:hyperlink r:id="rId57">
        <w:r>
          <w:rPr>
            <w:rFonts w:ascii="Times New Roman" w:cs="Times New Roman" w:eastAsia="Times New Roman" w:hAnsi="Times New Roman"/>
            <w:sz w:val="18"/>
            <w:szCs w:val="18"/>
            <w:u w:val="single" w:color="auto"/>
            <w:color w:val="0000EE"/>
          </w:rPr>
          <w:t>Form 8-A filed on September 10, 2021</w:t>
        </w:r>
      </w:hyperlink>
      <w:r>
        <w:rPr>
          <w:rFonts w:ascii="Times New Roman" w:cs="Times New Roman" w:eastAsia="Times New Roman" w:hAnsi="Times New Roman"/>
          <w:sz w:val="18"/>
          <w:szCs w:val="18"/>
          <w:color w:val="auto"/>
        </w:rPr>
        <w:t>, including any amendment or report filed for the purpose of updating such description; and</w:t>
      </w:r>
    </w:p>
    <w:p>
      <w:pPr>
        <w:jc w:val="both"/>
        <w:ind w:left="980" w:hanging="324"/>
        <w:spacing w:after="0" w:line="253"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189"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or the accompanying prospectus but not delivered with the prospectus, including exhibits which are specifically incorporated by reference into such documents. You should direct any requests for documents to TMC the metals company Inc., 1111 West Hastings Street, 15th Floor, Vancouver, British Columbia V6E 2J3, Canada.</w:t>
      </w:r>
    </w:p>
    <w:p>
      <w:pPr>
        <w:spacing w:after="0" w:line="180" w:lineRule="exact"/>
        <w:rPr>
          <w:rFonts w:ascii="Times New Roman" w:cs="Times New Roman" w:eastAsia="Times New Roman" w:hAnsi="Times New Roman"/>
          <w:sz w:val="18"/>
          <w:szCs w:val="18"/>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156845</wp:posOffset>
            </wp:positionV>
            <wp:extent cx="2237105" cy="831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223710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$100,000,000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November 29, 2023, the last reported sale price of our Common Shares was $1.22 per share. We also have warrants to purchase Common Shares listed on the Nasdaq Global Select Market under the symbol “TMCWW”. On November 29, 2023, the last reported sale price of these public warrants to purchase Common Shares was $0.16.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5 of this prospectus,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440" w:type="dxa"/>
            <w:vAlign w:val="bottom"/>
            <w:gridSpan w:val="12"/>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440" w:type="dxa"/>
            <w:vAlign w:val="bottom"/>
            <w:gridSpan w:val="12"/>
          </w:tcPr>
          <w:p>
            <w:pPr>
              <w:spacing w:after="0"/>
              <w:rPr>
                <w:sz w:val="15"/>
                <w:szCs w:val="15"/>
                <w:color w:val="auto"/>
              </w:rPr>
            </w:pP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420" w:type="dxa"/>
            <w:vAlign w:val="bottom"/>
            <w:gridSpan w:val="18"/>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4680" w:type="dxa"/>
            <w:vAlign w:val="bottom"/>
            <w:tcBorders>
              <w:top w:val="single" w:sz="8" w:color="CCEEFF"/>
            </w:tcBorders>
            <w:gridSpan w:val="4"/>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CERTAIN IMPORTANT PROVISIONS OF THE NOTICE OF ARTICLES AND ARTICLES AND THE BCBCA</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4160" w:type="dxa"/>
            <w:vAlign w:val="bottom"/>
            <w:tcBorders>
              <w:bottom w:val="single" w:sz="8" w:color="CCEEFF"/>
            </w:tcBorders>
            <w:gridSpan w:val="2"/>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00" w:type="dxa"/>
            <w:vAlign w:val="bottom"/>
            <w:tcBorders>
              <w:bottom w:val="single" w:sz="8" w:color="CCEEFF"/>
            </w:tcBorders>
            <w:gridSpan w:val="19"/>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7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where action for that purpose is required, other than in the United States. You are required to inform yourselves about and to observe any restrictions relating to this offering and the distribution of this 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27875" cy="6887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PROSPECTUS SUMMARY</w:t>
      </w:r>
    </w:p>
    <w:p>
      <w:pPr>
        <w:spacing w:after="0" w:line="22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or the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low-carbon energy. Our resource definition work to date shows that nodules in our contract areas represent the world’s largest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 and renewable energy storage markets, (ii) copper cathode for EV wiring, clean energy transmission and other applications, and (iii) manganese silicate for manganese alloy production required for steel production. Our mission is to build a carefully managed, shared stock of metal, which we refer to as a metals commons,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w:t>
      </w:r>
    </w:p>
    <w:p>
      <w:pPr>
        <w:spacing w:after="0" w:line="3" w:lineRule="exact"/>
        <w:rPr>
          <w:sz w:val="20"/>
          <w:szCs w:val="20"/>
          <w:color w:val="auto"/>
        </w:rPr>
      </w:pPr>
    </w:p>
    <w:p>
      <w:pPr>
        <w:jc w:val="both"/>
        <w:ind w:left="4"/>
        <w:spacing w:after="0" w:line="231" w:lineRule="auto"/>
        <w:rPr>
          <w:sz w:val="20"/>
          <w:szCs w:val="20"/>
          <w:color w:val="auto"/>
        </w:rPr>
      </w:pPr>
      <w:r>
        <w:rPr>
          <w:rFonts w:ascii="Times New Roman" w:cs="Times New Roman" w:eastAsia="Times New Roman" w:hAnsi="Times New Roman"/>
          <w:sz w:val="18"/>
          <w:szCs w:val="18"/>
          <w:color w:val="auto"/>
        </w:rPr>
        <w:t>contracts covering approximately 1.28 million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20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 scale polymetallic nodule collection in the CCZ nor do we have the applicable environmental and other permits required to build and/ or operate commercial-scale polymetallic nodule processing and refining plants on land.</w:t>
      </w:r>
    </w:p>
    <w:p>
      <w:pPr>
        <w:spacing w:after="0" w:line="176"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We are currently focused on preparing to submit our application to the ISA for our first exploitation contract for the NORI Area D contract area following the July 2024 meetings of the ISA’s twenty-ninth session. To reach our objectives and initiate commercial production, if our potential application is approved, we are: (i) defining our resource and project economics, (ii) developing a commercial offshore nodule collection system,</w:t>
      </w:r>
    </w:p>
    <w:p>
      <w:pPr>
        <w:spacing w:after="0" w:line="1" w:lineRule="exact"/>
        <w:rPr>
          <w:sz w:val="20"/>
          <w:szCs w:val="20"/>
          <w:color w:val="auto"/>
        </w:rPr>
      </w:pPr>
    </w:p>
    <w:p>
      <w:pPr>
        <w:jc w:val="both"/>
        <w:ind w:left="4" w:hanging="4"/>
        <w:spacing w:after="0" w:line="255"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200" w:lineRule="exact"/>
        <w:rPr>
          <w:sz w:val="20"/>
          <w:szCs w:val="20"/>
          <w:color w:val="auto"/>
        </w:rPr>
      </w:pPr>
    </w:p>
    <w:p>
      <w:pPr>
        <w:spacing w:after="0" w:line="3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4"/>
          </w:cols>
          <w:pgMar w:left="436" w:top="1008"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27875" cy="6861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Cautionary Statements Regarding the NORI Initial Assessment and TOML Mineral Resource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44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In connection with the Business Combination, SOAC changed its name to “TMC the metals company Inc.” Our principal executive offices are located at 595 Howe Street, 10th Floor, Vancouver, British Columbia V6C 2T5, and our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Business Corporations Act (British Columbia).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included our website address in this prospectus solely as an inactive textual reference. Investors should not rely on any such information in deciding whether to purchase our Common Shares or other securities.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008" w:right="45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27875" cy="411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27875" cy="4118610"/>
                    </a:xfrm>
                    <a:prstGeom prst="rect">
                      <a:avLst/>
                    </a:prstGeom>
                    <a:noFill/>
                  </pic:spPr>
                </pic:pic>
              </a:graphicData>
            </a:graphic>
          </wp:anchor>
        </w:drawing>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40" w:hanging="32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012"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the ISA’s final exploitation regulations that will create the legal and technical framework for exploitation of polymetallic nodules in the CCZ;</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content of an application for an exploitation contract and/or plan of work for exploitation to the ISA for NORI Area D and the ISA’s review and approval thereof;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timing of commercial production if the ISA approves an application for an exploitation contract or plan of work for exploitation;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or any of the following: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securities (1) through underwriters or dealers, (2) through agents or (3) directly to one or more purchasers, or through a combination of such methods. We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if required, we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w:t>
      </w:r>
    </w:p>
    <w:p>
      <w:pPr>
        <w:spacing w:after="0" w:line="27" w:lineRule="exact"/>
        <w:rPr>
          <w:sz w:val="20"/>
          <w:szCs w:val="20"/>
          <w:color w:val="auto"/>
        </w:rPr>
      </w:pPr>
    </w:p>
    <w:p>
      <w:pPr>
        <w:jc w:val="both"/>
        <w:ind w:firstLine="8"/>
        <w:spacing w:after="0" w:line="255" w:lineRule="auto"/>
        <w:tabs>
          <w:tab w:leader="none" w:pos="2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November 28, 2023, there were 306,366,984 Common Shares issued and outstanding. As of November 28, 2023, we had approximately 326 record holders of our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28, 2023, there were issued and outstanding (a) 4,999,973 Class A Special Shares, (b) 9,999,853 Class B Special Shares, (c) 9,999,853 Class C Special Shares, (d) 19,999,855 Class D Special Shares, (e) 19,999,855 Class E Special Shares, (f) 19,999,855 Class F Special Shares,</w:t>
      </w: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G Special Shares, (h) 24,999,860 Class H Special Shares, (i) 500,000 Class I Special Shares and (j) 741,000 Class J Special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jc w:val="center"/>
        <w:ind w:left="5540" w:right="1060" w:hanging="5208"/>
        <w:spacing w:after="0" w:line="783" w:lineRule="auto"/>
        <w:tabs>
          <w:tab w:leader="none" w:pos="6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5540" w:right="1320" w:hanging="5208"/>
        <w:spacing w:after="0" w:line="783" w:lineRule="auto"/>
        <w:tabs>
          <w:tab w:leader="none" w:pos="6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225" w:lineRule="exact"/>
        <w:rPr>
          <w:rFonts w:ascii="Times New Roman" w:cs="Times New Roman" w:eastAsia="Times New Roman" w:hAnsi="Times New Roman"/>
          <w:sz w:val="18"/>
          <w:szCs w:val="18"/>
          <w:color w:val="auto"/>
        </w:rPr>
      </w:pPr>
    </w:p>
    <w:p>
      <w:pPr>
        <w:ind w:right="900" w:firstLine="332"/>
        <w:spacing w:after="0" w:line="498"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The transfer agent and registrar for any warrants we offer will be set forth in the applicable prospectus supplement.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November 28, 2023,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5" w:lineRule="exact"/>
        <w:rPr>
          <w:sz w:val="20"/>
          <w:szCs w:val="20"/>
          <w:color w:val="auto"/>
        </w:rPr>
      </w:pPr>
    </w:p>
    <w:p>
      <w:pPr>
        <w:jc w:val="both"/>
        <w:ind w:firstLine="8"/>
        <w:spacing w:after="0" w:line="250" w:lineRule="auto"/>
        <w:tabs>
          <w:tab w:leader="none" w:pos="2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w:t>
      </w:r>
    </w:p>
    <w:p>
      <w:pPr>
        <w:jc w:val="both"/>
        <w:ind w:firstLine="8"/>
        <w:spacing w:after="0" w:line="252" w:lineRule="auto"/>
        <w:tabs>
          <w:tab w:leader="none" w:pos="2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November 28, 2023,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August 14, 2023 registered direct offering of common shares and accompanying Class A warrants to purchase common shares at a purchase price of $2.00 per common share and accompanying half of a Class A warrant to purchase one common share, as of November 28, 2023, we have issued Class A warrants to purchase 3,980,770 common shares and expect to issue additional Class A warrants to purchase 2,250,000 common shares on or before January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Adjustment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exercise price per common share purchasable upon exercise of the Class A warrants is $3.00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Transferability/Warrant Agent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laws, the Class A warrants may be offered for sale, sold, transferred or assigned without our consent. There is currently no trading market for the Class A warrants and a trading market is not expected to develop. The Company will initially act as warrant agent for the Class A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plan on making the Class A warrants eligible to trade on any national securities exchange or any other nationally recognized trading system or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Provision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Adjustment for Certain Share Issuances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customary exceptions set forth in the Class A warrants, from the original issue date of the Class A warrant until December 31, 2024, if the Company or any subsidiary thereof, as applicable, at any time while the Class A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warrants are governed by New York law.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w:t>
      </w:r>
    </w:p>
    <w:p>
      <w:pPr>
        <w:spacing w:after="0" w:line="6" w:lineRule="exact"/>
        <w:rPr>
          <w:sz w:val="20"/>
          <w:szCs w:val="20"/>
          <w:color w:val="auto"/>
        </w:rPr>
      </w:pPr>
    </w:p>
    <w:p>
      <w:pPr>
        <w:jc w:val="both"/>
        <w:ind w:firstLine="8"/>
        <w:spacing w:after="0" w:line="255"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CAD$1.931 billion. For most other investors who are not state-owned enterprises the threshold is currently CAD$1.287 billion for 2023.</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 on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2022.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and/or public warrants as capital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 or an “authorized foreign bank” (as defined in the Tax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at arm’s length (for the purposes of the Tax Act),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2022 and 2021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our Annual Report on Form 10-K for the fiscal year ended December 31, 2022 that we filed with the SEC on March 27, 2023;</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108">
        <w:r>
          <w:rPr>
            <w:rFonts w:ascii="Times New Roman" w:cs="Times New Roman" w:eastAsia="Times New Roman" w:hAnsi="Times New Roman"/>
            <w:sz w:val="18"/>
            <w:szCs w:val="18"/>
            <w:u w:val="single" w:color="auto"/>
            <w:color w:val="0000EE"/>
          </w:rPr>
          <w:t>May 11,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 xml:space="preserve">August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auto"/>
          </w:rPr>
          <w:t xml:space="preserve">our Current Reports on Form 8-K and amendments thereto that we filed with the SEC on </w:t>
        </w:r>
        <w:r>
          <w:rPr>
            <w:rFonts w:ascii="Times New Roman" w:cs="Times New Roman" w:eastAsia="Times New Roman" w:hAnsi="Times New Roman"/>
            <w:sz w:val="18"/>
            <w:szCs w:val="18"/>
            <w:u w:val="single" w:color="auto"/>
            <w:color w:val="0000EE"/>
          </w:rPr>
          <w:t>February 16,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22,</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2">
        <w:r>
          <w:rPr>
            <w:rFonts w:ascii="Times New Roman" w:cs="Times New Roman" w:eastAsia="Times New Roman" w:hAnsi="Times New Roman"/>
            <w:sz w:val="18"/>
            <w:szCs w:val="18"/>
            <w:u w:val="single" w:color="auto"/>
            <w:color w:val="0000EE"/>
          </w:rPr>
          <w:t>April 20, 2023</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May 30, 2023</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4">
        <w:r>
          <w:rPr>
            <w:rFonts w:ascii="Times New Roman" w:cs="Times New Roman" w:eastAsia="Times New Roman" w:hAnsi="Times New Roman"/>
            <w:sz w:val="18"/>
            <w:szCs w:val="18"/>
            <w:u w:val="single" w:color="auto"/>
            <w:color w:val="0000EE"/>
          </w:rPr>
          <w:t>June 8, 2023</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5">
        <w:r>
          <w:rPr>
            <w:rFonts w:ascii="Times New Roman" w:cs="Times New Roman" w:eastAsia="Times New Roman" w:hAnsi="Times New Roman"/>
            <w:sz w:val="18"/>
            <w:szCs w:val="18"/>
            <w:u w:val="single" w:color="auto"/>
            <w:color w:val="0000EE"/>
          </w:rPr>
          <w:t>June 30, 2023</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6">
        <w:r>
          <w:rPr>
            <w:rFonts w:ascii="Times New Roman" w:cs="Times New Roman" w:eastAsia="Times New Roman" w:hAnsi="Times New Roman"/>
            <w:sz w:val="18"/>
            <w:szCs w:val="18"/>
            <w:u w:val="single" w:color="auto"/>
            <w:color w:val="0000EE"/>
          </w:rPr>
          <w:t xml:space="preserve">August 1, 2023 </w:t>
        </w:r>
      </w:hyperlink>
      <w:hyperlink r:id="rId11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17">
        <w:r>
          <w:rPr>
            <w:rFonts w:ascii="Times New Roman" w:cs="Times New Roman" w:eastAsia="Times New Roman" w:hAnsi="Times New Roman"/>
            <w:sz w:val="18"/>
            <w:szCs w:val="18"/>
            <w:u w:val="single" w:color="auto"/>
            <w:color w:val="0000EE"/>
          </w:rPr>
          <w:t xml:space="preserve">August 14, 2023 </w:t>
        </w:r>
      </w:hyperlink>
      <w:hyperlink r:id="rId111">
        <w:r>
          <w:rPr>
            <w:rFonts w:ascii="Times New Roman" w:cs="Times New Roman" w:eastAsia="Times New Roman" w:hAnsi="Times New Roman"/>
            <w:sz w:val="18"/>
            <w:szCs w:val="18"/>
            <w:color w:val="000000"/>
          </w:rPr>
          <w:t>(other than any portion of such filings that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 furnished under applicable SEC rules rather than filed);</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spacing w:after="0" w:line="161" w:lineRule="exact"/>
        <w:rPr>
          <w:rFonts w:ascii="Times New Roman" w:cs="Times New Roman" w:eastAsia="Times New Roman" w:hAnsi="Times New Roman"/>
          <w:sz w:val="18"/>
          <w:szCs w:val="18"/>
          <w:u w:val="single" w:color="auto"/>
          <w:color w:val="0000EE"/>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205" w:lineRule="exact"/>
        <w:rPr>
          <w:rFonts w:ascii="Times New Roman" w:cs="Times New Roman" w:eastAsia="Times New Roman" w:hAnsi="Times New Roman"/>
          <w:sz w:val="18"/>
          <w:szCs w:val="18"/>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2471420</wp:posOffset>
            </wp:positionH>
            <wp:positionV relativeFrom="page">
              <wp:posOffset>612140</wp:posOffset>
            </wp:positionV>
            <wp:extent cx="2614930" cy="925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61493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17,500,000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B Warrants to Purchase 8,750,000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150495</wp:posOffset>
            </wp:positionV>
            <wp:extent cx="1783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617220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Roman"/>
      <w:start w:val="3"/>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Letter"/>
      <w:start w:val="3"/>
    </w:lvl>
  </w:abstractNum>
  <w:abstractNum w:abstractNumId="18">
    <w:nsid w:val="614FD4A1"/>
    <w:multiLevelType w:val="hybridMultilevel"/>
    <w:lvl w:ilvl="0">
      <w:lvlJc w:val="left"/>
      <w:lvlText w:val="(%1)"/>
      <w:numFmt w:val="lowerLetter"/>
      <w:start w:val="7"/>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lowerRoman"/>
      <w:start w:val="2"/>
    </w:lvl>
  </w:abstractNum>
  <w:abstractNum w:abstractNumId="36">
    <w:nsid w:val="2A487CB0"/>
    <w:multiLevelType w:val="hybridMultilevel"/>
    <w:lvl w:ilvl="0">
      <w:lvlJc w:val="left"/>
      <w:lvlText w:val="(%1)"/>
      <w:numFmt w:val="lowerRoman"/>
      <w:start w:val="2"/>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Roman"/>
      <w:start w:val="4"/>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3"/>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jpe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jpe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43" Type="http://schemas.openxmlformats.org/officeDocument/2006/relationships/hyperlink" Target="https://www.sec.gov/ix?doc=/Archives/edgar/data/1798562/000110465924038505/tmc-20231231x10k.htm" TargetMode="External"/><Relationship Id="rId44" Type="http://schemas.openxmlformats.org/officeDocument/2006/relationships/hyperlink" Target="https://www.sec.gov/ix?doc=/Archives/edgar/data/1798562/000110465924048641/tm241118d2_10ka.htm" TargetMode="External"/><Relationship Id="rId45" Type="http://schemas.openxmlformats.org/officeDocument/2006/relationships/hyperlink" Target="https://www.sec.gov/ix?doc=/Archives/edgar/data/1798562/000110465924060532/tmc-20240331x10q.htm" TargetMode="External"/><Relationship Id="rId46" Type="http://schemas.openxmlformats.org/officeDocument/2006/relationships/hyperlink" Target="https://www.sec.gov/ix?doc=/Archives/edgar/data/1798562/000110465924089697/tmc-20240630x10q.htm" TargetMode="External"/><Relationship Id="rId47" Type="http://schemas.openxmlformats.org/officeDocument/2006/relationships/hyperlink" Target="https://www.sec.gov/ix?doc=/Archives/edgar/data/1798562/000110465924038460/tm249627d1_8k.htm" TargetMode="External"/><Relationship Id="rId48" Type="http://schemas.openxmlformats.org/officeDocument/2006/relationships/hyperlink" Target="https://www.sec.gov/ix?doc=/Archives/edgar/data/1798562/000110465924046107/tm2411549d1_8k.htm" TargetMode="External"/><Relationship Id="rId49" Type="http://schemas.openxmlformats.org/officeDocument/2006/relationships/hyperlink" Target="https://www.sec.gov/ix?doc=/Archives/edgar/data/1798562/000110465924048642/tm2411911d1_8k.htm" TargetMode="External"/><Relationship Id="rId50" Type="http://schemas.openxmlformats.org/officeDocument/2006/relationships/hyperlink" Target="https://www.sec.gov/ix?doc=/Archives/edgar/data/1798562/000110465924065355/tm2415663d1_8k.htm" TargetMode="External"/><Relationship Id="rId51" Type="http://schemas.openxmlformats.org/officeDocument/2006/relationships/hyperlink" Target="https://www.sec.gov/ix?doc=/Archives/edgar/data/1798562/000110465924066915/tm2416040d1_8k.htm" TargetMode="External"/><Relationship Id="rId52" Type="http://schemas.openxmlformats.org/officeDocument/2006/relationships/hyperlink" Target="https://www.sec.gov/ix?doc=/Archives/edgar/data/1798562/000110465924090521/tm2415212d3_8k.htm" TargetMode="External"/><Relationship Id="rId53" Type="http://schemas.openxmlformats.org/officeDocument/2006/relationships/hyperlink" Target="https://www.sec.gov/ix?doc=/Archives/edgar/data/1798562/000110465924099119/tm2423852d1_8k.htm" TargetMode="External"/><Relationship Id="rId54" Type="http://schemas.openxmlformats.org/officeDocument/2006/relationships/hyperlink" Target="https://www.sec.gov/ix?doc=/Archives/edgar/data/1798562/000110465924111183/tm2426755d1_8k.htm" TargetMode="External"/><Relationship Id="rId55" Type="http://schemas.openxmlformats.org/officeDocument/2006/relationships/hyperlink" Target="https://www.sec.gov/ix?doc=/Archives/edgar/data/1798562/000110465924116783/tm2427511d2_8k.htm" TargetMode="External"/><Relationship Id="rId56" Type="http://schemas.openxmlformats.org/officeDocument/2006/relationships/hyperlink" Target="https://www.sec.gov/Archives/edgar/data/1798562/000110465924048644/tm242996-1_def14a.htm" TargetMode="External"/><Relationship Id="rId57" Type="http://schemas.openxmlformats.org/officeDocument/2006/relationships/hyperlink" Target="https://www.sec.gov/Archives/edgar/data/1798562/000121390021047279/ea146988-8a12b_tmcthemetals.htm" TargetMode="External"/><Relationship Id="rId107" Type="http://schemas.openxmlformats.org/officeDocument/2006/relationships/hyperlink" Target="https://www.sec.gov/ix?doc=/Archives/edgar/data/1798562/000110465923037110/tmc-20221231x10k.htm" TargetMode="External"/><Relationship Id="rId108" Type="http://schemas.openxmlformats.org/officeDocument/2006/relationships/hyperlink" Target="https://www.sec.gov/ix?doc=/Archives/edgar/data/1798562/000110465923059123/tmc-20230331x10q.htm" TargetMode="External"/><Relationship Id="rId109" Type="http://schemas.openxmlformats.org/officeDocument/2006/relationships/hyperlink" Target="https://www.sec.gov/ix?doc=/Archives/edgar/data/1798562/000110465923091509/tmc-20230630x10q.htm" TargetMode="External"/><Relationship Id="rId110" Type="http://schemas.openxmlformats.org/officeDocument/2006/relationships/hyperlink" Target="https://www.sec.gov/ix?doc=/Archives/edgar/data/1798562/000110465923116306/tmc-20230930x10q.htm" TargetMode="External"/><Relationship Id="rId111" Type="http://schemas.openxmlformats.org/officeDocument/2006/relationships/hyperlink" Target="https://www.sec.gov/ix?doc=/Archives/edgar/data/1798562/000110465923024088/tm237472d2_8k.htm" TargetMode="External"/><Relationship Id="rId112" Type="http://schemas.openxmlformats.org/officeDocument/2006/relationships/hyperlink" Target="https://www.sec.gov/ix?doc=/Archives/edgar/data/1798562/000110465923047863/tm2312599d5_8k.htm" TargetMode="External"/><Relationship Id="rId113" Type="http://schemas.openxmlformats.org/officeDocument/2006/relationships/hyperlink" Target="https://www.sec.gov/ix?doc=/Archives/edgar/data/1798562/000110465923066190/tm2317310d1_8k.htm" TargetMode="External"/><Relationship Id="rId114" Type="http://schemas.openxmlformats.org/officeDocument/2006/relationships/hyperlink" Target="https://www.sec.gov/ix?doc=/Archives/edgar/data/1798562/000110465923069479/tm2318023d1_8k.htm" TargetMode="External"/><Relationship Id="rId115" Type="http://schemas.openxmlformats.org/officeDocument/2006/relationships/hyperlink" Target="https://www.sec.gov/ix?doc=/Archives/edgar/data/1798562/000110465923076976/tm2320351d1_8k.htm" TargetMode="External"/><Relationship Id="rId116" Type="http://schemas.openxmlformats.org/officeDocument/2006/relationships/hyperlink" Target="https://www.sec.gov/ix?doc=/Archives/edgar/data/1798562/000110465923086437/tm2322494d1_8k.htm" TargetMode="External"/><Relationship Id="rId117" Type="http://schemas.openxmlformats.org/officeDocument/2006/relationships/hyperlink" Target="https://www.sec.gov/ix?doc=/Archives/edgar/data/1798562/000110465923091027/tm2323509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2024-11-15T16:36:20Z</dcterms:created>
  <dcterms:modified xsi:type="dcterms:W3CDTF">2024-11-15T16:36:20Z</dcterms:modified>
</cp:coreProperties>
</file>