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292100</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326390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1"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9"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6"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147320</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tbl>
      <w:tblPr>
        <w:tblLayout w:type="fixed"/>
        <w:tblInd w:w="500" w:type="dxa"/>
        <w:tblCellMar>
          <w:top w:w="0" w:type="dxa"/>
          <w:left w:w="0" w:type="dxa"/>
          <w:bottom w:w="0" w:type="dxa"/>
          <w:right w:w="0" w:type="dxa"/>
        </w:tblCellMar>
      </w:tblPr>
      <w:tr>
        <w:trPr>
          <w:trHeight w:val="217"/>
        </w:trPr>
        <w:tc>
          <w:tcPr>
            <w:tcW w:w="3520" w:type="dxa"/>
            <w:vAlign w:val="bottom"/>
          </w:tcPr>
          <w:p>
            <w:pPr>
              <w:jc w:val="center"/>
              <w:ind w:right="591"/>
              <w:spacing w:after="0"/>
              <w:rPr>
                <w:sz w:val="20"/>
                <w:szCs w:val="20"/>
                <w:color w:val="auto"/>
              </w:rPr>
            </w:pPr>
            <w:r>
              <w:rPr>
                <w:rFonts w:ascii="Times New Roman" w:cs="Times New Roman" w:eastAsia="Times New Roman" w:hAnsi="Times New Roman"/>
                <w:sz w:val="18"/>
                <w:szCs w:val="18"/>
                <w:b w:val="1"/>
                <w:bCs w:val="1"/>
                <w:color w:val="auto"/>
                <w:w w:val="98"/>
              </w:rPr>
              <w:t>British Columbia, Canada</w:t>
            </w:r>
          </w:p>
        </w:tc>
        <w:tc>
          <w:tcPr>
            <w:tcW w:w="3680" w:type="dxa"/>
            <w:vAlign w:val="bottom"/>
          </w:tcPr>
          <w:p>
            <w:pPr>
              <w:jc w:val="right"/>
              <w:ind w:right="1531"/>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1"/>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3"/>
        </w:trPr>
        <w:tc>
          <w:tcPr>
            <w:tcW w:w="3520" w:type="dxa"/>
            <w:vAlign w:val="bottom"/>
          </w:tcPr>
          <w:p>
            <w:pPr>
              <w:jc w:val="center"/>
              <w:ind w:right="631"/>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68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911"/>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32"/>
        </w:trPr>
        <w:tc>
          <w:tcPr>
            <w:tcW w:w="3520" w:type="dxa"/>
            <w:vAlign w:val="bottom"/>
          </w:tcPr>
          <w:p>
            <w:pPr>
              <w:jc w:val="center"/>
              <w:ind w:right="571"/>
              <w:spacing w:after="0"/>
              <w:rPr>
                <w:sz w:val="20"/>
                <w:szCs w:val="20"/>
                <w:color w:val="auto"/>
              </w:rPr>
            </w:pPr>
            <w:r>
              <w:rPr>
                <w:rFonts w:ascii="Times New Roman" w:cs="Times New Roman" w:eastAsia="Times New Roman" w:hAnsi="Times New Roman"/>
                <w:sz w:val="18"/>
                <w:szCs w:val="18"/>
                <w:color w:val="auto"/>
                <w:w w:val="99"/>
              </w:rPr>
              <w:t>incorporation)</w:t>
            </w:r>
          </w:p>
        </w:tc>
        <w:tc>
          <w:tcPr>
            <w:tcW w:w="3680" w:type="dxa"/>
            <w:vAlign w:val="bottom"/>
          </w:tcPr>
          <w:p>
            <w:pPr>
              <w:spacing w:after="0"/>
              <w:rPr>
                <w:sz w:val="20"/>
                <w:szCs w:val="20"/>
                <w:color w:val="auto"/>
              </w:rPr>
            </w:pPr>
          </w:p>
        </w:tc>
        <w:tc>
          <w:tcPr>
            <w:tcW w:w="2360" w:type="dxa"/>
            <w:vAlign w:val="bottom"/>
          </w:tcPr>
          <w:p>
            <w:pPr>
              <w:jc w:val="center"/>
              <w:ind w:left="951"/>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31"/>
        </w:trPr>
        <w:tc>
          <w:tcPr>
            <w:tcW w:w="3520" w:type="dxa"/>
            <w:vAlign w:val="bottom"/>
          </w:tcPr>
          <w:p>
            <w:pPr>
              <w:jc w:val="center"/>
              <w:ind w:right="591"/>
              <w:spacing w:after="0"/>
              <w:rPr>
                <w:sz w:val="20"/>
                <w:szCs w:val="20"/>
                <w:color w:val="auto"/>
              </w:rPr>
            </w:pPr>
            <w:r>
              <w:rPr>
                <w:rFonts w:ascii="Times New Roman" w:cs="Times New Roman" w:eastAsia="Times New Roman" w:hAnsi="Times New Roman"/>
                <w:sz w:val="18"/>
                <w:szCs w:val="18"/>
                <w:b w:val="1"/>
                <w:bCs w:val="1"/>
                <w:color w:val="auto"/>
                <w:w w:val="97"/>
              </w:rPr>
              <w:t>1111 West Hastings Street, 15th Floor</w:t>
            </w:r>
          </w:p>
        </w:tc>
        <w:tc>
          <w:tcPr>
            <w:tcW w:w="36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17"/>
        </w:trPr>
        <w:tc>
          <w:tcPr>
            <w:tcW w:w="3520" w:type="dxa"/>
            <w:vAlign w:val="bottom"/>
          </w:tcPr>
          <w:p>
            <w:pPr>
              <w:jc w:val="center"/>
              <w:ind w:right="571"/>
              <w:spacing w:after="0"/>
              <w:rPr>
                <w:sz w:val="20"/>
                <w:szCs w:val="20"/>
                <w:color w:val="auto"/>
              </w:rPr>
            </w:pPr>
            <w:r>
              <w:rPr>
                <w:rFonts w:ascii="Times New Roman" w:cs="Times New Roman" w:eastAsia="Times New Roman" w:hAnsi="Times New Roman"/>
                <w:sz w:val="18"/>
                <w:szCs w:val="18"/>
                <w:b w:val="1"/>
                <w:bCs w:val="1"/>
                <w:color w:val="auto"/>
                <w:w w:val="97"/>
              </w:rPr>
              <w:t>Vancouver, British Columbia</w:t>
            </w:r>
          </w:p>
        </w:tc>
        <w:tc>
          <w:tcPr>
            <w:tcW w:w="3680" w:type="dxa"/>
            <w:vAlign w:val="bottom"/>
          </w:tcPr>
          <w:p>
            <w:pPr>
              <w:spacing w:after="0"/>
              <w:rPr>
                <w:sz w:val="18"/>
                <w:szCs w:val="18"/>
                <w:color w:val="auto"/>
              </w:rPr>
            </w:pPr>
          </w:p>
        </w:tc>
        <w:tc>
          <w:tcPr>
            <w:tcW w:w="2360" w:type="dxa"/>
            <w:vAlign w:val="bottom"/>
          </w:tcPr>
          <w:p>
            <w:pPr>
              <w:jc w:val="center"/>
              <w:ind w:left="931"/>
              <w:spacing w:after="0"/>
              <w:rPr>
                <w:sz w:val="20"/>
                <w:szCs w:val="20"/>
                <w:color w:val="auto"/>
              </w:rPr>
            </w:pPr>
            <w:r>
              <w:rPr>
                <w:rFonts w:ascii="Times New Roman" w:cs="Times New Roman" w:eastAsia="Times New Roman" w:hAnsi="Times New Roman"/>
                <w:sz w:val="18"/>
                <w:szCs w:val="18"/>
                <w:b w:val="1"/>
                <w:bCs w:val="1"/>
                <w:color w:val="auto"/>
              </w:rPr>
              <w:t>V6E 2J3</w:t>
            </w:r>
          </w:p>
        </w:tc>
      </w:tr>
      <w:tr>
        <w:trPr>
          <w:trHeight w:val="213"/>
        </w:trPr>
        <w:tc>
          <w:tcPr>
            <w:tcW w:w="3520" w:type="dxa"/>
            <w:vAlign w:val="bottom"/>
          </w:tcPr>
          <w:p>
            <w:pPr>
              <w:jc w:val="center"/>
              <w:ind w:right="551"/>
              <w:spacing w:after="0"/>
              <w:rPr>
                <w:sz w:val="20"/>
                <w:szCs w:val="20"/>
                <w:color w:val="auto"/>
              </w:rPr>
            </w:pPr>
            <w:r>
              <w:rPr>
                <w:rFonts w:ascii="Times New Roman" w:cs="Times New Roman" w:eastAsia="Times New Roman" w:hAnsi="Times New Roman"/>
                <w:sz w:val="18"/>
                <w:szCs w:val="18"/>
                <w:color w:val="auto"/>
                <w:w w:val="99"/>
              </w:rPr>
              <w:t>(Address of principal executive </w:t>
            </w:r>
          </w:p>
        </w:tc>
        <w:tc>
          <w:tcPr>
            <w:tcW w:w="3680" w:type="dxa"/>
            <w:vAlign w:val="bottom"/>
          </w:tcPr>
          <w:p>
            <w:pPr>
              <w:spacing w:after="0"/>
              <w:rPr>
                <w:sz w:val="18"/>
                <w:szCs w:val="18"/>
                <w:color w:val="auto"/>
              </w:rPr>
            </w:pPr>
          </w:p>
        </w:tc>
        <w:tc>
          <w:tcPr>
            <w:tcW w:w="2360" w:type="dxa"/>
            <w:vAlign w:val="bottom"/>
          </w:tcPr>
          <w:p>
            <w:pPr>
              <w:jc w:val="center"/>
              <w:ind w:left="931"/>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2"/>
        </w:trPr>
        <w:tc>
          <w:tcPr>
            <w:tcW w:w="3520" w:type="dxa"/>
            <w:vAlign w:val="bottom"/>
          </w:tcPr>
          <w:p>
            <w:pPr>
              <w:jc w:val="center"/>
              <w:ind w:right="571"/>
              <w:spacing w:after="0"/>
              <w:rPr>
                <w:sz w:val="20"/>
                <w:szCs w:val="20"/>
                <w:color w:val="auto"/>
              </w:rPr>
            </w:pPr>
            <w:r>
              <w:rPr>
                <w:rFonts w:ascii="Times New Roman" w:cs="Times New Roman" w:eastAsia="Times New Roman" w:hAnsi="Times New Roman"/>
                <w:sz w:val="18"/>
                <w:szCs w:val="18"/>
                <w:color w:val="auto"/>
                <w:w w:val="98"/>
              </w:rPr>
              <w:t>offices)</w:t>
            </w:r>
          </w:p>
        </w:tc>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458-3420</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94" w:lineRule="exact"/>
        <w:rPr>
          <w:sz w:val="24"/>
          <w:szCs w:val="24"/>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3" w:lineRule="exact"/>
        <w:rPr>
          <w:sz w:val="24"/>
          <w:szCs w:val="24"/>
          <w:color w:val="auto"/>
        </w:rPr>
      </w:pPr>
    </w:p>
    <w:p>
      <w:pPr>
        <w:ind w:left="320" w:hanging="313"/>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9" w:lineRule="exact"/>
        <w:rPr>
          <w:rFonts w:ascii="MS PGothic" w:cs="MS PGothic" w:eastAsia="MS PGothic" w:hAnsi="MS PGothic"/>
          <w:sz w:val="18"/>
          <w:szCs w:val="18"/>
          <w:color w:val="auto"/>
        </w:rPr>
      </w:pPr>
    </w:p>
    <w:p>
      <w:pPr>
        <w:ind w:left="320" w:hanging="313"/>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9" w:lineRule="exact"/>
        <w:rPr>
          <w:rFonts w:ascii="MS PGothic" w:cs="MS PGothic" w:eastAsia="MS PGothic" w:hAnsi="MS PGothic"/>
          <w:sz w:val="18"/>
          <w:szCs w:val="18"/>
          <w:color w:val="auto"/>
        </w:rPr>
      </w:pPr>
    </w:p>
    <w:p>
      <w:pPr>
        <w:ind w:left="320" w:hanging="313"/>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9" w:lineRule="exact"/>
        <w:rPr>
          <w:rFonts w:ascii="MS PGothic" w:cs="MS PGothic" w:eastAsia="MS PGothic" w:hAnsi="MS PGothic"/>
          <w:sz w:val="18"/>
          <w:szCs w:val="18"/>
          <w:color w:val="auto"/>
        </w:rPr>
      </w:pPr>
    </w:p>
    <w:p>
      <w:pPr>
        <w:ind w:right="2960" w:firstLine="7"/>
        <w:spacing w:after="0" w:line="492" w:lineRule="auto"/>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 on</w:t>
            </w:r>
          </w:p>
        </w:tc>
      </w:tr>
      <w:tr>
        <w:trPr>
          <w:trHeight w:val="236"/>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88"/>
        </w:trPr>
        <w:tc>
          <w:tcPr>
            <w:tcW w:w="38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TMC Common Shares without par value</w:t>
            </w:r>
          </w:p>
        </w:tc>
        <w:tc>
          <w:tcPr>
            <w:tcW w:w="120" w:type="dxa"/>
            <w:vAlign w:val="bottom"/>
          </w:tcPr>
          <w:p>
            <w:pPr>
              <w:spacing w:after="0"/>
              <w:rPr>
                <w:sz w:val="16"/>
                <w:szCs w:val="16"/>
                <w:color w:val="auto"/>
              </w:rPr>
            </w:pPr>
          </w:p>
        </w:tc>
        <w:tc>
          <w:tcPr>
            <w:tcW w:w="358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TMC</w:t>
            </w:r>
          </w:p>
        </w:tc>
        <w:tc>
          <w:tcPr>
            <w:tcW w:w="120" w:type="dxa"/>
            <w:vAlign w:val="bottom"/>
          </w:tcPr>
          <w:p>
            <w:pPr>
              <w:spacing w:after="0"/>
              <w:rPr>
                <w:sz w:val="16"/>
                <w:szCs w:val="16"/>
                <w:color w:val="auto"/>
              </w:rPr>
            </w:pPr>
          </w:p>
        </w:tc>
        <w:tc>
          <w:tcPr>
            <w:tcW w:w="358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The Nasdaq Stock Market LLC</w:t>
            </w:r>
          </w:p>
        </w:tc>
      </w:tr>
      <w:tr>
        <w:trPr>
          <w:trHeight w:val="213"/>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Redeemable warrants, each whole warrant</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TMCWW</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Nasdaq Stock Market LLC</w:t>
            </w:r>
          </w:p>
        </w:tc>
      </w:tr>
      <w:tr>
        <w:trPr>
          <w:trHeight w:val="213"/>
        </w:trPr>
        <w:tc>
          <w:tcPr>
            <w:tcW w:w="3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exercisable for one TMC Common Share, each at an</w:t>
            </w: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2"/>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exercise price of $11.50 per share</w:t>
            </w:r>
          </w:p>
        </w:tc>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194" w:lineRule="exact"/>
        <w:rPr>
          <w:sz w:val="24"/>
          <w:szCs w:val="24"/>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3" w:lineRule="exact"/>
        <w:rPr>
          <w:sz w:val="24"/>
          <w:szCs w:val="24"/>
          <w:color w:val="auto"/>
        </w:rPr>
      </w:pPr>
    </w:p>
    <w:p>
      <w:pPr>
        <w:ind w:left="906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1" w:lineRule="exact"/>
        <w:rPr>
          <w:sz w:val="24"/>
          <w:szCs w:val="24"/>
          <w:color w:val="auto"/>
        </w:rPr>
      </w:pPr>
    </w:p>
    <w:p>
      <w:pPr>
        <w:jc w:val="both"/>
        <w:ind w:firstLine="320"/>
        <w:spacing w:after="0" w:line="23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143510</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584200</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1" w:name="page2"/>
    <w:bookmarkEnd w:id="1"/>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On November 14, 2024, TMC the metals company Inc. (the “Company”) entered into a securities purchase agreement (the “Purchase Agreement”) with certain investors (the “Purchasers”) pursuant to which the Company agreed to sell and issue, in a registered direct offering (the “Registered Offering”), an aggregate of 17,500,000 common shares (the “Shares”) of the Company, without par value (the “Common Shares”), and accompanying Class B Common Share warrants (the “Class B Warrants” and collectively with the Shares, the “Securities”) to purchase an aggregate of 8,750,000 Common Shares. The aggregate gross proceeds to the Company from the Registered Offering are expected to be approximately $17,500,000 million, before deducting offering expenses payable by the Company, not including the exercise of the Class B Warrants. Each Common Share and the accompanying Class B Warrant to purchase one half of a Common Share are being sold at a price of US$1.00.</w:t>
      </w:r>
    </w:p>
    <w:p>
      <w:pPr>
        <w:spacing w:after="0" w:line="187"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Securities are being offered by the Company pursuant to the Company’s registration statement on Form S-3 (Reg. No. 333-275822) previously filed with the U.S. Securities and Exchange Commission (the “SEC”) on November 30, 2023 and declared effective by the SEC on December 8, 2023, the base prospectus contained therein, and a prospectus supplement dated November 14, 2024.</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closing of the Registered Offering is expected to occur on or before November 22, 2024, subject to the satisfaction of customary closing conditions.</w:t>
      </w:r>
    </w:p>
    <w:p>
      <w:pPr>
        <w:spacing w:after="0" w:line="163"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The Class B Warrants have an initial exercise price of $2.00, are exercisable immediately upon issuance and will expire five years after issuance. The Class B Warrants are subject to adjustment in the event of certain share dividends and distributions, share splits, share combinations, reclassifications or similar events affecting the Common Shares upon any distributions for no consideration of assets to the Company’s shareholders. Subject to customary exceptions contained in the Class B Warrants, until December 31, 2024, the Class B Warrants are subject to price-based adjustment in the event of any issuances of Common Shares, or security convertible, exercisable or exchangeable for Common Shares, at a price below the lower of (i) $2.00 (as equitably adjusted for share splits, recapitalization, share dividends and the like) and (ii) the then effective exercise price. The Company may also repurchase the Class B Warrants for $0.0001 per Common Share underlying the Class B Warrants if the volume weighted average price for the Common Shares for each trading day in a 30-consecutive trading day period exceeds $5.00. In the event of certain corporate transactions, the holders of the Class B Warrants will be entitled to receive, upon exercise of the Class B Warrants, the kind and amount of securities, cash or other property that the holders would have received had they exercised the Class B Warrants immediately prior to such transaction. Each holder of a Class B Warrant will not have the right to exercise any portion of its Class B Warrant if the holder, together with its affiliates, would beneficially own in excess of 4.99% (or 9.99% or 19.99% at the election of a holder prior to the date of issuance) of the number of Common Shares outstanding immediately after giving effect to such exercise (the “Common Warrant Beneficial Ownership Limitation”); provided, however, that upon 61 days’ prior notice to the Company, the holder may increase the Common Warrant Beneficial Ownership Limitation, but not to above 9.99%, or 19.99% with the Company’s approval. The Class B Warrants do not entitle the holders thereof to any voting rights or any of the other rights or privileges to which holders of Common Stock are entitled.</w:t>
      </w:r>
    </w:p>
    <w:p>
      <w:pPr>
        <w:spacing w:after="0" w:line="195"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Class B Warrants are not listed, and the Company does not intend to list the Class B Warrants, for trading on the Nasdaq Global Select Market or any other national securities exchange or any other nationally recognized trading system.</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A.G.P./Alliance Global Partners acted as a placement agent in the Regiuster Offering and Cantor Fitzgerald &amp; Co. and EAS Advisors, through Odeon Capital Group, LLC, are engaged as financial advisors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The Purchase Agreement contain customary representations, warranties, covenants and agreements by the Company, including an agreement not to issue any common shares and common share equivalents with an effective price of less than $1.00 per share for a period of six months following the closing of this offering, subject to customary exceptions, customary conditions to closing, indemnification obligations, other obligations of the parties and termination provisions. The representations, warranties and covenants contained in the Purchase Agreement were made only for purposes of the Purchase Agreement and as of specific dates, were solely for the benefit of the parties to the Purchase Agreement and may be subject to limitations agreed upon by the contracting parties. No statement in this Current Report on Form 8-K or the attached exhibits is an offer to purchase or a solicitation of an offer to sell securities. No offer, solicitation or sale will be made in any jurisdiction in which such offer, solicitation or sale is unlawful.</w:t>
      </w:r>
    </w:p>
    <w:p>
      <w:pPr>
        <w:spacing w:after="0" w:line="187"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A copy of the legal opinion of Fasken Martineau DuMoulin LLP and Mintz, Levin, Cohn, Ferris, Glovsky and Popeo, P.C., each counsel to the Company, relating to the Securities is filed with this Current Report on Form 8-K as Exhibit 5.1 and 5.2, respectively. The form of the Purchase Agreement and form of Class B Warrant are filed with this Current Report on Form 8-K as Exhibits 10.1 and 4.1, respectively, and are incorporated herein by reference. The foregoing description of such documents and the transactions contemplated thereby is qualified in its entirety by reference to such exhibits.</w:t>
      </w:r>
    </w:p>
    <w:p>
      <w:pPr>
        <w:spacing w:after="0" w:line="18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a solicitation of an offer to buy the Securities, nor shall there be any sale of the Securities in any state or jurisdiction in which such offer, solicitation or sale would be unlawful prior to the registration or qualification under the securities laws of any such state or jurisdiction.</w:t>
      </w:r>
    </w:p>
    <w:p>
      <w:pPr>
        <w:spacing w:after="0" w:line="17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Press Release</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On November 14, 2024, the Company issued a press release announcing Registered Offering. A copy of the press release is attached as Exhibit 99.2 to this Current Report on Form 8-K and is incorporated herein by reference.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Lending Capacity under Unsecured Credit Facilities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As of the closing of the Registered Offering, the borrowing limit under the Unsecured Credit Facility, dated March 22, 2023, as amended, between the Company and Argentum Cedit Virtuti GCV, a company related to Allseas Group S.A., will return to $25.0 million in the aggregate, pursuant to the terms of the Unsecured Credit Facility.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2"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This Current Report on Form 8-K and the press release filed as Exhibit 99.2 to this Current Report on Form 8-K contain forward-looking statements that involve risks and uncertainties, such as statements related to the anticipated closing of the Registered Offering and the anticipated proceeds from the Registered Offering. The risks and uncertainties involved include the Company’s ability to satisfy certain conditions to closing the Registered Offering on a timely basis or at all, market and other conditions, and other risks detailed from time to time in the Company’s periodic reports and other filings with the SEC. You are cautioned not to place undue reliance on forward-looking statements, which are based on the Company’s current expectations and assumptions and speak only as of the date of this Current Report on Form 8-K. The Company does not intend to revise or update any forward-looking statement in this Current Report on Form 8-K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418465</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p>
      <w:pPr>
        <w:spacing w:after="0" w:line="220" w:lineRule="exact"/>
        <w:rPr>
          <w:sz w:val="20"/>
          <w:szCs w:val="20"/>
          <w:color w:val="auto"/>
        </w:rPr>
      </w:pPr>
    </w:p>
    <w:p>
      <w:pPr>
        <w:ind w:left="740" w:hanging="733"/>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240" w:type="dxa"/>
            <w:vAlign w:val="bottom"/>
            <w:gridSpan w:val="10"/>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6"/>
        </w:trPr>
        <w:tc>
          <w:tcPr>
            <w:tcW w:w="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Form of Class B Warrant to Purchase Common Stock.</w:t>
            </w:r>
          </w:p>
        </w:tc>
        <w:tc>
          <w:tcPr>
            <w:tcW w:w="6240" w:type="dxa"/>
            <w:vAlign w:val="bottom"/>
            <w:gridSpan w:val="6"/>
          </w:tcPr>
          <w:p>
            <w:pPr>
              <w:spacing w:after="0"/>
              <w:rPr>
                <w:sz w:val="24"/>
                <w:szCs w:val="24"/>
                <w:color w:val="auto"/>
              </w:rPr>
            </w:pPr>
          </w:p>
        </w:tc>
      </w:tr>
      <w:tr>
        <w:trPr>
          <w:trHeight w:val="193"/>
        </w:trPr>
        <w:tc>
          <w:tcPr>
            <w:tcW w:w="22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1</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8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7"/>
              </w:rPr>
              <w:t>Opinion of Fasken Martineau DuMoulin LLP.</w:t>
            </w:r>
          </w:p>
        </w:tc>
        <w:tc>
          <w:tcPr>
            <w:tcW w:w="6820" w:type="dxa"/>
            <w:vAlign w:val="bottom"/>
            <w:gridSpan w:val="7"/>
          </w:tcPr>
          <w:p>
            <w:pPr>
              <w:spacing w:after="0"/>
              <w:rPr>
                <w:sz w:val="16"/>
                <w:szCs w:val="16"/>
                <w:color w:val="auto"/>
              </w:rPr>
            </w:pPr>
          </w:p>
        </w:tc>
      </w:tr>
      <w:tr>
        <w:trPr>
          <w:trHeight w:val="193"/>
        </w:trPr>
        <w:tc>
          <w:tcPr>
            <w:tcW w:w="2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2</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10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EE"/>
              </w:rPr>
              <w:t>Opinion of Mintz, Levin, Cohn, Ferris, Glovsky and Popeo, P.C.</w:t>
            </w:r>
          </w:p>
        </w:tc>
      </w:tr>
      <w:tr>
        <w:trPr>
          <w:trHeight w:val="20"/>
        </w:trPr>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3"/>
        </w:trPr>
        <w:tc>
          <w:tcPr>
            <w:tcW w:w="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10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EE"/>
              </w:rPr>
              <w:t>Form of Securities Purchase Agreement, dated November 14, 2024.</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3"/>
        </w:trPr>
        <w:tc>
          <w:tcPr>
            <w:tcW w:w="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10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EE"/>
              </w:rPr>
              <w:t>Consent of Fasken Martineau DuMoulin LLP (included in Exhibit 5.1).</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2120" w:type="dxa"/>
            <w:vAlign w:val="bottom"/>
            <w:gridSpan w:val="5"/>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3"/>
        </w:trPr>
        <w:tc>
          <w:tcPr>
            <w:tcW w:w="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2</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10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EE"/>
              </w:rPr>
              <w:t>Consent of Mintz, Levin, Cohn, Ferris, Glovsky and Popeo, P.C. (included in Exhibit 5.2).</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3460" w:type="dxa"/>
            <w:vAlign w:val="bottom"/>
            <w:gridSpan w:val="6"/>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3"/>
        </w:trPr>
        <w:tc>
          <w:tcPr>
            <w:tcW w:w="32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160" w:type="dxa"/>
            <w:vAlign w:val="bottom"/>
            <w:tcBorders>
              <w:bottom w:val="single" w:sz="8" w:color="0000EE"/>
            </w:tcBorders>
            <w:gridSpan w:val="8"/>
          </w:tcPr>
          <w:p>
            <w:pPr>
              <w:spacing w:after="0" w:line="194" w:lineRule="exact"/>
              <w:rPr>
                <w:sz w:val="20"/>
                <w:szCs w:val="20"/>
                <w:color w:val="auto"/>
              </w:rPr>
            </w:pPr>
            <w:r>
              <w:rPr>
                <w:rFonts w:ascii="Times New Roman" w:cs="Times New Roman" w:eastAsia="Times New Roman" w:hAnsi="Times New Roman"/>
                <w:sz w:val="18"/>
                <w:szCs w:val="18"/>
                <w:color w:val="0000EE"/>
                <w:w w:val="98"/>
              </w:rPr>
              <w:t>Information relating to Part II, Item 14 of the Registration Statement on Form S-3 (Registration No.: 333-275822).</w:t>
            </w:r>
          </w:p>
        </w:tc>
        <w:tc>
          <w:tcPr>
            <w:tcW w:w="1940" w:type="dxa"/>
            <w:vAlign w:val="bottom"/>
          </w:tcPr>
          <w:p>
            <w:pPr>
              <w:spacing w:after="0"/>
              <w:rPr>
                <w:sz w:val="16"/>
                <w:szCs w:val="16"/>
                <w:color w:val="auto"/>
              </w:rPr>
            </w:pPr>
          </w:p>
        </w:tc>
      </w:tr>
      <w:tr>
        <w:trPr>
          <w:trHeight w:val="193"/>
        </w:trPr>
        <w:tc>
          <w:tcPr>
            <w:tcW w:w="32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8"/>
              </w:rPr>
              <w:t>Press Release, dated November 14, 2024.</w:t>
            </w:r>
          </w:p>
        </w:tc>
        <w:tc>
          <w:tcPr>
            <w:tcW w:w="7140" w:type="dxa"/>
            <w:vAlign w:val="bottom"/>
            <w:gridSpan w:val="8"/>
          </w:tcPr>
          <w:p>
            <w:pPr>
              <w:spacing w:after="0"/>
              <w:rPr>
                <w:sz w:val="16"/>
                <w:szCs w:val="16"/>
                <w:color w:val="auto"/>
              </w:rPr>
            </w:pPr>
          </w:p>
        </w:tc>
      </w:tr>
      <w:tr>
        <w:trPr>
          <w:trHeight w:val="234"/>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680" w:type="dxa"/>
            <w:vAlign w:val="bottom"/>
          </w:tcPr>
          <w:p>
            <w:pPr>
              <w:spacing w:after="0"/>
              <w:rPr>
                <w:sz w:val="20"/>
                <w:szCs w:val="20"/>
                <w:color w:val="auto"/>
              </w:rPr>
            </w:pPr>
          </w:p>
        </w:tc>
        <w:tc>
          <w:tcPr>
            <w:tcW w:w="1024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67"/>
        </w:trPr>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74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2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15, 2024</w:t>
            </w: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88"/>
        </w:trPr>
        <w:tc>
          <w:tcPr>
            <w:tcW w:w="3740" w:type="dxa"/>
            <w:vAlign w:val="bottom"/>
          </w:tcPr>
          <w:p>
            <w:pPr>
              <w:spacing w:after="0"/>
              <w:rPr>
                <w:sz w:val="16"/>
                <w:szCs w:val="16"/>
                <w:color w:val="auto"/>
              </w:rPr>
            </w:pPr>
          </w:p>
        </w:tc>
        <w:tc>
          <w:tcPr>
            <w:tcW w:w="2460" w:type="dxa"/>
            <w:vAlign w:val="bottom"/>
          </w:tcPr>
          <w:p>
            <w:pPr>
              <w:ind w:left="190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Craig Shesky</w:t>
            </w:r>
          </w:p>
        </w:tc>
      </w:tr>
      <w:tr>
        <w:trPr>
          <w:trHeight w:val="232"/>
        </w:trPr>
        <w:tc>
          <w:tcPr>
            <w:tcW w:w="3740" w:type="dxa"/>
            <w:vAlign w:val="bottom"/>
          </w:tcPr>
          <w:p>
            <w:pPr>
              <w:spacing w:after="0"/>
              <w:rPr>
                <w:sz w:val="20"/>
                <w:szCs w:val="20"/>
                <w:color w:val="auto"/>
              </w:rPr>
            </w:pP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67"/>
        </w:trPr>
        <w:tc>
          <w:tcPr>
            <w:tcW w:w="37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5" w:name="page6"/>
    <w:bookmarkEnd w:id="5"/>
    <w:p>
      <w:pPr>
        <w:ind w:left="10240"/>
        <w:spacing w:after="0"/>
        <w:rPr>
          <w:sz w:val="20"/>
          <w:szCs w:val="20"/>
          <w:color w:val="auto"/>
        </w:rPr>
      </w:pPr>
      <w:r>
        <w:rPr>
          <w:rFonts w:ascii="Times New Roman" w:cs="Times New Roman" w:eastAsia="Times New Roman" w:hAnsi="Times New Roman"/>
          <w:sz w:val="21"/>
          <w:szCs w:val="21"/>
          <w:b w:val="1"/>
          <w:bCs w:val="1"/>
          <w:color w:val="auto"/>
        </w:rPr>
        <w:t>Exhibit 4.1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WARRANT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B COMMON SHARE PURCHASE WARRANT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4"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18"/>
          <w:szCs w:val="18"/>
          <w:color w:val="auto"/>
        </w:rPr>
        <w:t>Warrant Shares: ___________</w:t>
      </w:r>
      <w:r>
        <w:rPr>
          <w:sz w:val="20"/>
          <w:szCs w:val="20"/>
          <w:color w:val="auto"/>
        </w:rPr>
        <w:tab/>
      </w:r>
      <w:r>
        <w:rPr>
          <w:rFonts w:ascii="Times New Roman" w:cs="Times New Roman" w:eastAsia="Times New Roman" w:hAnsi="Times New Roman"/>
          <w:sz w:val="17"/>
          <w:szCs w:val="17"/>
          <w:color w:val="auto"/>
        </w:rPr>
        <w:t>Issue Date: November [●],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CLASS B COMMON SHARE PURCHASE WARRANT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 ,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w:t>
      </w:r>
    </w:p>
    <w:p>
      <w:pPr>
        <w:spacing w:after="0" w:line="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entitled, upon the terms and subject to the limitations on exercise and the conditions hereinafter set forth, at any time on or after the issue date set forth above (the “</w:t>
      </w:r>
      <w:r>
        <w:rPr>
          <w:rFonts w:ascii="Times New Roman" w:cs="Times New Roman" w:eastAsia="Times New Roman" w:hAnsi="Times New Roman"/>
          <w:sz w:val="17"/>
          <w:szCs w:val="17"/>
          <w:u w:val="single" w:color="auto"/>
          <w:color w:val="auto"/>
        </w:rPr>
        <w:t>Issue Date</w:t>
      </w:r>
      <w:r>
        <w:rPr>
          <w:rFonts w:ascii="Times New Roman" w:cs="Times New Roman" w:eastAsia="Times New Roman" w:hAnsi="Times New Roman"/>
          <w:sz w:val="17"/>
          <w:szCs w:val="17"/>
          <w:color w:val="auto"/>
        </w:rPr>
        <w:t>”) and on or prior to 5:00 p.m. (New York City time) on November 14, 2029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but not thereafter, to subscribe for and purchase from TMC the metals company Inc., a corporation incorporated under the laws of the Province of British Columbia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up to _____</w:t>
      </w:r>
    </w:p>
    <w:p>
      <w:pPr>
        <w:jc w:val="both"/>
        <w:spacing w:after="0" w:line="255" w:lineRule="auto"/>
        <w:rPr>
          <w:sz w:val="20"/>
          <w:szCs w:val="20"/>
          <w:color w:val="auto"/>
        </w:rPr>
      </w:pPr>
      <w:r>
        <w:rPr>
          <w:rFonts w:ascii="Times New Roman" w:cs="Times New Roman" w:eastAsia="Times New Roman" w:hAnsi="Times New Roman"/>
          <w:sz w:val="18"/>
          <w:szCs w:val="18"/>
          <w:color w:val="auto"/>
        </w:rPr>
        <w:t>Common Shares (as subject to adjustment hereunder,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Shares”). The purchase price of one Common Share under this Warrant shall be equal to the Exercise Price, as defined in Section 2(b).</w:t>
      </w:r>
    </w:p>
    <w:p>
      <w:pPr>
        <w:spacing w:after="0" w:line="182"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November _14_, 2024, among the Company and the purchasers signatories thereto.</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640" w:firstLine="648"/>
        <w:spacing w:after="0" w:line="249" w:lineRule="auto"/>
        <w:tabs>
          <w:tab w:leader="none" w:pos="14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Issue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two (2) Trading Days (as defined below)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 that,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Day</w:t>
      </w:r>
      <w:r>
        <w:rPr>
          <w:rFonts w:ascii="Times New Roman" w:cs="Times New Roman" w:eastAsia="Times New Roman" w:hAnsi="Times New Roman"/>
          <w:sz w:val="18"/>
          <w:szCs w:val="18"/>
          <w:color w:val="auto"/>
        </w:rPr>
        <w:t>” means a day on which the Common Shares is traded on a Trading Market (as defined below).</w:t>
      </w:r>
    </w:p>
    <w:p>
      <w:pPr>
        <w:spacing w:after="0" w:line="190" w:lineRule="exact"/>
        <w:rPr>
          <w:rFonts w:ascii="Times New Roman" w:cs="Times New Roman" w:eastAsia="Times New Roman" w:hAnsi="Times New Roman"/>
          <w:sz w:val="18"/>
          <w:szCs w:val="18"/>
          <w:color w:val="auto"/>
        </w:rPr>
      </w:pPr>
    </w:p>
    <w:p>
      <w:pPr>
        <w:ind w:left="1480" w:hanging="192"/>
        <w:spacing w:after="0"/>
        <w:tabs>
          <w:tab w:leader="none" w:pos="1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The exercise price per Common Share under this Warrant shall be $2.00, subject to adjustment hereunder (the “</w:t>
      </w:r>
      <w:r>
        <w:rPr>
          <w:rFonts w:ascii="Times New Roman" w:cs="Times New Roman" w:eastAsia="Times New Roman" w:hAnsi="Times New Roman"/>
          <w:sz w:val="17"/>
          <w:szCs w:val="17"/>
          <w:u w:val="single" w:color="auto"/>
          <w:color w:val="auto"/>
        </w:rPr>
        <w:t>Exercise</w:t>
      </w:r>
    </w:p>
    <w:p>
      <w:pPr>
        <w:spacing w:after="0" w:line="36"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274955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6" w:name="page7"/>
    <w:bookmarkEnd w:id="6"/>
    <w:p>
      <w:pPr>
        <w:jc w:val="both"/>
        <w:ind w:firstLine="648"/>
        <w:spacing w:after="0" w:line="257" w:lineRule="auto"/>
        <w:tabs>
          <w:tab w:leader="none" w:pos="82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0" w:lineRule="exact"/>
        <w:rPr>
          <w:rFonts w:ascii="Times New Roman" w:cs="Times New Roman" w:eastAsia="Times New Roman" w:hAnsi="Times New Roman"/>
          <w:sz w:val="18"/>
          <w:szCs w:val="18"/>
          <w:color w:val="auto"/>
        </w:rPr>
      </w:pPr>
    </w:p>
    <w:p>
      <w:pPr>
        <w:ind w:left="760" w:hanging="499"/>
        <w:spacing w:after="0" w:line="250" w:lineRule="auto"/>
        <w:tabs>
          <w:tab w:leader="none" w:pos="55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(as defined below)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(as defined below) of the Common Shares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0" w:lineRule="exact"/>
        <w:rPr>
          <w:rFonts w:ascii="Times New Roman" w:cs="Times New Roman" w:eastAsia="Times New Roman" w:hAnsi="Times New Roman"/>
          <w:sz w:val="18"/>
          <w:szCs w:val="18"/>
          <w:color w:val="auto"/>
        </w:rPr>
      </w:pPr>
    </w:p>
    <w:p>
      <w:pPr>
        <w:ind w:left="540" w:hanging="279"/>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0" w:lineRule="exact"/>
        <w:rPr>
          <w:sz w:val="20"/>
          <w:szCs w:val="20"/>
          <w:color w:val="auto"/>
        </w:rPr>
      </w:pPr>
    </w:p>
    <w:p>
      <w:pPr>
        <w:ind w:left="700" w:hanging="439"/>
        <w:spacing w:after="0" w:line="277" w:lineRule="auto"/>
        <w:tabs>
          <w:tab w:leader="none" w:pos="55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76"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Shares are then listed or quoted on a Trading Market, the bid price of a Common Share for the time in question (or the nearest preceding date) on the Trading Market on which the Common Shares are then listed or quoted as reported by Bloomberg (based on a Trading Day from 9:30 a.m. (New York City time) to 4:02 p.m. (New York City time)), (b) if OTCQB or OTCQX is not a Trading Market, the volume weighted average price of a Common Share for such date (or the nearest preceding date) on OTCQB or OTCQX as applicable, (c) if the Common Shares are not then listed or quoted for trading on OTCQB or OTCQX and if prices for the Common Shares are then reported on The Pink Open Market (or a similar organization or agency succeeding to its functions of reporting prices), the most recent bid price per Common Share so reported, or (d) in all other cases, the fair market value of a Common Share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7"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Shares are listed or quoted for trading on the date in question: the NYSE American, the Nasdaq Capital Market, the Nasdaq Global Market, the Nasdaq Global Select Market, the New York Stock Exchange, the OTCQB or the OTCQX (or any successors to any of the foregoing).</w:t>
      </w:r>
    </w:p>
    <w:p>
      <w:pPr>
        <w:spacing w:after="0" w:line="176" w:lineRule="exact"/>
        <w:rPr>
          <w:sz w:val="20"/>
          <w:szCs w:val="20"/>
          <w:color w:val="auto"/>
        </w:rPr>
      </w:pPr>
    </w:p>
    <w:p>
      <w:pPr>
        <w:jc w:val="both"/>
        <w:ind w:firstLine="64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VWAP</w:t>
      </w:r>
      <w:r>
        <w:rPr>
          <w:rFonts w:ascii="Times New Roman" w:cs="Times New Roman" w:eastAsia="Times New Roman" w:hAnsi="Times New Roman"/>
          <w:sz w:val="17"/>
          <w:szCs w:val="17"/>
          <w:color w:val="auto"/>
        </w:rPr>
        <w:t>” means, for any date, the price determined by the first of the following clauses that applies: (a) if the Common Share is then listed or quoted on a Trading Market, the daily volume weighted average price of a Common Share for such date (or the nearest preceding date) on the Trading Market on which the Common Shares are then listed or quoted as reported by Bloomberg (based on a Trading Day from 9:30 a.m. (New York City time) to 4:02 p.m. (New York City time)), (b) if OTCQB or OTCQX is not a Trading Market, the volume weighted average price of a Common Share for such date (or the nearest preceding date) on OTCQB or OTCQX as applicable, (c) if the Common Shares are not then listed or quoted for trading on OTCQB or OTCQX and if prices for a Common Share are then reported in The Pink Open Market (or a similar organization or agency succeeding to its functions of reporting prices), the most recent bid price per Common Share so reported, or (d) in all other cases, the fair market value of a Common Share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39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895" w:right="339" w:bottom="1440" w:gutter="0" w:footer="0" w:header="0"/>
        </w:sectPr>
      </w:pPr>
    </w:p>
    <w:bookmarkStart w:id="7" w:name="page8"/>
    <w:bookmarkEnd w:id="7"/>
    <w:p>
      <w:pPr>
        <w:ind w:left="360" w:hanging="192"/>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jc w:val="both"/>
        <w:ind w:left="800" w:firstLine="649"/>
        <w:spacing w:after="0" w:line="248" w:lineRule="auto"/>
        <w:tabs>
          <w:tab w:leader="none" w:pos="169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(as defined below)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The Holder shall be deemed for all corporate purposes to have become the holder of record of the Warrant Shares upon the receipt of the aggregate Exercise Price by the Company.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a Common Share on the date of the applicable Notice of Exercise), $10 per Trading Day (increasing to $20 per Trading Day on the fifth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Shares as in effect on the date of delivery of the Notice of Exercise. As used herein,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Continental Stock Transfer &amp; Trust Company, and any successor transfer agent of the Company.</w:t>
      </w:r>
    </w:p>
    <w:p>
      <w:pPr>
        <w:spacing w:after="0" w:line="204" w:lineRule="exact"/>
        <w:rPr>
          <w:rFonts w:ascii="Times New Roman" w:cs="Times New Roman" w:eastAsia="Times New Roman" w:hAnsi="Times New Roman"/>
          <w:sz w:val="18"/>
          <w:szCs w:val="18"/>
          <w:color w:val="auto"/>
        </w:rPr>
      </w:pPr>
    </w:p>
    <w:p>
      <w:pPr>
        <w:jc w:val="both"/>
        <w:ind w:left="800" w:firstLine="649"/>
        <w:spacing w:after="0" w:line="257" w:lineRule="auto"/>
        <w:tabs>
          <w:tab w:leader="none" w:pos="162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80" w:lineRule="exact"/>
        <w:rPr>
          <w:rFonts w:ascii="Times New Roman" w:cs="Times New Roman" w:eastAsia="Times New Roman" w:hAnsi="Times New Roman"/>
          <w:sz w:val="18"/>
          <w:szCs w:val="18"/>
          <w:color w:val="auto"/>
        </w:rPr>
      </w:pPr>
    </w:p>
    <w:p>
      <w:pPr>
        <w:ind w:left="800" w:firstLine="649"/>
        <w:spacing w:after="0" w:line="277" w:lineRule="auto"/>
        <w:tabs>
          <w:tab w:leader="none" w:pos="169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62" w:lineRule="exact"/>
        <w:rPr>
          <w:rFonts w:ascii="Times New Roman" w:cs="Times New Roman" w:eastAsia="Times New Roman" w:hAnsi="Times New Roman"/>
          <w:sz w:val="18"/>
          <w:szCs w:val="18"/>
          <w:color w:val="auto"/>
        </w:rPr>
      </w:pPr>
    </w:p>
    <w:p>
      <w:pPr>
        <w:jc w:val="both"/>
        <w:ind w:left="800" w:firstLine="649"/>
        <w:spacing w:after="0" w:line="249" w:lineRule="auto"/>
        <w:tabs>
          <w:tab w:leader="none" w:pos="165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(other than a failure caused by incorrect or incomplete information provided by the Holder to the Company), and if after such date the Holder is required by its broker to purchase (in an open market transaction or otherwise) or the Holder’s brokerage firm otherwise purchases, Common Shares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Common Shares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Common Shares that would have been issued had the Company timely complied with its exercise and delivery obligations hereunder. For example, if the Holder purchases Common Shares having a total purchase price of $11,000 to cover a Buy-In with respect to an attempted exercise of Common Shares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Common Shares upon exercise of the Warrant as required pursuant to the terms hereof.</w:t>
      </w:r>
    </w:p>
    <w:p>
      <w:pPr>
        <w:spacing w:after="0" w:line="40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15875</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5" w:right="339" w:bottom="1440" w:gutter="0" w:footer="0" w:header="0"/>
        </w:sectPr>
      </w:pPr>
    </w:p>
    <w:bookmarkStart w:id="8" w:name="page9"/>
    <w:bookmarkEnd w:id="8"/>
    <w:p>
      <w:pPr>
        <w:jc w:val="both"/>
        <w:ind w:left="800" w:firstLine="641"/>
        <w:spacing w:after="0" w:line="262"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round down to the next whole share.</w:t>
      </w:r>
    </w:p>
    <w:p>
      <w:pPr>
        <w:spacing w:after="0" w:line="176" w:lineRule="exact"/>
        <w:rPr>
          <w:sz w:val="20"/>
          <w:szCs w:val="20"/>
          <w:color w:val="auto"/>
        </w:rPr>
      </w:pPr>
    </w:p>
    <w:p>
      <w:pPr>
        <w:jc w:val="both"/>
        <w:ind w:left="800" w:firstLine="649"/>
        <w:spacing w:after="0" w:line="251" w:lineRule="auto"/>
        <w:tabs>
          <w:tab w:leader="none" w:pos="166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6" w:lineRule="exact"/>
        <w:rPr>
          <w:rFonts w:ascii="Times New Roman" w:cs="Times New Roman" w:eastAsia="Times New Roman" w:hAnsi="Times New Roman"/>
          <w:sz w:val="18"/>
          <w:szCs w:val="18"/>
          <w:color w:val="auto"/>
        </w:rPr>
      </w:pPr>
    </w:p>
    <w:p>
      <w:pPr>
        <w:ind w:left="800" w:firstLine="649"/>
        <w:spacing w:after="0" w:line="277" w:lineRule="auto"/>
        <w:tabs>
          <w:tab w:leader="none" w:pos="173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shareholder books or records in any manner which prevents the timely exercise of this Warrant, pursuant to the terms hereof.</w:t>
      </w:r>
    </w:p>
    <w:p>
      <w:pPr>
        <w:spacing w:after="0" w:line="162" w:lineRule="exact"/>
        <w:rPr>
          <w:rFonts w:ascii="Times New Roman" w:cs="Times New Roman" w:eastAsia="Times New Roman" w:hAnsi="Times New Roman"/>
          <w:sz w:val="18"/>
          <w:szCs w:val="18"/>
          <w:color w:val="auto"/>
        </w:rPr>
      </w:pPr>
    </w:p>
    <w:p>
      <w:pPr>
        <w:jc w:val="both"/>
        <w:ind w:left="-480" w:firstLine="648"/>
        <w:spacing w:after="0" w:line="263" w:lineRule="auto"/>
        <w:tabs>
          <w:tab w:leader="none" w:pos="35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(as defined below),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Common Shares beneficially owned by the Holder and its Affiliates and Attribution Parties shall include the number of Common Shares issuable upon exercise of this Warrant with respect to which such determination is being made, but shall exclude the number of Common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securities of the Company or the Subsidiaries which would entitle the holder thereof to acquire at any time Common Shares, including, without limitation, any debt, preferred share, right, option, warrant or other instrument that is at any time convertible into or exercisable or exchangeable for, or otherwise entitles the holder thereof to receive, Common Shares (“</w:t>
      </w:r>
      <w:r>
        <w:rPr>
          <w:rFonts w:ascii="Times New Roman" w:cs="Times New Roman" w:eastAsia="Times New Roman" w:hAnsi="Times New Roman"/>
          <w:sz w:val="17"/>
          <w:szCs w:val="17"/>
          <w:u w:val="single" w:color="auto"/>
          <w:color w:val="auto"/>
        </w:rPr>
        <w:t>Common Share Equivalents</w:t>
      </w:r>
      <w:r>
        <w:rPr>
          <w:rFonts w:ascii="Times New Roman" w:cs="Times New Roman" w:eastAsia="Times New Roman" w:hAnsi="Times New Roman"/>
          <w:sz w:val="17"/>
          <w:szCs w:val="17"/>
          <w:color w:val="auto"/>
        </w:rPr>
        <w:t>”))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Common Shares, a Holder may rely on the number of outstanding Common Shares as reflected in (A) the Company’s most recent periodic or annual report filed with the Commission, as the case may be, (B) a more recent public announcement by the Company or (C) a more recent written notice by the Company or the Transfer Agent setting forth the number of Common Shares outstanding. Upon the written or oral request of a Holder, the Company shall within one Trading Day confirm orally and in writing to the Holder the number of Common Shares then outstanding. In any case, the number of outstanding Common Shares shall be determined after giving effect to the conversion or exercise of securities of the Company, including this Warrant, by the Holder or its Affiliates or Attribution Parties since the date as of which such number of outstanding Common Shares was reported. The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be 4.99% of the number of Common Shares outstanding immediately after giving effect to the issuance of Common Shares issuable upon exercise of this Warrant. The Holder, upon notice to the Company, may increase or decrease the Beneficial Ownership Limitation provisions of this Section 2(e), provided that the Beneficial Ownership Limitation in no event exceeds 9.99% (or 19.99% with prior written approval of the Company) of the number of Common Shares outstanding immediately after giving effect to the issuance of Common Shares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As used herein, “</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any Person (as defined below) that, directly or indirectly through one or more intermediaries, controls or is controlled by or is under common control with a Person, as such terms are used in and construed under Rule 405 under the Securities Act. As used herein,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15875</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5" w:right="339" w:bottom="1440" w:gutter="0" w:footer="0" w:header="0"/>
        </w:sectPr>
      </w:pPr>
    </w:p>
    <w:bookmarkStart w:id="9" w:name="page10"/>
    <w:bookmarkEnd w:id="9"/>
    <w:p>
      <w:pPr>
        <w:jc w:val="both"/>
        <w:ind w:left="-7" w:firstLine="648"/>
        <w:spacing w:after="0" w:line="263" w:lineRule="auto"/>
        <w:tabs>
          <w:tab w:leader="none" w:pos="809"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Call Provision</w:t>
      </w:r>
      <w:r>
        <w:rPr>
          <w:rFonts w:ascii="Times New Roman" w:cs="Times New Roman" w:eastAsia="Times New Roman" w:hAnsi="Times New Roman"/>
          <w:sz w:val="17"/>
          <w:szCs w:val="17"/>
          <w:color w:val="auto"/>
        </w:rPr>
        <w:t>. Subject to the provisions of Section 2(e) and this Section 2(f), if, after the initial issuance of this Warrant (the “</w:t>
      </w:r>
      <w:r>
        <w:rPr>
          <w:rFonts w:ascii="Times New Roman" w:cs="Times New Roman" w:eastAsia="Times New Roman" w:hAnsi="Times New Roman"/>
          <w:sz w:val="17"/>
          <w:szCs w:val="17"/>
          <w:u w:val="single" w:color="auto"/>
          <w:color w:val="auto"/>
        </w:rPr>
        <w:t>Initial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Exercise Date</w:t>
      </w:r>
      <w:r>
        <w:rPr>
          <w:rFonts w:ascii="Times New Roman" w:cs="Times New Roman" w:eastAsia="Times New Roman" w:hAnsi="Times New Roman"/>
          <w:sz w:val="17"/>
          <w:szCs w:val="17"/>
          <w:color w:val="auto"/>
        </w:rPr>
        <w:t>”), (i) the VWAP for each of 30 consecutive Trading Days (the “</w:t>
      </w:r>
      <w:r>
        <w:rPr>
          <w:rFonts w:ascii="Times New Roman" w:cs="Times New Roman" w:eastAsia="Times New Roman" w:hAnsi="Times New Roman"/>
          <w:sz w:val="17"/>
          <w:szCs w:val="17"/>
          <w:u w:val="single" w:color="auto"/>
          <w:color w:val="auto"/>
        </w:rPr>
        <w:t>Measurement Period</w:t>
      </w:r>
      <w:r>
        <w:rPr>
          <w:rFonts w:ascii="Times New Roman" w:cs="Times New Roman" w:eastAsia="Times New Roman" w:hAnsi="Times New Roman"/>
          <w:sz w:val="17"/>
          <w:szCs w:val="17"/>
          <w:color w:val="auto"/>
        </w:rPr>
        <w:t>,” which 30 consecutive Trading Day period shall not have commenced until after the Initial Exercise Date) exceeds $5.00 (subject to adjustment for forward and reverse share splits, recapitalizations, share dividends and the like) and (ii) the Holder is not in possession of any information that constitutes, or might constitute, material non-public information which was provided by the Company, any of its Subsidiaries, or any of their officers, directors, employees, agents or Affiliates, then the Company may, within 1 Trading Day of the end of such Measurement Period, call for cancellation of all or any portion of this Warrant for which a Notice of Exercise has not yet been delivered (such right, a “</w:t>
      </w:r>
      <w:r>
        <w:rPr>
          <w:rFonts w:ascii="Times New Roman" w:cs="Times New Roman" w:eastAsia="Times New Roman" w:hAnsi="Times New Roman"/>
          <w:sz w:val="17"/>
          <w:szCs w:val="17"/>
          <w:u w:val="single" w:color="auto"/>
          <w:color w:val="auto"/>
        </w:rPr>
        <w:t>Call</w:t>
      </w:r>
      <w:r>
        <w:rPr>
          <w:rFonts w:ascii="Times New Roman" w:cs="Times New Roman" w:eastAsia="Times New Roman" w:hAnsi="Times New Roman"/>
          <w:sz w:val="17"/>
          <w:szCs w:val="17"/>
          <w:color w:val="auto"/>
        </w:rPr>
        <w:t>”) for consideration equal to $0.0001 per Warrant Share. To exercise this right, the Company must deliver to the Holder an irrevocable written notice (a “</w:t>
      </w:r>
      <w:r>
        <w:rPr>
          <w:rFonts w:ascii="Times New Roman" w:cs="Times New Roman" w:eastAsia="Times New Roman" w:hAnsi="Times New Roman"/>
          <w:sz w:val="17"/>
          <w:szCs w:val="17"/>
          <w:u w:val="single" w:color="auto"/>
          <w:color w:val="auto"/>
        </w:rPr>
        <w:t>Call Notice</w:t>
      </w:r>
      <w:r>
        <w:rPr>
          <w:rFonts w:ascii="Times New Roman" w:cs="Times New Roman" w:eastAsia="Times New Roman" w:hAnsi="Times New Roman"/>
          <w:sz w:val="17"/>
          <w:szCs w:val="17"/>
          <w:color w:val="auto"/>
        </w:rPr>
        <w:t>”), indicating therein the portion of unexercised portion of this Warrant to which such notice applies. If the conditions set forth below for such Call are satisfied from the period from the date of the Call Notice through and including the Call Date (as defined below), then any portion of this Warrant subject to such Call Notice for which a Notice of Exercise shall not have been received by the Call Date will be cancelled at 6:30 p.m. (New York City time) on the tenth Trading Day after the date the Call Notice is received by the Holder (such date and time, the “</w:t>
      </w:r>
      <w:r>
        <w:rPr>
          <w:rFonts w:ascii="Times New Roman" w:cs="Times New Roman" w:eastAsia="Times New Roman" w:hAnsi="Times New Roman"/>
          <w:sz w:val="17"/>
          <w:szCs w:val="17"/>
          <w:u w:val="single" w:color="auto"/>
          <w:color w:val="auto"/>
        </w:rPr>
        <w:t>Call Date</w:t>
      </w:r>
      <w:r>
        <w:rPr>
          <w:rFonts w:ascii="Times New Roman" w:cs="Times New Roman" w:eastAsia="Times New Roman" w:hAnsi="Times New Roman"/>
          <w:sz w:val="17"/>
          <w:szCs w:val="17"/>
          <w:color w:val="auto"/>
        </w:rPr>
        <w:t>”). Any unexercised portion of this Warrant to which the Call Notice does not pertain will be unaffected by such Call Notice. In furtherance thereof, the Company covenants and agrees that it will honor all Notices of Exercise with respect to Warrant Shares subject to a Call Notice that are tendered through 6:30 p.m. (New York City time) on the Call Date. The parties agree that any Notice of Exercise delivered following a Call Notice which calls less than all of the Warrants shall first reduce to zero the number of Warrant Shares subject to such Call Notice prior to reducing the remaining Warrant Shares available for purchase under this Warrant. For example, if (A) this Warrant then permits the Holder to acquire 100 Warrant Shares, (B) a Call Notice pertains to 75 Warrant Shares, and (C) prior to 6:30 p.m. (New York City time) on the Call Date the Holder tenders a Notice of Exercise in respect of 50 Warrant Shares, then</w:t>
      </w:r>
    </w:p>
    <w:p>
      <w:pPr>
        <w:spacing w:after="0" w:line="5" w:lineRule="exact"/>
        <w:rPr>
          <w:rFonts w:ascii="Times New Roman" w:cs="Times New Roman" w:eastAsia="Times New Roman" w:hAnsi="Times New Roman"/>
          <w:sz w:val="17"/>
          <w:szCs w:val="17"/>
          <w:color w:val="auto"/>
        </w:rPr>
      </w:pPr>
    </w:p>
    <w:p>
      <w:pPr>
        <w:jc w:val="both"/>
        <w:ind w:left="-7" w:firstLine="7"/>
        <w:spacing w:after="0" w:line="248" w:lineRule="auto"/>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Call Date the right under this Warrant to acquire 25 Warrant Shares will be automatically cancelled, (y) the Company, in the time and manner required under this Warrant, will have issued and delivered to the Holder 50 Warrant Shares in respect of the exercises following receipt of the Call Notice, and (z) the Holder may, until the Termination Date, exercise this Warrant for 25 Warrant Shares (subject to adjustment as herein provided and subject to subsequent Call Notices). Subject again to the provisions of this Section 2(f), the Company may deliver subsequent Call Notices for any portion of this Warrant for which the Holder shall not have delivered a Notice of Exercise. Notwithstanding anything to the contrary set forth in this Warrant, the Company may not deliver a Call Notice or require the cancellation of this Warrant (and any such Call Notice shall be void), unless, from the beginning of the Measurement Period through the Call Date, (1) the Company shall have honored in accordance with the terms of this Warrant all Notices of Exercise delivered by 6:30 p.m. (New York City time) on the Call Date, and (2) a registration statement shall be effective as to all Warrant Shares and the prospectus thereunder available for use by the Company for the sale of all such Warrant Shares to the Holder, and (3) the Common Shares shall be listed or quoted for trading on the Trading Market, and (4) there is a sufficient number of authorized Common Shares for issuance of all Warrant Shares, and (5) the issuance of all Warrant Shares subject to a Call Notice shall not cause a breach of any provision of Section 2(e) herein. The Company’s right to call the Warrants under this Section 2(f) shall be exercised ratably among the Holders based on each Holder’s initial purchase of Warrants.</w:t>
      </w:r>
    </w:p>
    <w:p>
      <w:pPr>
        <w:spacing w:after="0" w:line="189" w:lineRule="exact"/>
        <w:rPr>
          <w:rFonts w:ascii="Times New Roman" w:cs="Times New Roman" w:eastAsia="Times New Roman" w:hAnsi="Times New Roman"/>
          <w:sz w:val="18"/>
          <w:szCs w:val="18"/>
          <w:color w:val="auto"/>
        </w:rPr>
      </w:pPr>
    </w:p>
    <w:p>
      <w:pPr>
        <w:jc w:val="both"/>
        <w:ind w:left="-7" w:firstLine="648"/>
        <w:spacing w:after="0" w:line="249" w:lineRule="auto"/>
        <w:tabs>
          <w:tab w:leader="none" w:pos="85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 From the original Issue Date until December 31, 2024, if the Company or any Subsidiary thereof, as applicable, at any time while this Warrant is outstanding, shall sell or grant any option to purchase, or sell or grant any right to reprice, or otherwise dispose of or issue (or announce any offer, sale, grant or any option to purchase or other disposition) any Common Shares or Common Share Equivalents, at an effective price per share less than the lower of (i) $2.00 (subject to adjustment for forward and reverse share splits, recapitalizations, share dividends and the like), and (ii) the Exercise Price then in effect (such lower price, the “</w:t>
      </w:r>
      <w:r>
        <w:rPr>
          <w:rFonts w:ascii="Times New Roman" w:cs="Times New Roman" w:eastAsia="Times New Roman" w:hAnsi="Times New Roman"/>
          <w:sz w:val="18"/>
          <w:szCs w:val="18"/>
          <w:u w:val="single" w:color="auto"/>
          <w:color w:val="auto"/>
        </w:rPr>
        <w:t>Base Share Price</w:t>
      </w:r>
      <w:r>
        <w:rPr>
          <w:rFonts w:ascii="Times New Roman" w:cs="Times New Roman" w:eastAsia="Times New Roman" w:hAnsi="Times New Roman"/>
          <w:sz w:val="18"/>
          <w:szCs w:val="18"/>
          <w:color w:val="auto"/>
        </w:rPr>
        <w:t>” and such issuances collectively, a “</w:t>
      </w:r>
      <w:r>
        <w:rPr>
          <w:rFonts w:ascii="Times New Roman" w:cs="Times New Roman" w:eastAsia="Times New Roman" w:hAnsi="Times New Roman"/>
          <w:sz w:val="18"/>
          <w:szCs w:val="18"/>
          <w:u w:val="single" w:color="auto"/>
          <w:color w:val="auto"/>
        </w:rPr>
        <w:t>Dilutive Issuance</w:t>
      </w:r>
      <w:r>
        <w:rPr>
          <w:rFonts w:ascii="Times New Roman" w:cs="Times New Roman" w:eastAsia="Times New Roman" w:hAnsi="Times New Roman"/>
          <w:sz w:val="18"/>
          <w:szCs w:val="18"/>
          <w:color w:val="auto"/>
        </w:rPr>
        <w:t>”) (it being understood and agreed that if the holder of the Common Shares or Common Share Equivalents so issued at any time, whether by operation of purchase price adjustments, reset provisions, floating conversion, exercise or exchange prices or otherwise, or due to warrants, options or rights per share which are issued in connection with such issuance, be entitled to receive Common Shares at an effective price per share that is less than the Exercise Price, such issuance shall be deemed to have occurred for less than the Exercise Price on such date of the Dilutive Issuance at such effective price), then simultaneously with the consummation of each Dilutive Issuance the Exercise Price shall be reduced to equal the Base Share Price. Such adjustment shall be made whenever such Common Shares or Common Share Equivalents are issued. Notwithstanding the foregoing, no adjustments shall be made, paid or issued under this Section 2(g) in respect of an Exempt Issuance. The Company shall notify the Holder, in writing, promptly, but in no event later than two (2) Trading Days following the issuance or deemed issuance of any Common Shares or Common Share Equivalents subject to this Section 2(g), indicating therein the applicable issuance price, or applicable reset price, exchange price, conversion price and other pricing terms (such notice, the “</w:t>
      </w:r>
      <w:r>
        <w:rPr>
          <w:rFonts w:ascii="Times New Roman" w:cs="Times New Roman" w:eastAsia="Times New Roman" w:hAnsi="Times New Roman"/>
          <w:sz w:val="18"/>
          <w:szCs w:val="18"/>
          <w:u w:val="single" w:color="auto"/>
          <w:color w:val="auto"/>
        </w:rPr>
        <w:t>Dilutive Issuance Notice</w:t>
      </w:r>
      <w:r>
        <w:rPr>
          <w:rFonts w:ascii="Times New Roman" w:cs="Times New Roman" w:eastAsia="Times New Roman" w:hAnsi="Times New Roman"/>
          <w:sz w:val="18"/>
          <w:szCs w:val="18"/>
          <w:color w:val="auto"/>
        </w:rPr>
        <w:t>”). For purposes of clarification, whether or not the Company provides a Dilutive Issuance Notice pursuant to this Section 2(g), upon the occurrence of any Dilutive Issuance, the Holder is entitled to receive a number of Warrant Shares based upon the Base Share Price regardless of whether the Holder accurately refers to the Base Share Price in the Notice of Exercise. For avoidance of doubt, the number of Warrant Shares issuable upon exercise of this Warrant shall not be adjusted under this Section 2(g).</w:t>
      </w:r>
    </w:p>
    <w:p>
      <w:pPr>
        <w:spacing w:after="0" w:line="200" w:lineRule="exact"/>
        <w:rPr>
          <w:sz w:val="20"/>
          <w:szCs w:val="20"/>
          <w:color w:val="auto"/>
        </w:rPr>
      </w:pPr>
    </w:p>
    <w:p>
      <w:pPr>
        <w:spacing w:after="0" w:line="203" w:lineRule="exact"/>
        <w:rPr>
          <w:sz w:val="20"/>
          <w:szCs w:val="20"/>
          <w:color w:val="auto"/>
        </w:rPr>
      </w:pPr>
    </w:p>
    <w:p>
      <w:pPr>
        <w:ind w:left="4933"/>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15875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593"/>
          </w:cols>
          <w:pgMar w:left="967" w:top="895" w:right="339" w:bottom="1440" w:gutter="0" w:footer="0" w:header="0"/>
        </w:sectPr>
      </w:pPr>
    </w:p>
    <w:bookmarkStart w:id="10" w:name="page11"/>
    <w:bookmarkEnd w:id="10"/>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For the purposes of this Section 2(g), “</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Common Shares, options, restricted share units or other awards to employees, officers or directors of the Company pursuant to any equity incentive plan or employee stock purchase plan duly adopted for such purpose by the board of directors of the Company or a committee thereof; (b) securities issued and issuable hereunder and under the Purchase Agreement and securities issued and issuable upon the exercise or exchange of or conversion of any securities issued hereunder or under the Purchase Agreement; (c) Common Shares pursuant to that certain At-the-Market Equity Distribution Agreement, dated as of December 22, 2022, by and among the Company, and Wedbush Securities Inc.; (d) Common Shares pursuant to the exercise of any options or warrants, or the conversion of convertible securities, preferred shares or special shares outstanding on the date of this Warrant or the exercise or conversion of any securities issued upon exercise or conversion of any such outstanding option, warrant, convertible security, preferred share or special share; (e) Common Shares or Common Share Equivalents (and the Common Shares issuable upon exercise or exchange of such Common Share Equivalents) to banks, equipment lessors or other financial institutions, or to real property lessors, pursuant to a debt financing, equipment leasing or real property leasing transaction approved by the board of directors of the Company or a committee thereof; (f) Common Shares or Common Share Equivalents (and the Common Shares issuable upon exercise or exchange of such Common Share Equivalents) in connection with (i) any merger, consolidation, business combination, acquisition or other transaction, or series of related transactions, by the Company with another Person whereby the Company acquires 50% or more of the outstanding equity interests or outstanding voting power of such other Person, or (ii) the direct or indirect purchase, lease, license, assignment, transfer, conveyance or other acquisition of all or substantially all of the assets of another Person; (g) Common Shares or securities convertible into or exercisable or exchangeable for Common Shares (and the Common Shares issuable upon exercise or exchange of such securities) to collaborators, vendors, manufacturers, supplies, third–party service providers, licensors, distributors, customers or other similar parties pursuant to a collaboration, licensing agreement, strategic alliance, joint venture, manufacturing, supply or distribution arrangement or similar transaction; and (h) securities that would result in an adjustment to the Exercise Price and/or number of Warrant Shares issuable under this Warrant under Section 3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8"/>
        <w:spacing w:after="0" w:line="250" w:lineRule="auto"/>
        <w:tabs>
          <w:tab w:leader="none" w:pos="8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Dividends and Splits</w:t>
      </w:r>
      <w:r>
        <w:rPr>
          <w:rFonts w:ascii="Times New Roman" w:cs="Times New Roman" w:eastAsia="Times New Roman" w:hAnsi="Times New Roman"/>
          <w:sz w:val="18"/>
          <w:szCs w:val="18"/>
          <w:color w:val="auto"/>
        </w:rPr>
        <w:t>. If the Company, at any time while this Warrant is outstanding: (i) pays a share dividend or otherwise makes a distribution or distributions on Common Shares or any other equity or equity equivalent securities payable in Common Shares (which, for avoidance of doubt, shall not include any Common Shares issued by the Company upon exercise of this Warrant), (ii) subdivides outstanding Common Shares into a larger number of shares, (iii) combines (including by way of reverse share split) outstanding Common Shares into a smaller number of shares, or (iv) issues by reclassification of the Common Shares of the Company, then in each case the Exercise Price shall be multiplied by a fraction of which the numerator shall be the number of Common Shares (excluding treasury shares, if any) outstanding immediately before such event and of which the denominator shall be the number of Common Shares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spacing w:after="0" w:line="200" w:lineRule="exact"/>
        <w:rPr>
          <w:sz w:val="20"/>
          <w:szCs w:val="20"/>
          <w:color w:val="auto"/>
        </w:rPr>
      </w:pPr>
    </w:p>
    <w:p>
      <w:pPr>
        <w:spacing w:after="0" w:line="20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895" w:right="339" w:bottom="1440" w:gutter="0" w:footer="0" w:header="0"/>
        </w:sectPr>
      </w:pPr>
    </w:p>
    <w:bookmarkStart w:id="11" w:name="page12"/>
    <w:bookmarkEnd w:id="11"/>
    <w:p>
      <w:pPr>
        <w:jc w:val="both"/>
        <w:ind w:left="-480" w:firstLine="648"/>
        <w:spacing w:after="0" w:line="250" w:lineRule="auto"/>
        <w:tabs>
          <w:tab w:leader="none" w:pos="35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Share Equivalents or rights to purchase shares, warrants, securities or other property pro rata to the record holders of any class of Common Shares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Common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Shares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Common Shares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90" w:lineRule="exact"/>
        <w:rPr>
          <w:rFonts w:ascii="Times New Roman" w:cs="Times New Roman" w:eastAsia="Times New Roman" w:hAnsi="Times New Roman"/>
          <w:sz w:val="18"/>
          <w:szCs w:val="18"/>
          <w:color w:val="auto"/>
        </w:rPr>
      </w:pPr>
    </w:p>
    <w:p>
      <w:pPr>
        <w:jc w:val="both"/>
        <w:ind w:left="-480" w:firstLine="648"/>
        <w:spacing w:after="0" w:line="249" w:lineRule="auto"/>
        <w:tabs>
          <w:tab w:leader="none" w:pos="3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Subject to compliance with applicable securities and corporate law, including the constituting documents of the Company, during such time as this Warrant is outstanding, if the Company shall declare or make any dividend or other distribution of its assets (or rights to acquire its assets) to holders of Common Shares, by way of return of capital or otherwise (including, without limitation, any distribution of cash, shares or other securities, property or options by way of a dividend, spin off, reclassification, corporate rearrangement, scheme of arrangement or other similar transaction, other than such dividends or distributions that result in an adjustment under Section 3(a), (b) or (d))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receive an equivalent distribution to such Distribution, in the same form and to the equivalent extent that the Holder would have participated therein if the Holder had held the number of Common Shares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Common Shares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receive such equivalent distribution to such Distribution would result in the Holder exceeding the Beneficial Ownership Limitation, then the Holder shall not be entitled to such equivalent distribution to such Distribution to such extent (or in the beneficial ownership of any Common Shares as a result of such Distribution to such extent) and the portion of such equivalent distribution shall be held in abeyance for the benefit of the Holder until such time, if ever, as its right thereto would not result in the Holder exceeding the Beneficial Ownership Limitation)..</w:t>
      </w:r>
    </w:p>
    <w:p>
      <w:pPr>
        <w:spacing w:after="0" w:line="200" w:lineRule="exact"/>
        <w:rPr>
          <w:sz w:val="20"/>
          <w:szCs w:val="20"/>
          <w:color w:val="auto"/>
        </w:rPr>
      </w:pPr>
    </w:p>
    <w:p>
      <w:pPr>
        <w:spacing w:after="0" w:line="20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15875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5" w:right="339" w:bottom="1440" w:gutter="0" w:footer="0" w:header="0"/>
        </w:sectPr>
      </w:pPr>
    </w:p>
    <w:bookmarkStart w:id="12" w:name="page13"/>
    <w:bookmarkEnd w:id="12"/>
    <w:p>
      <w:pPr>
        <w:jc w:val="both"/>
        <w:ind w:left="-480" w:firstLine="648"/>
        <w:spacing w:after="0" w:line="263" w:lineRule="auto"/>
        <w:tabs>
          <w:tab w:leader="none" w:pos="353"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Warrant is outstanding, (i) the Company, directly or indirectly, in one or more related transactions effects any arrangement, amalgamation,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Shares are permitted to sell, tender or exchange their shares for other securities, cash or property and has been accepted by the holders of 50% or more of the outstanding Common Shares or 50% or more of the outstanding voting power of the common equity of the Company, (iv) the Company, directly or indirectly, in one or more related transactions effects any reclassification, reorganization or recapitalization of the Common Shares or any compulsory share exchange pursuant to which the Common Shares are effectively converted into or exchanged for other securities, cash or property, including pursuant to an amalgamation or arrangement, or (v) the Company, directly or indirectly, in one or more related transactions consummates a share or share purchase agreement or other business combination (including, without limitation, a reorganization, recapitalization, spin-off, merger or scheme of arrangement) with another Person or group of Persons whereby such other Person or group acquires 50% or more of the outstanding Common Shares or 50% or more of the outstanding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Common Shares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Common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Common Share in such Fundamental Transaction, and the Company shall apportion the Exercise Price among the Alternate Consideration in a reasonable manner reflecting the relative value of any different components of the Alternate Consideration. If holders of Common Shares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7"/>
          <w:szCs w:val="17"/>
          <w:u w:val="single" w:color="auto"/>
          <w:color w:val="auto"/>
        </w:rPr>
        <w:t>Successor Entity</w:t>
      </w:r>
      <w:r>
        <w:rPr>
          <w:rFonts w:ascii="Times New Roman" w:cs="Times New Roman" w:eastAsia="Times New Roman" w:hAnsi="Times New Roman"/>
          <w:sz w:val="17"/>
          <w:szCs w:val="17"/>
          <w:color w:val="auto"/>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such Successor Entity (or its parent entity) equivalent to the Common Shares acquirable and receivable upon exercise of this Warrant (without regard to any limitations on the exercise of this Warrant) prior to such Fundamental Transaction, and with an exercise price which applies the exercise price hereunder to such shares (but taking into account the relative value of the Common Shares pursuant to such Fundamental Transaction and the value of such shares, such number of shares and such exercise price being for the purpose of protecting the economic value of this Warrant immediately prior to the consummation of such Fundamental Transaction), and which is reasonably satisfactory in form and substance to the Holder. Upon the occurrence or consummation of any such Fundamental Transaction, the Successor Entity shall succeed to, and be substituted for (so that from and after the occurrence or consummation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4" w:lineRule="exact"/>
        <w:rPr>
          <w:rFonts w:ascii="Times New Roman" w:cs="Times New Roman" w:eastAsia="Times New Roman" w:hAnsi="Times New Roman"/>
          <w:sz w:val="17"/>
          <w:szCs w:val="17"/>
          <w:color w:val="auto"/>
        </w:rPr>
      </w:pPr>
    </w:p>
    <w:p>
      <w:pPr>
        <w:jc w:val="both"/>
        <w:ind w:left="-480" w:firstLine="648"/>
        <w:spacing w:after="0" w:line="262" w:lineRule="auto"/>
        <w:tabs>
          <w:tab w:leader="none" w:pos="3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Common Shares deemed to be issued and outstanding as of a given date shall be the sum of the number of Common Shares (excluding treasury shares, if any) issued and outstanding.</w:t>
      </w:r>
    </w:p>
    <w:p>
      <w:pPr>
        <w:spacing w:after="0" w:line="176" w:lineRule="exact"/>
        <w:rPr>
          <w:rFonts w:ascii="Times New Roman" w:cs="Times New Roman" w:eastAsia="Times New Roman" w:hAnsi="Times New Roman"/>
          <w:sz w:val="18"/>
          <w:szCs w:val="18"/>
          <w:color w:val="auto"/>
        </w:rPr>
      </w:pPr>
    </w:p>
    <w:p>
      <w:pPr>
        <w:jc w:val="both"/>
        <w:ind w:left="-480" w:firstLine="648"/>
        <w:spacing w:after="0" w:line="262"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spacing w:after="0" w:line="39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15875</wp:posOffset>
            </wp:positionV>
            <wp:extent cx="7134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5" w:right="339" w:bottom="1440" w:gutter="0" w:footer="0" w:header="0"/>
        </w:sectPr>
      </w:pPr>
    </w:p>
    <w:bookmarkStart w:id="13" w:name="page14"/>
    <w:bookmarkEnd w:id="13"/>
    <w:p>
      <w:pPr>
        <w:ind w:left="840" w:hanging="192"/>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jc w:val="both"/>
        <w:ind w:left="1280" w:firstLine="649"/>
        <w:spacing w:after="0" w:line="262" w:lineRule="auto"/>
        <w:tabs>
          <w:tab w:leader="none" w:pos="205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76" w:lineRule="exact"/>
        <w:rPr>
          <w:rFonts w:ascii="Times New Roman" w:cs="Times New Roman" w:eastAsia="Times New Roman" w:hAnsi="Times New Roman"/>
          <w:sz w:val="18"/>
          <w:szCs w:val="18"/>
          <w:color w:val="auto"/>
        </w:rPr>
      </w:pPr>
    </w:p>
    <w:p>
      <w:pPr>
        <w:jc w:val="both"/>
        <w:ind w:left="1280" w:firstLine="649"/>
        <w:spacing w:after="0" w:line="248" w:lineRule="auto"/>
        <w:tabs>
          <w:tab w:leader="none" w:pos="213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on Common Shares in whatever form) on the Common Shares, (B) the Company shall declare a special nonrecurring cash dividend on or a redemption of the Common Shares, (C) the Company shall authorize the granting to all holders of the Common Shares rights or warrants to subscribe for or purchase any shares of any class or of any rights, (D) the approval of any shareholders of the Company shall be required in connection with any reclassification of the Common Shares, any consolidation or merger to which the Company (and all of its Subsidiaries, taken as a whole) is a party, any sale or transfer of all or substantially all of the assets of the Company, or any compulsory share exchange whereby the Common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(as defined below)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Shares of record shall be entitled to exchange their Common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Notwithstanding the foregoing, to the extent that any notice to be provided in this Warrant constitutes, or contains, material, non-public information regarding the Company or any of the Subsidiaries, the Company may delay such notice until such time as the Company would otherwise make a public announcement of such notice or information, whether by a Current Report on Form 8-K or otherwise. The Holder shall remain entitled to exercise this Warrant during the period commencing on the date of such notice to the effective date of the event triggering such notice except as may otherwise be expressly set forth herein.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8"/>
        <w:spacing w:after="0" w:line="249" w:lineRule="auto"/>
        <w:tabs>
          <w:tab w:leader="none" w:pos="82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which may be accepted via email, together with a written assignment of this Warrant substantially in the form attached hereto duly executed by the Holder or its agent or attorney and funds sufficient to pay any transfer taxes payable upon the making of such transfer, subject to compliance with applicable securities laws.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 Notwithstanding the foregoing, each Holder hereby covenants and agrees in favour of the Company that it will not sell, transfer or assign any Warrants or any Warrant Shares to any Canadian resident or any person for subsequent resale to a Canadian resident for a period of four months and a day after the Issue Date.</w:t>
      </w:r>
    </w:p>
    <w:p>
      <w:pPr>
        <w:spacing w:after="0" w:line="200" w:lineRule="exact"/>
        <w:rPr>
          <w:sz w:val="20"/>
          <w:szCs w:val="20"/>
          <w:color w:val="auto"/>
        </w:rPr>
      </w:pPr>
    </w:p>
    <w:p>
      <w:pPr>
        <w:spacing w:after="0" w:line="21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895" w:right="339" w:bottom="1440" w:gutter="0" w:footer="0" w:header="0"/>
        </w:sectPr>
      </w:pPr>
    </w:p>
    <w:bookmarkStart w:id="14" w:name="page15"/>
    <w:bookmarkEnd w:id="14"/>
    <w:p>
      <w:pPr>
        <w:jc w:val="both"/>
        <w:ind w:firstLine="648"/>
        <w:spacing w:after="0" w:line="253" w:lineRule="auto"/>
        <w:tabs>
          <w:tab w:leader="none" w:pos="8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or its designated agent, which may be accepted via email,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w:t>
      </w:r>
    </w:p>
    <w:p>
      <w:pPr>
        <w:spacing w:after="0" w:line="185" w:lineRule="exact"/>
        <w:rPr>
          <w:rFonts w:ascii="Times New Roman" w:cs="Times New Roman" w:eastAsia="Times New Roman" w:hAnsi="Times New Roman"/>
          <w:sz w:val="18"/>
          <w:szCs w:val="18"/>
          <w:color w:val="auto"/>
        </w:rPr>
      </w:pPr>
    </w:p>
    <w:p>
      <w:pPr>
        <w:jc w:val="both"/>
        <w:ind w:firstLine="648"/>
        <w:spacing w:after="0" w:line="257" w:lineRule="auto"/>
        <w:tabs>
          <w:tab w:leader="none" w:pos="8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or the Transfer Agent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8"/>
        <w:spacing w:after="0" w:line="277" w:lineRule="auto"/>
        <w:tabs>
          <w:tab w:leader="none" w:pos="82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Rights as Shareholder Until Exercise; No Settlement in Cash</w:t>
      </w:r>
      <w:r>
        <w:rPr>
          <w:rFonts w:ascii="Times New Roman" w:cs="Times New Roman" w:eastAsia="Times New Roman" w:hAnsi="Times New Roman"/>
          <w:sz w:val="17"/>
          <w:szCs w:val="17"/>
          <w:color w:val="auto"/>
        </w:rPr>
        <w:t>. This Warrant does not entitle the Holder to any voting rights, dividends or other rights as a shareholder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64" w:lineRule="exact"/>
        <w:rPr>
          <w:rFonts w:ascii="Times New Roman" w:cs="Times New Roman" w:eastAsia="Times New Roman" w:hAnsi="Times New Roman"/>
          <w:sz w:val="17"/>
          <w:szCs w:val="17"/>
          <w:color w:val="auto"/>
        </w:rPr>
      </w:pPr>
    </w:p>
    <w:p>
      <w:pPr>
        <w:jc w:val="both"/>
        <w:ind w:firstLine="648"/>
        <w:spacing w:after="0" w:line="254" w:lineRule="auto"/>
        <w:tabs>
          <w:tab w:leader="none" w:pos="83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share certificate relating to the Warrant Shares, and in case of loss, theft or destruction, of indemnity or security reasonably satisfactory to it (which, in the case of the Warrant, shall not include the posting of any bond), and upon surrender and cancellation of such Warrant or share certificate, if mutilated, the Company will make and deliver a new Warrant or share certificate of like tenor and dated as of such cancellation, in lieu of such Warrant or share certificate.</w:t>
      </w:r>
    </w:p>
    <w:p>
      <w:pPr>
        <w:spacing w:after="0" w:line="185" w:lineRule="exact"/>
        <w:rPr>
          <w:rFonts w:ascii="Times New Roman" w:cs="Times New Roman" w:eastAsia="Times New Roman" w:hAnsi="Times New Roman"/>
          <w:sz w:val="18"/>
          <w:szCs w:val="18"/>
          <w:color w:val="auto"/>
        </w:rPr>
      </w:pPr>
    </w:p>
    <w:p>
      <w:pPr>
        <w:ind w:right="20" w:firstLine="648"/>
        <w:spacing w:after="0" w:line="277" w:lineRule="auto"/>
        <w:tabs>
          <w:tab w:leader="none" w:pos="8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62" w:lineRule="exact"/>
        <w:rPr>
          <w:rFonts w:ascii="Times New Roman" w:cs="Times New Roman" w:eastAsia="Times New Roman" w:hAnsi="Times New Roman"/>
          <w:sz w:val="18"/>
          <w:szCs w:val="18"/>
          <w:color w:val="auto"/>
        </w:rPr>
      </w:pPr>
    </w:p>
    <w:p>
      <w:pPr>
        <w:ind w:left="840" w:hanging="192"/>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640" w:firstLine="640"/>
        <w:spacing w:after="0" w:line="267" w:lineRule="auto"/>
        <w:rPr>
          <w:sz w:val="20"/>
          <w:szCs w:val="20"/>
          <w:color w:val="auto"/>
        </w:rPr>
      </w:pPr>
      <w:r>
        <w:rPr>
          <w:rFonts w:ascii="Times New Roman" w:cs="Times New Roman" w:eastAsia="Times New Roman" w:hAnsi="Times New Roman"/>
          <w:sz w:val="17"/>
          <w:szCs w:val="17"/>
          <w:color w:val="auto"/>
        </w:rPr>
        <w:t>The Company covenants that, during the period the Warrant is outstanding, it will reserve from its authorized and unissued Common Shares a sufficient number of Common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Shares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74" w:lineRule="exact"/>
        <w:rPr>
          <w:sz w:val="20"/>
          <w:szCs w:val="20"/>
          <w:color w:val="auto"/>
        </w:rPr>
      </w:pPr>
    </w:p>
    <w:p>
      <w:pPr>
        <w:jc w:val="both"/>
        <w:ind w:left="640" w:firstLine="640"/>
        <w:spacing w:after="0" w:line="250"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200" w:lineRule="exact"/>
        <w:rPr>
          <w:sz w:val="20"/>
          <w:szCs w:val="20"/>
          <w:color w:val="auto"/>
        </w:rPr>
      </w:pPr>
    </w:p>
    <w:p>
      <w:pPr>
        <w:spacing w:after="0" w:line="20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895" w:right="339" w:bottom="1440" w:gutter="0" w:footer="0" w:header="0"/>
        </w:sectPr>
      </w:pPr>
    </w:p>
    <w:bookmarkStart w:id="15" w:name="page16"/>
    <w:bookmarkEnd w:id="15"/>
    <w:p>
      <w:pPr>
        <w:jc w:val="both"/>
        <w:ind w:left="420" w:firstLine="640"/>
        <w:spacing w:after="0" w:line="262"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220" w:firstLine="648"/>
        <w:spacing w:after="0" w:line="277" w:lineRule="auto"/>
        <w:tabs>
          <w:tab w:leader="none" w:pos="61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2" w:lineRule="exact"/>
        <w:rPr>
          <w:rFonts w:ascii="Times New Roman" w:cs="Times New Roman" w:eastAsia="Times New Roman" w:hAnsi="Times New Roman"/>
          <w:sz w:val="18"/>
          <w:szCs w:val="18"/>
          <w:color w:val="auto"/>
        </w:rPr>
      </w:pPr>
    </w:p>
    <w:p>
      <w:pPr>
        <w:ind w:left="-220" w:firstLine="648"/>
        <w:spacing w:after="0" w:line="277" w:lineRule="auto"/>
        <w:tabs>
          <w:tab w:leader="none" w:pos="59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2" w:lineRule="exact"/>
        <w:rPr>
          <w:rFonts w:ascii="Times New Roman" w:cs="Times New Roman" w:eastAsia="Times New Roman" w:hAnsi="Times New Roman"/>
          <w:sz w:val="18"/>
          <w:szCs w:val="18"/>
          <w:color w:val="auto"/>
        </w:rPr>
      </w:pPr>
    </w:p>
    <w:p>
      <w:pPr>
        <w:jc w:val="both"/>
        <w:ind w:left="-220" w:firstLine="648"/>
        <w:spacing w:after="0" w:line="253" w:lineRule="auto"/>
        <w:tabs>
          <w:tab w:leader="none" w:pos="61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5" w:lineRule="exact"/>
        <w:rPr>
          <w:rFonts w:ascii="Times New Roman" w:cs="Times New Roman" w:eastAsia="Times New Roman" w:hAnsi="Times New Roman"/>
          <w:sz w:val="18"/>
          <w:szCs w:val="18"/>
          <w:color w:val="auto"/>
        </w:rPr>
      </w:pPr>
    </w:p>
    <w:p>
      <w:pPr>
        <w:jc w:val="both"/>
        <w:ind w:left="-220" w:firstLine="648"/>
        <w:spacing w:after="0" w:line="252" w:lineRule="auto"/>
        <w:tabs>
          <w:tab w:leader="none" w:pos="61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consents, waivers or other document or communications required or permitted to be given or delivered under the terms of this Warrant must be in writing and will be deemed to have been delivered: (i) upon receipt, if delivered personally; (ii) when sent, if sent by e-mail (provided that such sent e-mail is kept on file (whether electronically or otherwise) by the sending party and the sending party does not receive an automatically generated message from the recipient’s e-mail server that such e-mail could not be delivered to such recipient) and (iii) if sent by overnight courier service, one (1) Trading Day after deposit with an overnight courier service with next day delivery specified, in each case, properly addressed to the party to receive the same. If notice is given by email, a copy of such notice shall be dispatched no later than the next business day by first class mail, postage prepaid. The addresses and e-mail addresses for such communications shall be: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 DuMoulin Black LLP</w:t>
      </w:r>
    </w:p>
    <w:p>
      <w:pPr>
        <w:spacing w:after="0" w:line="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1111 West Hastings Street, 15th Floor</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Vancouver, BC V6E 2J3</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Email: craig@metals.co</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(for informational purposes only) to:</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Boston, MA 02111</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E-mail: dtkajunski@mintz.com</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Attention: Daniel Kajunski, Esq.</w:t>
      </w:r>
    </w:p>
    <w:p>
      <w:pPr>
        <w:spacing w:after="0" w:line="200" w:lineRule="exact"/>
        <w:rPr>
          <w:sz w:val="20"/>
          <w:szCs w:val="20"/>
          <w:color w:val="auto"/>
        </w:rPr>
      </w:pPr>
    </w:p>
    <w:p>
      <w:pPr>
        <w:spacing w:after="0" w:line="21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15875</wp:posOffset>
            </wp:positionV>
            <wp:extent cx="7134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380"/>
          </w:cols>
          <w:pgMar w:left="1180" w:top="89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If to a Holder, to its address or e-mail address set forth herein or on the books and records of the Company.</w:t>
      </w:r>
    </w:p>
    <w:p>
      <w:pPr>
        <w:spacing w:after="0" w:line="220" w:lineRule="exact"/>
        <w:rPr>
          <w:sz w:val="20"/>
          <w:szCs w:val="20"/>
          <w:color w:val="auto"/>
        </w:rPr>
      </w:pPr>
    </w:p>
    <w:p>
      <w:pPr>
        <w:ind w:firstLine="320"/>
        <w:spacing w:after="0" w:line="258" w:lineRule="auto"/>
        <w:rPr>
          <w:sz w:val="20"/>
          <w:szCs w:val="20"/>
          <w:color w:val="auto"/>
        </w:rPr>
      </w:pPr>
      <w:r>
        <w:rPr>
          <w:rFonts w:ascii="Times New Roman" w:cs="Times New Roman" w:eastAsia="Times New Roman" w:hAnsi="Times New Roman"/>
          <w:sz w:val="18"/>
          <w:szCs w:val="18"/>
          <w:color w:val="auto"/>
        </w:rPr>
        <w:t>Or, in each of the above instances, to such other address or e-mail address and/or to the attention of such other Person as the recipient party has specified by written notice given to each other party at least five (5) days prior to the effectiveness of such change. Written confirmation of receipt</w:t>
      </w:r>
    </w:p>
    <w:p>
      <w:pPr>
        <w:spacing w:after="0" w:line="1" w:lineRule="exact"/>
        <w:rPr>
          <w:sz w:val="20"/>
          <w:szCs w:val="20"/>
          <w:color w:val="auto"/>
        </w:rPr>
      </w:pPr>
    </w:p>
    <w:p>
      <w:pPr>
        <w:jc w:val="both"/>
        <w:ind w:firstLine="7"/>
        <w:spacing w:after="0" w:line="250" w:lineRule="auto"/>
        <w:tabs>
          <w:tab w:leader="none" w:pos="3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by the recipient of such notice, consent, waiver or other communication or (B) provided by an overnight courier service shall be rebuttable evidence of personal service, receipt from an overnight courier service in accordance with clause (i) or (iii) above, respectively. A copy of the e-mail transmission containing the time, date and recipient e- mail address shall be rebuttable evidence of receipt by e-mail in accordance with clause (ii) above.</w:t>
      </w:r>
    </w:p>
    <w:p>
      <w:pPr>
        <w:spacing w:after="0" w:line="185" w:lineRule="exact"/>
        <w:rPr>
          <w:rFonts w:ascii="Times New Roman" w:cs="Times New Roman" w:eastAsia="Times New Roman" w:hAnsi="Times New Roman"/>
          <w:sz w:val="18"/>
          <w:szCs w:val="18"/>
          <w:color w:val="auto"/>
        </w:rPr>
      </w:pPr>
    </w:p>
    <w:p>
      <w:pPr>
        <w:jc w:val="both"/>
        <w:ind w:left="320" w:firstLine="648"/>
        <w:spacing w:after="0" w:line="284" w:lineRule="auto"/>
        <w:tabs>
          <w:tab w:leader="none" w:pos="1113"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of Liability</w:t>
      </w:r>
      <w:r>
        <w:rPr>
          <w:rFonts w:ascii="Times New Roman" w:cs="Times New Roman" w:eastAsia="Times New Roman" w:hAnsi="Times New Roman"/>
          <w:sz w:val="17"/>
          <w:szCs w:val="17"/>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Shares or as a shareholder of the Company, whether such liability is asserted by the Company or by creditors of the Company.</w:t>
      </w:r>
    </w:p>
    <w:p>
      <w:pPr>
        <w:spacing w:after="0" w:line="159" w:lineRule="exact"/>
        <w:rPr>
          <w:rFonts w:ascii="Times New Roman" w:cs="Times New Roman" w:eastAsia="Times New Roman" w:hAnsi="Times New Roman"/>
          <w:sz w:val="17"/>
          <w:szCs w:val="17"/>
          <w:color w:val="auto"/>
        </w:rPr>
      </w:pPr>
    </w:p>
    <w:p>
      <w:pPr>
        <w:jc w:val="both"/>
        <w:ind w:left="320" w:firstLine="648"/>
        <w:spacing w:after="0" w:line="257" w:lineRule="auto"/>
        <w:tabs>
          <w:tab w:leader="none" w:pos="111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0" w:lineRule="exact"/>
        <w:rPr>
          <w:rFonts w:ascii="Times New Roman" w:cs="Times New Roman" w:eastAsia="Times New Roman" w:hAnsi="Times New Roman"/>
          <w:sz w:val="18"/>
          <w:szCs w:val="18"/>
          <w:color w:val="auto"/>
        </w:rPr>
      </w:pPr>
    </w:p>
    <w:p>
      <w:pPr>
        <w:jc w:val="both"/>
        <w:ind w:left="320" w:firstLine="648"/>
        <w:spacing w:after="0" w:line="257" w:lineRule="auto"/>
        <w:tabs>
          <w:tab w:leader="none" w:pos="115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0" w:lineRule="exact"/>
        <w:rPr>
          <w:rFonts w:ascii="Times New Roman" w:cs="Times New Roman" w:eastAsia="Times New Roman" w:hAnsi="Times New Roman"/>
          <w:sz w:val="18"/>
          <w:szCs w:val="18"/>
          <w:color w:val="auto"/>
        </w:rPr>
      </w:pPr>
    </w:p>
    <w:p>
      <w:pPr>
        <w:ind w:left="1120" w:hanging="152"/>
        <w:spacing w:after="0"/>
        <w:tabs>
          <w:tab w:leader="none" w:pos="11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w:t>
      </w:r>
    </w:p>
    <w:p>
      <w:pPr>
        <w:spacing w:after="0" w:line="25"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w:t>
      </w:r>
    </w:p>
    <w:p>
      <w:pPr>
        <w:spacing w:after="0" w:line="200" w:lineRule="exact"/>
        <w:rPr>
          <w:rFonts w:ascii="Times New Roman" w:cs="Times New Roman" w:eastAsia="Times New Roman" w:hAnsi="Times New Roman"/>
          <w:sz w:val="18"/>
          <w:szCs w:val="18"/>
          <w:color w:val="auto"/>
        </w:rPr>
      </w:pPr>
    </w:p>
    <w:p>
      <w:pPr>
        <w:jc w:val="both"/>
        <w:ind w:left="320" w:firstLine="648"/>
        <w:spacing w:after="0" w:line="262" w:lineRule="auto"/>
        <w:tabs>
          <w:tab w:leader="none" w:pos="120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6" w:lineRule="exact"/>
        <w:rPr>
          <w:rFonts w:ascii="Times New Roman" w:cs="Times New Roman" w:eastAsia="Times New Roman" w:hAnsi="Times New Roman"/>
          <w:sz w:val="18"/>
          <w:szCs w:val="18"/>
          <w:color w:val="auto"/>
        </w:rPr>
      </w:pPr>
    </w:p>
    <w:p>
      <w:pPr>
        <w:ind w:left="320" w:right="20" w:firstLine="648"/>
        <w:spacing w:after="0" w:line="277" w:lineRule="auto"/>
        <w:tabs>
          <w:tab w:leader="none" w:pos="115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3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15875</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920"/>
          </w:cols>
          <w:pgMar w:left="640" w:top="895"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 indicated.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15875</wp:posOffset>
            </wp:positionV>
            <wp:extent cx="33464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Craig Shesky</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Class B Common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4"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TMC the metals company Inc.</w:t>
      </w:r>
    </w:p>
    <w:p>
      <w:pPr>
        <w:spacing w:after="0" w:line="220" w:lineRule="exact"/>
        <w:rPr>
          <w:sz w:val="20"/>
          <w:szCs w:val="20"/>
          <w:color w:val="auto"/>
        </w:rPr>
      </w:pPr>
    </w:p>
    <w:p>
      <w:pPr>
        <w:ind w:firstLine="1288"/>
        <w:spacing w:after="0" w:line="277" w:lineRule="auto"/>
        <w:tabs>
          <w:tab w:leader="none" w:pos="15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(to be delivered only if exercised in full), and tenders herewith payment of the exercise price in full, together with all applicable transfer taxes, if any.</w:t>
      </w:r>
    </w:p>
    <w:p>
      <w:pPr>
        <w:spacing w:after="0" w:line="162" w:lineRule="exact"/>
        <w:rPr>
          <w:rFonts w:ascii="Times New Roman" w:cs="Times New Roman" w:eastAsia="Times New Roman" w:hAnsi="Times New Roman"/>
          <w:sz w:val="18"/>
          <w:szCs w:val="18"/>
          <w:color w:val="auto"/>
        </w:rPr>
      </w:pPr>
    </w:p>
    <w:p>
      <w:pPr>
        <w:ind w:left="1540" w:hanging="252"/>
        <w:spacing w:after="0"/>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19" w:lineRule="exact"/>
        <w:rPr>
          <w:rFonts w:ascii="Times New Roman" w:cs="Times New Roman" w:eastAsia="Times New Roman" w:hAnsi="Times New Roman"/>
          <w:sz w:val="18"/>
          <w:szCs w:val="18"/>
          <w:color w:val="auto"/>
        </w:rPr>
      </w:pPr>
    </w:p>
    <w:p>
      <w:pPr>
        <w:ind w:left="2140" w:hanging="212"/>
        <w:spacing w:after="0"/>
        <w:tabs>
          <w:tab w:leader="none" w:pos="2140" w:val="left"/>
        </w:tabs>
        <w:numPr>
          <w:ilvl w:val="1"/>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19" w:lineRule="exact"/>
        <w:rPr>
          <w:rFonts w:ascii="MS PGothic" w:cs="MS PGothic" w:eastAsia="MS PGothic" w:hAnsi="MS PGothic"/>
          <w:sz w:val="18"/>
          <w:szCs w:val="18"/>
          <w:color w:val="auto"/>
        </w:rPr>
      </w:pPr>
    </w:p>
    <w:p>
      <w:pPr>
        <w:jc w:val="both"/>
        <w:ind w:left="1920" w:firstLine="8"/>
        <w:spacing w:after="0" w:line="262" w:lineRule="auto"/>
        <w:tabs>
          <w:tab w:leader="none" w:pos="2145" w:val="left"/>
        </w:tabs>
        <w:numPr>
          <w:ilvl w:val="1"/>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6" w:lineRule="exact"/>
        <w:rPr>
          <w:rFonts w:ascii="MS PGothic" w:cs="MS PGothic" w:eastAsia="MS PGothic" w:hAnsi="MS PGothic"/>
          <w:sz w:val="18"/>
          <w:szCs w:val="18"/>
          <w:color w:val="auto"/>
        </w:rPr>
      </w:pPr>
    </w:p>
    <w:p>
      <w:pPr>
        <w:ind w:left="1540" w:hanging="252"/>
        <w:spacing w:after="0"/>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19"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____________________________________________________________________________________________________</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______________________________________________________________________________</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________________________________________________________________________________________________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_________________________________________________________________________________________________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7134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ind w:left="474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2" w:lineRule="exact"/>
        <w:rPr>
          <w:sz w:val="20"/>
          <w:szCs w:val="20"/>
          <w:color w:val="auto"/>
        </w:rPr>
      </w:pPr>
    </w:p>
    <w:p>
      <w:pPr>
        <w:ind w:left="320" w:right="779"/>
        <w:spacing w:after="0" w:line="496"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944880</wp:posOffset>
            </wp:positionH>
            <wp:positionV relativeFrom="paragraph">
              <wp:posOffset>15875</wp:posOffset>
            </wp:positionV>
            <wp:extent cx="33464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(Please Print)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944880</wp:posOffset>
            </wp:positionH>
            <wp:positionV relativeFrom="paragraph">
              <wp:posOffset>15875</wp:posOffset>
            </wp:positionV>
            <wp:extent cx="33464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(Please Print)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944880</wp:posOffset>
            </wp:positionH>
            <wp:positionV relativeFrom="paragraph">
              <wp:posOffset>15875</wp:posOffset>
            </wp:positionV>
            <wp:extent cx="33464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944880</wp:posOffset>
            </wp:positionH>
            <wp:positionV relativeFrom="paragraph">
              <wp:posOffset>15875</wp:posOffset>
            </wp:positionV>
            <wp:extent cx="33464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944880</wp:posOffset>
            </wp:positionH>
            <wp:positionV relativeFrom="paragraph">
              <wp:posOffset>15875</wp:posOffset>
            </wp:positionV>
            <wp:extent cx="33464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935990</wp:posOffset>
            </wp:positionH>
            <wp:positionV relativeFrom="paragraph">
              <wp:posOffset>15875</wp:posOffset>
            </wp:positionV>
            <wp:extent cx="33553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5534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935990</wp:posOffset>
            </wp:positionH>
            <wp:positionV relativeFrom="paragraph">
              <wp:posOffset>15875</wp:posOffset>
            </wp:positionV>
            <wp:extent cx="33553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53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295275</wp:posOffset>
            </wp:positionV>
            <wp:extent cx="71342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7196455" cy="1169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6455" cy="1169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15,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01" w:lineRule="auto"/>
        <w:rPr>
          <w:sz w:val="20"/>
          <w:szCs w:val="20"/>
          <w:color w:val="auto"/>
        </w:rPr>
      </w:pPr>
      <w:r>
        <w:rPr>
          <w:rFonts w:ascii="Times New Roman" w:cs="Times New Roman" w:eastAsia="Times New Roman" w:hAnsi="Times New Roman"/>
          <w:sz w:val="18"/>
          <w:szCs w:val="18"/>
          <w:color w:val="auto"/>
        </w:rPr>
        <w:t>1111 West Hastings Street,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British Columbia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V6E 2J3, Canada</w:t>
      </w:r>
    </w:p>
    <w:p>
      <w:pPr>
        <w:spacing w:after="0" w:line="19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TMC the metals company Inc. – Registration Statement on Form S-3 (File No. 333-275822)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6" w:lineRule="exact"/>
        <w:rPr>
          <w:sz w:val="20"/>
          <w:szCs w:val="20"/>
          <w:color w:val="auto"/>
        </w:rPr>
      </w:pPr>
    </w:p>
    <w:p>
      <w:pPr>
        <w:jc w:val="both"/>
        <w:ind w:firstLine="640"/>
        <w:spacing w:after="0" w:line="268" w:lineRule="auto"/>
        <w:rPr>
          <w:sz w:val="20"/>
          <w:szCs w:val="20"/>
          <w:color w:val="auto"/>
        </w:rPr>
      </w:pPr>
      <w:r>
        <w:rPr>
          <w:rFonts w:ascii="Times New Roman" w:cs="Times New Roman" w:eastAsia="Times New Roman" w:hAnsi="Times New Roman"/>
          <w:sz w:val="17"/>
          <w:szCs w:val="17"/>
          <w:color w:val="auto"/>
        </w:rPr>
        <w:t>We have acted as British Columbia counsel to TMC the metals company Inc.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in connection with the preparation and filing with the U.S. Securities and Exchange Commission (the “</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of a Prospectus Supplement, dated November 14, 2024 (the “</w:t>
      </w:r>
      <w:r>
        <w:rPr>
          <w:rFonts w:ascii="Times New Roman" w:cs="Times New Roman" w:eastAsia="Times New Roman" w:hAnsi="Times New Roman"/>
          <w:sz w:val="17"/>
          <w:szCs w:val="17"/>
          <w:b w:val="1"/>
          <w:bCs w:val="1"/>
          <w:color w:val="auto"/>
        </w:rPr>
        <w:t>Prospectus Supplement</w:t>
      </w:r>
      <w:r>
        <w:rPr>
          <w:rFonts w:ascii="Times New Roman" w:cs="Times New Roman" w:eastAsia="Times New Roman" w:hAnsi="Times New Roman"/>
          <w:sz w:val="17"/>
          <w:szCs w:val="17"/>
          <w:color w:val="auto"/>
        </w:rPr>
        <w:t>”), to a Registration Statement on Form S-3 (File No. 333-275822)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xml:space="preserve">”), filed by the Corporation with the Commission under the </w:t>
      </w:r>
      <w:r>
        <w:rPr>
          <w:rFonts w:ascii="Times New Roman" w:cs="Times New Roman" w:eastAsia="Times New Roman" w:hAnsi="Times New Roman"/>
          <w:sz w:val="17"/>
          <w:szCs w:val="17"/>
          <w:i w:val="1"/>
          <w:iCs w:val="1"/>
          <w:color w:val="auto"/>
        </w:rPr>
        <w:t>Securities Act of 1933</w:t>
      </w:r>
      <w:r>
        <w:rPr>
          <w:rFonts w:ascii="Times New Roman" w:cs="Times New Roman" w:eastAsia="Times New Roman" w:hAnsi="Times New Roman"/>
          <w:sz w:val="17"/>
          <w:szCs w:val="17"/>
          <w:color w:val="auto"/>
        </w:rPr>
        <w:t>,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The Prospectus Supplement relates to the offering of an aggregate of 17,500,000 common shares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Offered Shares</w:t>
      </w:r>
      <w:r>
        <w:rPr>
          <w:rFonts w:ascii="Times New Roman" w:cs="Times New Roman" w:eastAsia="Times New Roman" w:hAnsi="Times New Roman"/>
          <w:sz w:val="17"/>
          <w:szCs w:val="17"/>
          <w:color w:val="auto"/>
        </w:rPr>
        <w:t>”), without par value, in the capital of the Corporation (the “</w:t>
      </w:r>
      <w:r>
        <w:rPr>
          <w:rFonts w:ascii="Times New Roman" w:cs="Times New Roman" w:eastAsia="Times New Roman" w:hAnsi="Times New Roman"/>
          <w:sz w:val="17"/>
          <w:szCs w:val="17"/>
          <w:b w:val="1"/>
          <w:bCs w:val="1"/>
          <w:color w:val="auto"/>
        </w:rPr>
        <w:t>Common Shares</w:t>
      </w:r>
      <w:r>
        <w:rPr>
          <w:rFonts w:ascii="Times New Roman" w:cs="Times New Roman" w:eastAsia="Times New Roman" w:hAnsi="Times New Roman"/>
          <w:sz w:val="17"/>
          <w:szCs w:val="17"/>
          <w:color w:val="auto"/>
        </w:rPr>
        <w:t>”) and Class B Common Share purchase warrants (the “</w:t>
      </w:r>
      <w:r>
        <w:rPr>
          <w:rFonts w:ascii="Times New Roman" w:cs="Times New Roman" w:eastAsia="Times New Roman" w:hAnsi="Times New Roman"/>
          <w:sz w:val="17"/>
          <w:szCs w:val="17"/>
          <w:b w:val="1"/>
          <w:bCs w:val="1"/>
          <w:color w:val="auto"/>
        </w:rPr>
        <w:t>Warrants</w:t>
      </w:r>
      <w:r>
        <w:rPr>
          <w:rFonts w:ascii="Times New Roman" w:cs="Times New Roman" w:eastAsia="Times New Roman" w:hAnsi="Times New Roman"/>
          <w:sz w:val="17"/>
          <w:szCs w:val="17"/>
          <w:color w:val="auto"/>
        </w:rPr>
        <w:t>”) to purchase an aggregate of 8,750,000 Common Shares (the “</w:t>
      </w:r>
      <w:r>
        <w:rPr>
          <w:rFonts w:ascii="Times New Roman" w:cs="Times New Roman" w:eastAsia="Times New Roman" w:hAnsi="Times New Roman"/>
          <w:sz w:val="17"/>
          <w:szCs w:val="17"/>
          <w:b w:val="1"/>
          <w:bCs w:val="1"/>
          <w:color w:val="auto"/>
        </w:rPr>
        <w:t>Warrant Shares</w:t>
      </w:r>
      <w:r>
        <w:rPr>
          <w:rFonts w:ascii="Times New Roman" w:cs="Times New Roman" w:eastAsia="Times New Roman" w:hAnsi="Times New Roman"/>
          <w:sz w:val="17"/>
          <w:szCs w:val="17"/>
          <w:color w:val="auto"/>
        </w:rPr>
        <w:t>”, and together with the Offered Shares, the Warrants and the Warrant Shares, the “</w:t>
      </w:r>
      <w:r>
        <w:rPr>
          <w:rFonts w:ascii="Times New Roman" w:cs="Times New Roman" w:eastAsia="Times New Roman" w:hAnsi="Times New Roman"/>
          <w:sz w:val="17"/>
          <w:szCs w:val="17"/>
          <w:b w:val="1"/>
          <w:bCs w:val="1"/>
          <w:color w:val="auto"/>
        </w:rPr>
        <w:t>Securities</w:t>
      </w:r>
      <w:r>
        <w:rPr>
          <w:rFonts w:ascii="Times New Roman" w:cs="Times New Roman" w:eastAsia="Times New Roman" w:hAnsi="Times New Roman"/>
          <w:sz w:val="17"/>
          <w:szCs w:val="17"/>
          <w:color w:val="auto"/>
        </w:rPr>
        <w:t>”) pursuant to a securities purchase agreement (the “</w:t>
      </w:r>
      <w:r>
        <w:rPr>
          <w:rFonts w:ascii="Times New Roman" w:cs="Times New Roman" w:eastAsia="Times New Roman" w:hAnsi="Times New Roman"/>
          <w:sz w:val="17"/>
          <w:szCs w:val="17"/>
          <w:b w:val="1"/>
          <w:bCs w:val="1"/>
          <w:color w:val="auto"/>
        </w:rPr>
        <w:t>SPA</w:t>
      </w:r>
      <w:r>
        <w:rPr>
          <w:rFonts w:ascii="Times New Roman" w:cs="Times New Roman" w:eastAsia="Times New Roman" w:hAnsi="Times New Roman"/>
          <w:sz w:val="17"/>
          <w:szCs w:val="17"/>
          <w:color w:val="auto"/>
        </w:rPr>
        <w:t>”), dated November 14, 2024, between the Corporation and the purchasers named therein (the “</w:t>
      </w:r>
      <w:r>
        <w:rPr>
          <w:rFonts w:ascii="Times New Roman" w:cs="Times New Roman" w:eastAsia="Times New Roman" w:hAnsi="Times New Roman"/>
          <w:sz w:val="17"/>
          <w:szCs w:val="17"/>
          <w:b w:val="1"/>
          <w:bCs w:val="1"/>
          <w:color w:val="auto"/>
        </w:rPr>
        <w:t>Offering</w:t>
      </w:r>
      <w:r>
        <w:rPr>
          <w:rFonts w:ascii="Times New Roman" w:cs="Times New Roman" w:eastAsia="Times New Roman" w:hAnsi="Times New Roman"/>
          <w:sz w:val="17"/>
          <w:szCs w:val="17"/>
          <w:color w:val="auto"/>
        </w:rPr>
        <w:t>”). This opinion is being rendered in connection with the filing of the Prospectus Supplement with the Commission. All capitalized terms used herein and not otherwise defined shall have the respective meanings given to them in the Registration Statement.</w:t>
      </w:r>
    </w:p>
    <w:p>
      <w:pPr>
        <w:spacing w:after="0" w:line="17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We have examined and relied upon (a) the Registration Statement, (b) the Prospectus Supplement, (c) the form of SPA, (d) the form of instrument representing and setting out the terms of the Warrants (the “</w:t>
      </w:r>
      <w:r>
        <w:rPr>
          <w:rFonts w:ascii="Times New Roman" w:cs="Times New Roman" w:eastAsia="Times New Roman" w:hAnsi="Times New Roman"/>
          <w:sz w:val="18"/>
          <w:szCs w:val="18"/>
          <w:b w:val="1"/>
          <w:bCs w:val="1"/>
          <w:color w:val="auto"/>
        </w:rPr>
        <w:t>Warrant Instrument</w:t>
      </w:r>
      <w:r>
        <w:rPr>
          <w:rFonts w:ascii="Times New Roman" w:cs="Times New Roman" w:eastAsia="Times New Roman" w:hAnsi="Times New Roman"/>
          <w:sz w:val="18"/>
          <w:szCs w:val="18"/>
          <w:color w:val="auto"/>
        </w:rPr>
        <w:t xml:space="preserve">”), (e) a certificate of an officer of the Corporation dated the date hereof, certifying certain factual matters including, among other things: the constating documents of the Corporation, and resolutions passed by the directors of the Corporation, approving, among other things, the Offering and the completion of the transactions contemplated therein and the appointment of a pricing committee, and resolutions passed by such pricing committee, approving, among other things, certain final terms of the Offering, (f) a certificate of good standing dated November 15, 2024 issued pursuant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with respect of the Corporation and (g) originals or copies certified to our satisfaction of such records, documents, certificates, memoranda and other instruments as in our judgment are necessary or appropriate to enable us to render the opinion expressed below.</w:t>
      </w:r>
    </w:p>
    <w:p>
      <w:pPr>
        <w:spacing w:after="0" w:line="190"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We have assumed the authenticity of all documents submitted to us as originals, the genuineness of all signatures and the conformity to authentic originals of all documents submitted to us as copies and that all facts set forth in official public records and certificates and other documents supplied by public officials or otherwise conveyed to us by public officials are complete, true and accurate as of, and at all material times prior to, the date of this opinion letter. We have also assumed the legal capacity for all purposes relevant hereto of all natural persons. In making our examination of executed documents or documents to be executed, we have assumed that the parties thereto, including the Corporation, have legal capacity and had or will have the power, corporate or other, to enter into and perform all obligations thereunder and have also assumed the due authorization by all requisite action, corporate or other, and execution and delivery by such parties of such documents and, the validity, binding effect and enforceability on all such parties. We have assumed that the SPA and Warrant Instruments will be executed and delivered substantially in the form of such instrument we have examined. In our capacity as counsel to the Corporation in connection with the registration of the Registration Statement, we are familiar with the proceedings taken and proposed to be taken by the Corporation in connection with the authorization and issuance of the Securities. For purposes of this opinion, we have assumed that such proceedings will be timely and properly completed, in accordance with all requirements of the Applicable Laws (as defined below), in the manner presently proposed. As to questions of fact material to our opinions, we have relied upon certificates of officers of the Corporation and of public officials.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419100</wp:posOffset>
            </wp:positionV>
            <wp:extent cx="71342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33"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Our opinion herein is limited to the laws of the Province of British Columbia and the federal laws of Canada applicable therein now in effect (the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We express no opinion as to whether the laws of any particular jurisdiction other than those identified above are applicable to the subject matter hereof. We assume no obligation to revise or supplement this opinion should any applicable laws be changed subsequent to the date hereof by legislative action, judicial decision or otherwise or if there is a change in any fact or facts after the date hereof. Where our opinion refers to any of the Securities as being “fully paid and non-assessable”, no opinion is expressed as to actual receipt by the Corporation of the consideration for the issuance of such shares or as to the adequacy of any consideration received.</w:t>
      </w:r>
    </w:p>
    <w:p>
      <w:pPr>
        <w:spacing w:after="0" w:line="185"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In rendering our opinions set forth herein, we have also assumed that, at the time of any offer and sale of Securities, (i) the Corporation has been duly organized and is validly existing and in good standing, and has the requisite legal status and legal capacity, under the laws of the Province of British Columbia; (ii) the Corporation has complied and will comply with the laws of all relevant jurisdictions in connection with the transactions contemplated by, and the performance of its obligations under, the Registration Statement; (iii) the Registration Statement and the Prospectus Supplement and any amendments thereto (including any post-effective amendments thereto) have become effective under the Securities Act; (iv) that the Prospectus Supplement has been prepared, delivered and filed in compliance with the Securities Act and the applicable rules and regulations thereunder; (v) that the SPA has been filed with the Commission on a Current Report on Form 8-K or other applicable periodic report in the manner contemplated in the Registration Statement or the Prospectus Supplement; (vi) that the Securities will be issued and sold in compliance with applicable U.S. federal and state securities laws and in the manner stated in the Registration Statement and the Prospectus Supplement; and (vii) with respect to our opinion as to the Offered Shares and the Warrant Shares, we have assumed that, at the time of issuance and sale, a sufficient number of Common Shares are authorized and available for issuance under the maximum number of Common Shares the Corporation is authorized to issue and that the consideration for the issuance and sale of the Offered Shares and the Warrant Shares is in an amount that is not less than the par value of the Common Shares, if any. As to any facts material to our opinion, we have made no independent investigation of such facts and have relied, to the extent that we deem such reliance proper, upon certificates of public officials and officers or other representatives of the Corporation. We assume, based on advise previously received from the Corporation, that the applicable agreements relating to any of the Securities will be governed by the laws of a jurisdiction outside of Canada.</w:t>
      </w:r>
    </w:p>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Based on and subject to the foregoing assumptions and qualifications we are of the opinion that:</w:t>
      </w:r>
    </w:p>
    <w:p>
      <w:pPr>
        <w:spacing w:after="0" w:line="220" w:lineRule="exact"/>
        <w:rPr>
          <w:sz w:val="20"/>
          <w:szCs w:val="20"/>
          <w:color w:val="auto"/>
        </w:rPr>
      </w:pPr>
    </w:p>
    <w:p>
      <w:pPr>
        <w:ind w:left="960" w:hanging="313"/>
        <w:spacing w:after="0" w:line="277"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issuance of any Offered Shares, upon payment in full therefor and issuance thereof in accordance with the SPA and the Prospectus Supplement, the Offered Shares will be validly issued as fully paid and non-assessable Common Shares of the Corporation.</w:t>
      </w:r>
    </w:p>
    <w:p>
      <w:pPr>
        <w:spacing w:after="0" w:line="162" w:lineRule="exact"/>
        <w:rPr>
          <w:rFonts w:ascii="Times New Roman" w:cs="Times New Roman" w:eastAsia="Times New Roman" w:hAnsi="Times New Roman"/>
          <w:sz w:val="18"/>
          <w:szCs w:val="18"/>
          <w:color w:val="auto"/>
        </w:rPr>
      </w:pPr>
    </w:p>
    <w:p>
      <w:pPr>
        <w:jc w:val="both"/>
        <w:ind w:left="960" w:hanging="313"/>
        <w:spacing w:after="0" w:line="257"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Shares have been duly and validly authorized and allotted for issuance and, upon the due exercise of the Warrants in accordance with the terms of the SPA, the Prospectus Supplement and the applicable Warrant Instruments, including payment of the exercise price in full therefor, the Warrant Shares issuable upon exercise of the Warrants will be validly issued as fully paid and non-assessable Common Shares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414655</wp:posOffset>
            </wp:positionV>
            <wp:extent cx="71342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color w:val="auto"/>
        </w:rPr>
        <w:t>Page 3</w:t>
      </w:r>
    </w:p>
    <w:p>
      <w:pPr>
        <w:spacing w:after="0" w:line="200" w:lineRule="exact"/>
        <w:rPr>
          <w:sz w:val="20"/>
          <w:szCs w:val="20"/>
          <w:color w:val="auto"/>
        </w:rPr>
      </w:pPr>
    </w:p>
    <w:p>
      <w:pPr>
        <w:spacing w:after="0" w:line="23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We hereby consent to the use of our name in, and the filing of this opinion as an exhibit to, the Registration Statement and to reference the firm’s name under the caption “Legal Matters” in the Prospectus Supplement. In giving this consent, we do not thereby admit that we are in the category of persons whose consent is required under the Securities Act or the rules and regulations promulgated thereunder. This opinion is expressed as of the date hereof unless otherwise expressly stated, and we disclaim any undertaking to advise you of any subsequent changes of the facts stated or assumed herein or any subsequent changes in Applicable Laws.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Yours truly,</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 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439420</wp:posOffset>
            </wp:positionV>
            <wp:extent cx="71342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6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3139440</wp:posOffset>
            </wp:positionH>
            <wp:positionV relativeFrom="paragraph">
              <wp:posOffset>-119380</wp:posOffset>
            </wp:positionV>
            <wp:extent cx="881380" cy="11353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1380" cy="1135380"/>
                    </a:xfrm>
                    <a:prstGeom prst="rect">
                      <a:avLst/>
                    </a:prstGeom>
                    <a:noFill/>
                  </pic:spPr>
                </pic:pic>
              </a:graphicData>
            </a:graphic>
          </wp:anchor>
        </w:drawing>
      </w:r>
    </w:p>
    <w:p>
      <w:pPr>
        <w:spacing w:after="0" w:line="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Boston, MA 02111</w:t>
      </w:r>
    </w:p>
    <w:p>
      <w:pPr>
        <w:spacing w:after="0" w:line="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617 542 6000</w:t>
      </w:r>
    </w:p>
    <w:p>
      <w:pPr>
        <w:spacing w:after="0" w:line="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mintz.com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15,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01" w:lineRule="auto"/>
        <w:rPr>
          <w:sz w:val="20"/>
          <w:szCs w:val="20"/>
          <w:color w:val="auto"/>
        </w:rPr>
      </w:pPr>
      <w:r>
        <w:rPr>
          <w:rFonts w:ascii="Times New Roman" w:cs="Times New Roman" w:eastAsia="Times New Roman" w:hAnsi="Times New Roman"/>
          <w:sz w:val="18"/>
          <w:szCs w:val="18"/>
          <w:color w:val="auto"/>
        </w:rPr>
        <w:t>1111 West Hastings Street,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British Columbia V6E 2J3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We have acted as U.S. legal counsel to TMC the metals company Inc., a corporation continued under the laws of the Province of British Columbia, Canada (the “Company”), in connection with the preparation and filing with the Securities and Exchange Commission (the “Commission”) of a Prospectus Supplement, dated November 14, 2024, to a Prospectus, dated December 8, 2023 (collectively, the “Prospectus and Prospectus Supplement”), filed pursuant to a Registration Statement on Form S-3, Registration No. 333-275822 (the “Registration Statement”), pursuant to which the Company is offering for sale under the Securities Act of 1933, as amended (the “Securities Act”), 17,500,000 common shares of the Company (the “Shares”), without par value (the “Common Shares”), and accompanying Class B warrants to purchase up to 8,750,000 Common Shares (the “Class B Warrants”, and together with the Shares, the “Securities”). The Securities are being sold pursuant to Securities Purchase Agreements, dated November 14, 2024, between the Company and the purchasers named therein (the “Purchase Agreements”), pursuant to which the Company may issue and sell the Securities pursuant to the Registration Statement and the Prospectus and Prospectus Supplement. The forms of the Purchase Agreement and the Class B Warrant will be filed as an exhibit to a Current Report on Form 8-K and incorporated by reference into the Registration Statement. This opinion is being furnished at the request of the Company and in accordance with the requirements of Item 601(b)(5) of Regulation S-K under the Act.</w:t>
      </w:r>
    </w:p>
    <w:p>
      <w:pPr>
        <w:spacing w:after="0" w:line="190"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In connection with this opinion, we have examined the certificate of continuation, the notice of articles and the articles of the Company, each as currently in effect, such other records of the corporate proceedings of the Company and certificates of the Company’s officers as we have deemed relevant, as well as the Registration Statement and the exhibits thereto and the Prospectus and Prospectus Supplement, the Purchase Agreements and the Class B Warrants.</w:t>
      </w:r>
    </w:p>
    <w:p>
      <w:pPr>
        <w:spacing w:after="0" w:line="18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the legal capacity of natural persons, the authenticity of all documents submitted to us as originals, the conformity to original documents of all documents submitted to us as certified, photostatic or facsimile copies and the authenticity of the originals of such copies and the truth and correctness of any representations and warranties contained therein.</w:t>
      </w:r>
    </w:p>
    <w:p>
      <w:pPr>
        <w:spacing w:after="0" w:line="17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Based upon the foregoing, and subject to the limitations set forth below, we are of the opinion that the Class B Warrants, when duly executed by the Company and delivered to the purchasers thereof against payment therefor as contemplated in the Purchase Agreements, the Registration Statement, the Prospectus and the Prospectus Supplement, will be valid and binding obligations of the Company enforceable against the Company in accordance with their terms, subject to bankruptcy, insolvency, fraudulent transfer, reorganization, moratorium and other laws of general applicability relating to or affecting creditors’ rights and to general equity principles.</w:t>
      </w:r>
    </w:p>
    <w:p>
      <w:pPr>
        <w:spacing w:after="0" w:line="199" w:lineRule="exact"/>
        <w:rPr>
          <w:sz w:val="20"/>
          <w:szCs w:val="20"/>
          <w:color w:val="auto"/>
        </w:rPr>
      </w:pPr>
    </w:p>
    <w:p>
      <w:pPr>
        <w:jc w:val="center"/>
        <w:ind w:right="-19"/>
        <w:spacing w:after="0"/>
        <w:tabs>
          <w:tab w:leader="none" w:pos="240" w:val="left"/>
          <w:tab w:leader="none" w:pos="260" w:val="left"/>
          <w:tab w:leader="none" w:pos="260" w:val="left"/>
          <w:tab w:leader="none" w:pos="260" w:val="left"/>
          <w:tab w:leader="none" w:pos="240" w:val="left"/>
          <w:tab w:leader="none" w:pos="300" w:val="left"/>
        </w:tabs>
        <w:rPr>
          <w:sz w:val="20"/>
          <w:szCs w:val="20"/>
          <w:color w:val="auto"/>
        </w:rPr>
      </w:pPr>
      <w:r>
        <w:rPr>
          <w:rFonts w:ascii="Times New Roman" w:cs="Times New Roman" w:eastAsia="Times New Roman" w:hAnsi="Times New Roman"/>
          <w:sz w:val="18"/>
          <w:szCs w:val="18"/>
          <w:color w:val="auto"/>
        </w:rPr>
        <w:t>BOSTON</w:t>
        <w:tab/>
        <w:t>LOS ANGELES</w:t>
      </w:r>
      <w:r>
        <w:rPr>
          <w:sz w:val="20"/>
          <w:szCs w:val="20"/>
          <w:color w:val="auto"/>
        </w:rPr>
        <w:tab/>
      </w:r>
      <w:r>
        <w:rPr>
          <w:rFonts w:ascii="Times New Roman" w:cs="Times New Roman" w:eastAsia="Times New Roman" w:hAnsi="Times New Roman"/>
          <w:sz w:val="18"/>
          <w:szCs w:val="18"/>
          <w:color w:val="auto"/>
        </w:rPr>
        <w:t>NEW YORK</w:t>
      </w:r>
      <w:r>
        <w:rPr>
          <w:sz w:val="20"/>
          <w:szCs w:val="20"/>
          <w:color w:val="auto"/>
        </w:rPr>
        <w:tab/>
      </w:r>
      <w:r>
        <w:rPr>
          <w:rFonts w:ascii="Times New Roman" w:cs="Times New Roman" w:eastAsia="Times New Roman" w:hAnsi="Times New Roman"/>
          <w:sz w:val="18"/>
          <w:szCs w:val="18"/>
          <w:color w:val="auto"/>
        </w:rPr>
        <w:t>SAN DIEGO</w:t>
      </w:r>
      <w:r>
        <w:rPr>
          <w:sz w:val="20"/>
          <w:szCs w:val="20"/>
          <w:color w:val="auto"/>
        </w:rPr>
        <w:tab/>
      </w:r>
      <w:r>
        <w:rPr>
          <w:rFonts w:ascii="Times New Roman" w:cs="Times New Roman" w:eastAsia="Times New Roman" w:hAnsi="Times New Roman"/>
          <w:sz w:val="18"/>
          <w:szCs w:val="18"/>
          <w:color w:val="auto"/>
        </w:rPr>
        <w:t>SAN FRANCISCO</w:t>
        <w:tab/>
        <w:t>TORONTO</w:t>
      </w:r>
      <w:r>
        <w:rPr>
          <w:sz w:val="20"/>
          <w:szCs w:val="20"/>
          <w:color w:val="auto"/>
        </w:rPr>
        <w:tab/>
      </w:r>
      <w:r>
        <w:rPr>
          <w:rFonts w:ascii="Times New Roman" w:cs="Times New Roman" w:eastAsia="Times New Roman" w:hAnsi="Times New Roman"/>
          <w:sz w:val="17"/>
          <w:szCs w:val="17"/>
          <w:color w:val="auto"/>
        </w:rPr>
        <w:t>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42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427355</wp:posOffset>
            </wp:positionV>
            <wp:extent cx="7134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6671945</wp:posOffset>
            </wp:positionH>
            <wp:positionV relativeFrom="paragraph">
              <wp:posOffset>-116840</wp:posOffset>
            </wp:positionV>
            <wp:extent cx="466090" cy="5759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66090" cy="5759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15, 2024</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5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Our opinion is expressed only with respect to the federal laws of the United States, the laws of the Commonwealth of Massachusetts and the State of New York. We express no opinion to the extent that any other laws are applicable to the subject matter hereof and express no opinion and provide no assurance as to compliance with any federal or state securities law, rule or regulation.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 With respect to all matters of the laws of the Province of British Columbia and the federal laws of Canada applicable therein, you understand that we are relying upon the opinion, dated the date hereof, of Canadian counsel to the Company, and our opinion is subject to the same assumptions, qualifications and limitations with respect to such matters as are contained in such opinion of Canadian counsel and assumes the due authorization, execution and delivery of the Class B Warrants by the Company, and assuming the securities issuable upon exercise of such Class B Warrants have been duly authorized and reserved for issuance by all necessary corporate action.</w:t>
      </w:r>
    </w:p>
    <w:p>
      <w:pPr>
        <w:spacing w:after="0" w:line="187"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We have relied as to certain matters on information obtained from public officials, officers of the Company, and other sources believed by us to be responsible.</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hereby consent to the filing of this opinion as an exhibit to a Current Report on Form 8-K in accordance with the requirements of Item 601(b)</w:t>
      </w:r>
    </w:p>
    <w:p>
      <w:pPr>
        <w:spacing w:after="0" w:line="25" w:lineRule="exact"/>
        <w:rPr>
          <w:sz w:val="20"/>
          <w:szCs w:val="20"/>
          <w:color w:val="auto"/>
        </w:rPr>
      </w:pPr>
    </w:p>
    <w:p>
      <w:pPr>
        <w:jc w:val="both"/>
        <w:ind w:firstLine="7"/>
        <w:spacing w:after="0" w:line="251" w:lineRule="auto"/>
        <w:tabs>
          <w:tab w:leader="none" w:pos="25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Regulation S-K under the Securities Act and to the use of this firm’s name therein and in the Prospectus and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18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Mintz, Levin, Cohn, Ferris, Glovsky and Popeo, P.C.</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Mintz, Levin, Cohn, Ferris, Glovsky &amp;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439420</wp:posOffset>
            </wp:positionV>
            <wp:extent cx="71342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ind w:left="1014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November 14, 2024, between TMC the metals company Inc., a company existing under the laws of the Province of British Columbia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1"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0" w:lineRule="exact"/>
        <w:rPr>
          <w:sz w:val="20"/>
          <w:szCs w:val="20"/>
          <w:color w:val="auto"/>
        </w:rPr>
      </w:pPr>
    </w:p>
    <w:p>
      <w:pPr>
        <w:jc w:val="both"/>
        <w:ind w:left="64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0" w:lineRule="exact"/>
        <w:rPr>
          <w:sz w:val="20"/>
          <w:szCs w:val="20"/>
          <w:color w:val="auto"/>
        </w:rPr>
      </w:pPr>
    </w:p>
    <w:p>
      <w:pPr>
        <w:jc w:val="both"/>
        <w:ind w:left="64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w:t>
      </w:r>
    </w:p>
    <w:p>
      <w:pPr>
        <w:spacing w:after="0" w:line="163"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Purchase Warrants</w:t>
      </w:r>
      <w:r>
        <w:rPr>
          <w:rFonts w:ascii="Times New Roman" w:cs="Times New Roman" w:eastAsia="Times New Roman" w:hAnsi="Times New Roman"/>
          <w:sz w:val="18"/>
          <w:szCs w:val="18"/>
          <w:color w:val="auto"/>
        </w:rPr>
        <w:t xml:space="preserve">” means, collectively, the Class B purchase warrants delivered to the Purchasers at the Closing in accordance with Section 2.2(a) hereof, which warrants shall be exercisable on or after the issuance thereof and have a term of exercise until November 14, 2029, with such further terms as set out in the warrant instrument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20" w:lineRule="exact"/>
        <w:rPr>
          <w:sz w:val="20"/>
          <w:szCs w:val="20"/>
          <w:color w:val="auto"/>
        </w:rPr>
      </w:pPr>
    </w:p>
    <w:p>
      <w:pPr>
        <w:jc w:val="both"/>
        <w:ind w:left="640" w:firstLine="64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w:t>
      </w:r>
    </w:p>
    <w:p>
      <w:pPr>
        <w:spacing w:after="0" w:line="1" w:lineRule="exact"/>
        <w:rPr>
          <w:sz w:val="20"/>
          <w:szCs w:val="20"/>
          <w:color w:val="auto"/>
        </w:rPr>
      </w:pPr>
    </w:p>
    <w:p>
      <w:pPr>
        <w:jc w:val="both"/>
        <w:ind w:left="640" w:right="20"/>
        <w:spacing w:after="0" w:line="207" w:lineRule="auto"/>
        <w:rPr>
          <w:sz w:val="20"/>
          <w:szCs w:val="20"/>
          <w:color w:val="auto"/>
        </w:rPr>
      </w:pPr>
      <w:r>
        <w:rPr>
          <w:rFonts w:ascii="Times New Roman" w:cs="Times New Roman" w:eastAsia="Times New Roman" w:hAnsi="Times New Roman"/>
          <w:sz w:val="18"/>
          <w:szCs w:val="18"/>
          <w:color w:val="auto"/>
        </w:rPr>
        <w:t>deliver the Securities, in each case, have been satisfied or waived, but in no event sooner than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271145</wp:posOffset>
            </wp:positionV>
            <wp:extent cx="71342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6" w:name="page27"/>
    <w:bookmarkEnd w:id="26"/>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means the common shares of the Company, no par value per share, and any other class of securities into which such securities may hereafter be reclassified or changed.</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Share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Shares, including, without limitation, any debt, preferred shares, right, option, warrant or other instrument that is at any time convertible into or exercisable or exchangeable for, or otherwise entitles the holder thereof to receive Common Shares.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shall have the meaning assigned to such term in Section 3.1(m).</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shall have the meaning assigned to such term in Section 3.1(m).</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$1.00, subject to adjustment for reverse and forward stock splits, stock dividends, stock combinations and other similar transactions of the Common Shares that occur after the date of this Agreement.</w:t>
      </w:r>
    </w:p>
    <w:p>
      <w:pPr>
        <w:spacing w:after="0" w:line="37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895" w:right="339" w:bottom="1440" w:gutter="0" w:footer="0" w:header="0"/>
        </w:sectPr>
      </w:pPr>
    </w:p>
    <w:bookmarkStart w:id="27" w:name="page28"/>
    <w:bookmarkEnd w:id="27"/>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 partial proceeding, such as a deposition), whether commenced or threatened in writing.</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base prospectus included in the Registration Statement.</w:t>
      </w:r>
    </w:p>
    <w:p>
      <w:pPr>
        <w:spacing w:after="0" w:line="220"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that will be filed with the Commission in connection with the offer and sale of the Securities.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shelf registration statement on Form S-3 (File No. 333-275822), as amended, which registers the sale of the Securities to the Purchasers.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Warrants and the Warrant Shares.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Common Shares issued or issuable to each Purchaser pursuant to this Agreement.</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Common Shares).</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and Class B Purchase Warrants, as the case may be, purchased hereunder as specified below such Purchaser’s name on the signature page of this Agreement and next to the heading “Subscription Amount,” in United States dollars and in immediately available funds.</w:t>
      </w:r>
    </w:p>
    <w:p>
      <w:pPr>
        <w:spacing w:after="0" w:line="39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895" w:right="339" w:bottom="1440" w:gutter="0" w:footer="0" w:header="0"/>
        </w:sectPr>
      </w:pPr>
    </w:p>
    <w:bookmarkStart w:id="28" w:name="page29"/>
    <w:bookmarkEnd w:id="28"/>
    <w:p>
      <w:pPr>
        <w:jc w:val="both"/>
        <w:ind w:left="64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0"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Shares are listed or quoted for trading on the date in question: the NYSE American, the Nasdaq Capital Market, the Nasdaq Global Market, the Nasdaq Global Select Market, the New York Stock Exchange, OTCQB or OTCQX (or any successors to any of the foregoing).</w:t>
      </w:r>
    </w:p>
    <w:p>
      <w:pPr>
        <w:spacing w:after="0" w:line="176" w:lineRule="exact"/>
        <w:rPr>
          <w:sz w:val="20"/>
          <w:szCs w:val="20"/>
          <w:color w:val="auto"/>
        </w:rPr>
      </w:pPr>
    </w:p>
    <w:p>
      <w:pPr>
        <w:jc w:val="both"/>
        <w:ind w:left="640" w:right="2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Warrants, all exhibits and schedules thereto and hereto and any other documents or agreements executed with the Purchasers in connection with the transactions contemplated hereunder.</w:t>
      </w:r>
    </w:p>
    <w:p>
      <w:pPr>
        <w:spacing w:after="0" w:line="163" w:lineRule="exact"/>
        <w:rPr>
          <w:sz w:val="20"/>
          <w:szCs w:val="20"/>
          <w:color w:val="auto"/>
        </w:rPr>
      </w:pPr>
    </w:p>
    <w:p>
      <w:pPr>
        <w:jc w:val="both"/>
        <w:ind w:left="64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Continental Stock Transfer &amp; Trust Company, the current transfer agent of the Company, and any successor transfer agent of the Company.</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the Class B Purchase Warrants.</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Common Shares issuable upon exercise of the Warrants.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1"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Closing</w:t>
      </w:r>
      <w:r>
        <w:rPr>
          <w:rFonts w:ascii="Times New Roman" w:cs="Times New Roman" w:eastAsia="Times New Roman" w:hAnsi="Times New Roman"/>
          <w:sz w:val="18"/>
          <w:szCs w:val="18"/>
          <w:color w:val="auto"/>
        </w:rPr>
        <w:t>. On the Closing Date, upon the terms and subject to the conditions set forth herein, substantially concurrent with the execution and delivery of this Agreement by the parties hereto, the Company agrees to sell, and the Purchasers, severally and not jointly, agree to purchase, up to an aggregate of $17,500,000 of Shares and Class B Purchase Warrants. Each Purchaser’s Subscription Amount, as set forth on the signature page hereto executed by such Purchaser, shall be made available for “Delivery Versus Payment” settlement with the Company or its designee. The Company shall deliver to each Purchaser its respective Shares and a Class B Purchase Warrant, as determined pursuant to Section 2.2(a), and the Company and each Purchaser shall deliver the other items set forth in Section 2.2 at the Closing. Upon satisfaction of the covenants and conditions set forth in Sections 2.2 and 2.3, the Closing shall occur at the offices of Mintz, Levin, Cohn, Ferris, Glovsky &amp; Popeo, P.C. or such other location as the parties shall mutually agree. Settlement of the Shares shall occur via “Delivery Versus Payment” (i.e., on the Closing Date, the Company shall issue the Securities in book-entry form registered in the Purchasers’ name released by the Transfer Agent directly to the account(s) identified by each Purchaser following receipt of payment therefor by the Company, which shall be made by each Purchaser by wire transfer to the Company). Settlement of the Warrants shall occur via delivery, which may be electronic, of the Warrant on the Closing Date. Notwithstanding the foregoing, with respect to any Notice(s) of Exercise (as defined in the Class B Purchase Warrants) delivered on or prior to 12:00 p.m. (New York City time) on the Closing Date, the Company agrees to deliver the Warrant Shares subject to such notice(s) by 4:00 p.m. (New York City time) on the Closing Date, and the Closing Date shall be the Warrant Share Delivery Date (as defined in the Class B Purchase Warrants) for purposes hereunder.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Deliveries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On or prior to the Closing Date, the Company shall deliver or cause to be delivered to each Purchaser the following:</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           this Agreement duly executed by the Company;</w:t>
      </w:r>
    </w:p>
    <w:p>
      <w:pPr>
        <w:spacing w:after="0" w:line="220"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(ii)          subject to Section 2.1, the Company’s wire instructions, on Company letterhead and executed by the Chief Executive Officer or Chief Financial Officer;</w:t>
      </w:r>
    </w:p>
    <w:p>
      <w:pPr>
        <w:spacing w:after="0" w:line="163"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(iii)         subject to Section 2.1, a copy of the irrevocable instructions to the Transfer Agent instructing the Transfer Agent to deliver on an expedited basis, via The Depository Trust Company Deposit or Withdrawal at Custodian system, Shares equal to such Purchaser’s Subscription Amount divided by the Per Share Purchase Price (rounded down to the nearest whole share);</w:t>
      </w:r>
    </w:p>
    <w:p>
      <w:pPr>
        <w:spacing w:after="0" w:line="176"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(iv)         a Class B Purchase Warrant registered in the name of such Purchaser to purchase up to a number of Common Shares equal to 50% of such Purchaser’s number of Shares, with an exercise price equal to $2.00, subject to adjustment therein; and</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(v)          the Prospectus and the Prospectus Supplement (which may be delivered in accordance with Rule 172 under the Securities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           On or prior to the Closing Date, each Purchaser shall deliver or cause to be delivered to the Company the following:</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            this Agreement duly executed by such Purchaser; and</w:t>
      </w:r>
    </w:p>
    <w:p>
      <w:pPr>
        <w:spacing w:after="0" w:line="220"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(ii)           such Purchaser’s Subscription Amount, which shall be made available for “Delivery Versus Payment” settlement with the Company or its designee.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Closing Conditions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           The obligations of the Company hereunder in connection with the Closing are subject to the following conditions being met:</w:t>
      </w:r>
    </w:p>
    <w:p>
      <w:pPr>
        <w:spacing w:after="0" w:line="220"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(i)           the accuracy in all material respects (or, to the extent representations or warranties are qualified by materiality or Material Adverse Effect, in all respects) on the Closing Date of the representations and warranties of the Purchasers contained herein (unless as of a specific date therein in which case they shall be accurate as of such date);</w:t>
      </w:r>
    </w:p>
    <w:p>
      <w:pPr>
        <w:spacing w:after="0" w:line="176"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(ii)          all obligations, covenants and agreements of each Purchaser required to be performed at or prior to the Closing Date shall have been performed; and</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(iii)         the delivery by each Purchaser of the items set forth in Section 2.2(b) of this Agreement applicable to such closing;</w:t>
      </w:r>
    </w:p>
    <w:p>
      <w:pPr>
        <w:spacing w:after="0" w:line="200" w:lineRule="exact"/>
        <w:rPr>
          <w:sz w:val="20"/>
          <w:szCs w:val="20"/>
          <w:color w:val="auto"/>
        </w:rPr>
      </w:pPr>
    </w:p>
    <w:p>
      <w:pPr>
        <w:spacing w:after="0" w:line="23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895" w:right="339" w:bottom="1440" w:gutter="0" w:footer="0" w:header="0"/>
        </w:sectPr>
      </w:pPr>
    </w:p>
    <w:bookmarkStart w:id="30" w:name="page31"/>
    <w:bookmarkEnd w:id="30"/>
    <w:p>
      <w:pPr>
        <w:ind w:firstLine="1281"/>
        <w:spacing w:after="0" w:line="277" w:lineRule="auto"/>
        <w:rPr>
          <w:sz w:val="20"/>
          <w:szCs w:val="20"/>
          <w:color w:val="auto"/>
        </w:rPr>
      </w:pPr>
      <w:r>
        <w:rPr>
          <w:rFonts w:ascii="Times New Roman" w:cs="Times New Roman" w:eastAsia="Times New Roman" w:hAnsi="Times New Roman"/>
          <w:sz w:val="18"/>
          <w:szCs w:val="18"/>
          <w:color w:val="auto"/>
        </w:rPr>
        <w:t>(b)           The respective obligations of the Purchasers participating in the Closing hereunder in connection with the Closing are subject to the following conditions being met:</w:t>
      </w:r>
    </w:p>
    <w:p>
      <w:pPr>
        <w:spacing w:after="0" w:line="163" w:lineRule="exact"/>
        <w:rPr>
          <w:sz w:val="20"/>
          <w:szCs w:val="20"/>
          <w:color w:val="auto"/>
        </w:rPr>
      </w:pPr>
    </w:p>
    <w:p>
      <w:pPr>
        <w:jc w:val="both"/>
        <w:ind w:left="640" w:firstLine="1281"/>
        <w:spacing w:after="0" w:line="262" w:lineRule="auto"/>
        <w:rPr>
          <w:sz w:val="20"/>
          <w:szCs w:val="20"/>
          <w:color w:val="auto"/>
        </w:rPr>
      </w:pPr>
      <w:r>
        <w:rPr>
          <w:rFonts w:ascii="Times New Roman" w:cs="Times New Roman" w:eastAsia="Times New Roman" w:hAnsi="Times New Roman"/>
          <w:sz w:val="18"/>
          <w:szCs w:val="18"/>
          <w:color w:val="auto"/>
        </w:rPr>
        <w:t>(i)           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76" w:lineRule="exact"/>
        <w:rPr>
          <w:sz w:val="20"/>
          <w:szCs w:val="20"/>
          <w:color w:val="auto"/>
        </w:rPr>
      </w:pPr>
    </w:p>
    <w:p>
      <w:pPr>
        <w:jc w:val="both"/>
        <w:ind w:left="640" w:firstLine="1281"/>
        <w:spacing w:after="0" w:line="277" w:lineRule="auto"/>
        <w:rPr>
          <w:sz w:val="20"/>
          <w:szCs w:val="20"/>
          <w:color w:val="auto"/>
        </w:rPr>
      </w:pPr>
      <w:r>
        <w:rPr>
          <w:rFonts w:ascii="Times New Roman" w:cs="Times New Roman" w:eastAsia="Times New Roman" w:hAnsi="Times New Roman"/>
          <w:sz w:val="18"/>
          <w:szCs w:val="18"/>
          <w:color w:val="auto"/>
        </w:rPr>
        <w:t>(ii)          all obligations, covenants and agreements of the Company required to be performed at or prior to the Closing Date shall have been performed;</w:t>
      </w:r>
    </w:p>
    <w:p>
      <w:pPr>
        <w:spacing w:after="0" w:line="16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(iii)         the delivery by the Company of the items set forth in Section 2.2(a) of this Agreement;</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(iv)         there shall have been no Material Adverse Effect with respect to the Company since the date hereof; and</w:t>
      </w:r>
    </w:p>
    <w:p>
      <w:pPr>
        <w:spacing w:after="0" w:line="220" w:lineRule="exact"/>
        <w:rPr>
          <w:sz w:val="20"/>
          <w:szCs w:val="20"/>
          <w:color w:val="auto"/>
        </w:rPr>
      </w:pPr>
    </w:p>
    <w:p>
      <w:pPr>
        <w:jc w:val="both"/>
        <w:ind w:left="640" w:firstLine="1281"/>
        <w:spacing w:after="0" w:line="252" w:lineRule="auto"/>
        <w:rPr>
          <w:sz w:val="20"/>
          <w:szCs w:val="20"/>
          <w:color w:val="auto"/>
        </w:rPr>
      </w:pPr>
      <w:r>
        <w:rPr>
          <w:rFonts w:ascii="Times New Roman" w:cs="Times New Roman" w:eastAsia="Times New Roman" w:hAnsi="Times New Roman"/>
          <w:sz w:val="18"/>
          <w:szCs w:val="18"/>
          <w:color w:val="auto"/>
        </w:rPr>
        <w:t>(v)          from the date hereof to the Closing Date, trading in the Common Shares shall not have been suspended by the Commission or the Company’s principal Trading Market, and, at any time prior to the Closing Date, trading in securities generally on any nationally recognized securities exchange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1" w:lineRule="exact"/>
        <w:rPr>
          <w:sz w:val="20"/>
          <w:szCs w:val="20"/>
          <w:color w:val="auto"/>
        </w:rPr>
      </w:pPr>
    </w:p>
    <w:p>
      <w:pPr>
        <w:jc w:val="both"/>
        <w:ind w:firstLine="640"/>
        <w:spacing w:after="0" w:line="307" w:lineRule="auto"/>
        <w:rPr>
          <w:sz w:val="20"/>
          <w:szCs w:val="20"/>
          <w:color w:val="auto"/>
        </w:rPr>
      </w:pPr>
      <w:r>
        <w:rPr>
          <w:rFonts w:ascii="Times New Roman" w:cs="Times New Roman" w:eastAsia="Times New Roman" w:hAnsi="Times New Roman"/>
          <w:sz w:val="17"/>
          <w:szCs w:val="17"/>
          <w:color w:val="auto"/>
        </w:rPr>
        <w:t>3.1         </w:t>
      </w:r>
      <w:r>
        <w:rPr>
          <w:rFonts w:ascii="Times New Roman" w:cs="Times New Roman" w:eastAsia="Times New Roman" w:hAnsi="Times New Roman"/>
          <w:sz w:val="17"/>
          <w:szCs w:val="17"/>
          <w:u w:val="single" w:color="auto"/>
          <w:color w:val="auto"/>
        </w:rPr>
        <w:t>  Representations and Warranties of the Company</w:t>
      </w:r>
      <w:r>
        <w:rPr>
          <w:rFonts w:ascii="Times New Roman" w:cs="Times New Roman" w:eastAsia="Times New Roman" w:hAnsi="Times New Roman"/>
          <w:sz w:val="17"/>
          <w:szCs w:val="17"/>
          <w:color w:val="auto"/>
        </w:rPr>
        <w:t>. Except as set forth in the SEC Reports, which SEC Reports shall be deemed a part hereof and shall qualify any representation or otherwise made herein, the Company hereby makes the following representations and warranties to each Purchaser:</w:t>
      </w:r>
    </w:p>
    <w:p>
      <w:pPr>
        <w:spacing w:after="0" w:line="140"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Subsidiaries</w:t>
      </w:r>
      <w:r>
        <w:rPr>
          <w:rFonts w:ascii="Times New Roman" w:cs="Times New Roman" w:eastAsia="Times New Roman" w:hAnsi="Times New Roman"/>
          <w:sz w:val="18"/>
          <w:szCs w:val="18"/>
          <w:color w:val="auto"/>
        </w:rPr>
        <w:t>. All of the direct and indirect subsidiaries of the Company are set forth in the SEC Reports. Except as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jc w:val="both"/>
        <w:ind w:firstLine="1281"/>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190" w:lineRule="exact"/>
        <w:rPr>
          <w:sz w:val="20"/>
          <w:szCs w:val="20"/>
          <w:color w:val="auto"/>
        </w:rPr>
      </w:pPr>
    </w:p>
    <w:p>
      <w:pPr>
        <w:jc w:val="both"/>
        <w:ind w:firstLine="1281"/>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Authorization; Enforcement</w:t>
      </w:r>
      <w:r>
        <w:rPr>
          <w:rFonts w:ascii="Times New Roman" w:cs="Times New Roman" w:eastAsia="Times New Roman" w:hAnsi="Times New Roman"/>
          <w:sz w:val="18"/>
          <w:szCs w:val="18"/>
          <w:color w:val="auto"/>
        </w:rPr>
        <w:t>. The Company has or will have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or will be duly authorized by all necessary action on the part of the Company and no further action is required by the Company, the Board of Directors or the Company’s shareholders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0" w:lineRule="exact"/>
        <w:rPr>
          <w:sz w:val="20"/>
          <w:szCs w:val="20"/>
          <w:color w:val="auto"/>
        </w:rPr>
      </w:pPr>
    </w:p>
    <w:p>
      <w:pPr>
        <w:jc w:val="both"/>
        <w:ind w:firstLine="1281"/>
        <w:spacing w:after="0" w:line="273" w:lineRule="auto"/>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No Conflicts</w:t>
      </w:r>
      <w:r>
        <w:rPr>
          <w:rFonts w:ascii="Times New Roman" w:cs="Times New Roman" w:eastAsia="Times New Roman" w:hAnsi="Times New Roman"/>
          <w:sz w:val="17"/>
          <w:szCs w:val="17"/>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w:t>
      </w:r>
    </w:p>
    <w:p>
      <w:pPr>
        <w:spacing w:after="0" w:line="1" w:lineRule="exact"/>
        <w:rPr>
          <w:sz w:val="20"/>
          <w:szCs w:val="20"/>
          <w:color w:val="auto"/>
        </w:rPr>
      </w:pPr>
    </w:p>
    <w:p>
      <w:pPr>
        <w:jc w:val="both"/>
        <w:ind w:firstLine="7"/>
        <w:spacing w:after="0" w:line="264" w:lineRule="auto"/>
        <w:tabs>
          <w:tab w:leader="none" w:pos="22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conflict with or violate any provision of the Company’s or any Subsidiary’s notice of articles, articles,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would not have or reasonably be expected to result in a Material Adverse Effect.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Securities for trading thereon in the time and manner required thereby and (iv) such filings as are required to be made under applicable state securities laws and/or the rules of the Financial Industry Regulatory Authority, Inc.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1281"/>
        <w:spacing w:after="0" w:line="249"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Issuance of the Securities; Registration</w:t>
      </w:r>
      <w:r>
        <w:rPr>
          <w:rFonts w:ascii="Times New Roman" w:cs="Times New Roman" w:eastAsia="Times New Roman" w:hAnsi="Times New Roman"/>
          <w:sz w:val="18"/>
          <w:szCs w:val="18"/>
          <w:color w:val="auto"/>
        </w:rPr>
        <w:t>. The Securities are duly authorized and, when issued and paid for in accordance with the applicable Transaction Documents, will be duly and validly issued, fully paid and nonassessable, free and clear of all Liens imposed by the Company. The Warrant Shares, when issued and (assuming a cash exercise) paid for in accordance with the terms of the Warrants, will be validly issued, fully paid and nonassessable, and free and clear of all Liens imposed by the Company. The Company has reserved from its duly authorized capital stock the maximum number of Common Shares issuable pursuant to this Agreement and the Warrants. The Company has prepared and filed the Registration Statement in conformity with the requirements of the Securities Act,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in writing by the Commission. The Company shall file the Prospectus Supplement with the Commission pursuant to Rule 424(b) covering the Securities and the Warrants Shares. At the time the Registration Statement and any post-effective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Supplement and any amendments or supplements thereto, at the time the Prospectus Supplement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is eligible to use Form S-3 under the Securities Act and it meets the transaction requirements as set forth in General Instruction I.B.1 of Form S-3.</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jc w:val="both"/>
        <w:ind w:firstLine="1281"/>
        <w:spacing w:after="0" w:line="264" w:lineRule="auto"/>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u w:val="single" w:color="auto"/>
          <w:color w:val="auto"/>
        </w:rPr>
        <w:t>  Capitalization</w:t>
      </w:r>
      <w:r>
        <w:rPr>
          <w:rFonts w:ascii="Times New Roman" w:cs="Times New Roman" w:eastAsia="Times New Roman" w:hAnsi="Times New Roman"/>
          <w:sz w:val="17"/>
          <w:szCs w:val="17"/>
          <w:color w:val="auto"/>
        </w:rPr>
        <w:t>. The capitalization of the Company as of the date hereof is as set forth in the SEC Reports. Except as disclosed in the Prospectus Supplement, the Company has not issued any capital stock since its most recently filed periodic report under the Exchange Act, other than pursuant to the exercise of stock options under the Company’s equity plans or arrangements, the issuance of Common Shares to employees pursuant to the Company’s equity plans or employee stock purchase plans, pursuant to the conversion and/or exercise of Common Share Equivalents outstanding as of the date of the most recently filed periodic report under the Exchange Act and pursuant to the Sales Agreement. Except as disclosed in the SEC Reports or as has been waived, no Person has any right of first refusal, preemptive right, right of participation, or any similar right to participate in the transactions contemplated by the Transaction Documents. Except as disclosed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Common Shares or the capital stock of any Subsidiary, or contracts, commitments, understandings or arrangements by which the Company or any Subsidiary is or may become bound to issue additional Common Shares or Common Share Equivalents or capital stock of any Subsidiary. The issuance and sale of the Securities will not obligate the Company or any Subsidiary to issue Common Shares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of the Company were duly authorized, validly issued, fully paid and nonassessable, have been issued in compliance with all federal and state securities laws, and none of such outstanding shares were issued in violation of any preemptive rights or similar rights to subscribe for or purchase securities. No further approval or authorization of any shareholder, the Board of Directors or others is required for the issuance and sale of the Securities. There are no shareholders agreements, voting agreements or other similar agreements with respect to the Company’s capital stock to which the Company is a party or, to the knowledge of the Company, between or among any of the Company’s stockholders.</w:t>
      </w:r>
    </w:p>
    <w:p>
      <w:pPr>
        <w:spacing w:after="0" w:line="396" w:lineRule="exact"/>
        <w:rPr>
          <w:sz w:val="20"/>
          <w:szCs w:val="20"/>
          <w:color w:val="auto"/>
        </w:rPr>
      </w:pPr>
    </w:p>
    <w:p>
      <w:pPr>
        <w:jc w:val="both"/>
        <w:ind w:firstLine="1281"/>
        <w:spacing w:after="0" w:line="249"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year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complied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(i) for such adjustments to accounting standards and practices as are noted therein and (ii) in the case of unaudited interim statements, to the extent the Company may exclude footnotes or may be condensed or summary statements),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Material Changes; Undisclosed Events, Liabilities or Developments</w:t>
      </w:r>
      <w:r>
        <w:rPr>
          <w:rFonts w:ascii="Times New Roman" w:cs="Times New Roman" w:eastAsia="Times New Roman" w:hAnsi="Times New Roman"/>
          <w:sz w:val="18"/>
          <w:szCs w:val="18"/>
          <w:color w:val="auto"/>
        </w:rPr>
        <w:t>. Since the date of the most recent unaudited financial statements included within the SEC Reports, except as disclosed in the SEC Reports, (i) there has been no event, occurrence or development that has had or that would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and (v) the Company has not issued any equity securities to any officer, director or Affiliate, except pursuant to existing Company equity plans or arrangements. The Company does not have pending before the Commission any request for confidential treatment of information.</w:t>
      </w:r>
    </w:p>
    <w:p>
      <w:pPr>
        <w:spacing w:after="0" w:line="187" w:lineRule="exact"/>
        <w:rPr>
          <w:sz w:val="20"/>
          <w:szCs w:val="20"/>
          <w:color w:val="auto"/>
        </w:rPr>
      </w:pPr>
    </w:p>
    <w:p>
      <w:pPr>
        <w:jc w:val="both"/>
        <w:ind w:firstLine="1281"/>
        <w:spacing w:after="0" w:line="250"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There is no action, suit, inquiry, notice of violation, proceeding or investigation pending or, to the knowledge of the Company, threatened in writing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which (i) adversely affects or challenges the legality, validity or enforceability of any of the Transaction Documents or the Securities or (ii) would, if there were an unfavorable decision, have or reasonably be expected to result in a Material Adverse Effect. Neither the Company nor any Subsidiary, nor any director or officer thereof (in his or her capacity as such),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(in his or her capacity as such). The Commission has not issued any stop order or other order suspending the effectiveness of any registration statement filed by the Company or any Subsidiary under the Exchange Act or the Securities Act.</w:t>
      </w:r>
    </w:p>
    <w:p>
      <w:pPr>
        <w:spacing w:after="0" w:line="192" w:lineRule="exact"/>
        <w:rPr>
          <w:sz w:val="20"/>
          <w:szCs w:val="20"/>
          <w:color w:val="auto"/>
        </w:rPr>
      </w:pPr>
    </w:p>
    <w:p>
      <w:pPr>
        <w:jc w:val="both"/>
        <w:ind w:firstLine="1281"/>
        <w:spacing w:after="0" w:line="250"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would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written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w:t>
      </w:r>
    </w:p>
    <w:p>
      <w:pPr>
        <w:jc w:val="both"/>
        <w:ind w:firstLine="7"/>
        <w:spacing w:after="0" w:line="250" w:lineRule="auto"/>
        <w:tabs>
          <w:tab w:leader="none" w:pos="27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spacing w:after="0" w:line="186" w:lineRule="exact"/>
        <w:rPr>
          <w:sz w:val="20"/>
          <w:szCs w:val="20"/>
          <w:color w:val="auto"/>
        </w:rPr>
      </w:pPr>
    </w:p>
    <w:p>
      <w:pPr>
        <w:jc w:val="both"/>
        <w:ind w:firstLine="1281"/>
        <w:spacing w:after="0" w:line="265" w:lineRule="auto"/>
        <w:rPr>
          <w:sz w:val="20"/>
          <w:szCs w:val="20"/>
          <w:color w:val="auto"/>
        </w:rPr>
      </w:pPr>
      <w:r>
        <w:rPr>
          <w:rFonts w:ascii="Times New Roman" w:cs="Times New Roman" w:eastAsia="Times New Roman" w:hAnsi="Times New Roman"/>
          <w:sz w:val="17"/>
          <w:szCs w:val="17"/>
          <w:color w:val="auto"/>
        </w:rPr>
        <w:t>(m)       </w:t>
      </w:r>
      <w:r>
        <w:rPr>
          <w:rFonts w:ascii="Times New Roman" w:cs="Times New Roman" w:eastAsia="Times New Roman" w:hAnsi="Times New Roman"/>
          <w:sz w:val="17"/>
          <w:szCs w:val="17"/>
          <w:u w:val="single" w:color="auto"/>
          <w:color w:val="auto"/>
        </w:rPr>
        <w:t>  Environmental Laws</w:t>
      </w:r>
      <w:r>
        <w:rPr>
          <w:rFonts w:ascii="Times New Roman" w:cs="Times New Roman" w:eastAsia="Times New Roman" w:hAnsi="Times New Roman"/>
          <w:sz w:val="17"/>
          <w:szCs w:val="17"/>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7"/>
          <w:szCs w:val="17"/>
          <w:u w:val="single" w:color="auto"/>
          <w:color w:val="auto"/>
        </w:rPr>
        <w:t>Hazardous Materials</w:t>
      </w:r>
      <w:r>
        <w:rPr>
          <w:rFonts w:ascii="Times New Roman" w:cs="Times New Roman" w:eastAsia="Times New Roman" w:hAnsi="Times New Roman"/>
          <w:sz w:val="17"/>
          <w:szCs w:val="17"/>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7"/>
          <w:szCs w:val="17"/>
          <w:u w:val="single" w:color="auto"/>
          <w:color w:val="auto"/>
        </w:rPr>
        <w:t>Environmental Laws</w:t>
      </w:r>
      <w:r>
        <w:rPr>
          <w:rFonts w:ascii="Times New Roman" w:cs="Times New Roman" w:eastAsia="Times New Roman" w:hAnsi="Times New Roman"/>
          <w:sz w:val="17"/>
          <w:szCs w:val="17"/>
          <w:color w:val="auto"/>
        </w:rPr>
        <w:t>”);</w:t>
      </w:r>
    </w:p>
    <w:p>
      <w:pPr>
        <w:spacing w:after="0" w:line="5" w:lineRule="exact"/>
        <w:rPr>
          <w:sz w:val="20"/>
          <w:szCs w:val="20"/>
          <w:color w:val="auto"/>
        </w:rPr>
      </w:pPr>
    </w:p>
    <w:p>
      <w:pPr>
        <w:ind w:left="280" w:hanging="273"/>
        <w:spacing w:after="0"/>
        <w:tabs>
          <w:tab w:leader="none" w:pos="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received all permits licenses or other approvals required of them under applicable Environmental Laws to conduct their respective businesses; and</w:t>
      </w:r>
    </w:p>
    <w:p>
      <w:pPr>
        <w:spacing w:after="0" w:line="6" w:lineRule="exact"/>
        <w:rPr>
          <w:rFonts w:ascii="Times New Roman" w:cs="Times New Roman" w:eastAsia="Times New Roman" w:hAnsi="Times New Roman"/>
          <w:sz w:val="18"/>
          <w:szCs w:val="18"/>
          <w:color w:val="auto"/>
        </w:rPr>
      </w:pPr>
    </w:p>
    <w:p>
      <w:pPr>
        <w:ind w:right="20" w:firstLine="7"/>
        <w:spacing w:after="0" w:line="255" w:lineRule="auto"/>
        <w:tabs>
          <w:tab w:leader="none" w:pos="32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in compliance with all terms and conditions of any such permit, license or approval where in each clause (i), (ii) and (iii), the failure to so comply would be reasonably expected to have, individually or in the aggregate, a Material Adverse Effect.</w:t>
      </w:r>
    </w:p>
    <w:p>
      <w:pPr>
        <w:spacing w:after="0" w:line="182"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would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(ii) Liens for the payment of federal, state or other taxes, for which appropriate reserves have been made therefor in accordance with GAAP and, the payment of which is neither delinquent nor subject to penalties and (iii) Liens that would not, individually or in the aggregate, have or reasonably be expected to have a Material Adverse Event. Any real property and facilities held under lease by the Company and the Subsidiaries are held by them under valid, subsisting and enforceable leases with which the Company and the Subsidiaries are in compliance in all material respects.</w:t>
      </w:r>
    </w:p>
    <w:p>
      <w:pPr>
        <w:spacing w:after="0" w:line="190"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where the failure to so have would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Neither the Company nor any Subsidiary has received a written notice that any of the material Intellectual Property Rights has expired, terminated or been abandoned, or is expected to expire or terminate or be abandoned, within two</w:t>
      </w:r>
    </w:p>
    <w:p>
      <w:pPr>
        <w:spacing w:after="0" w:line="4" w:lineRule="exact"/>
        <w:rPr>
          <w:sz w:val="20"/>
          <w:szCs w:val="20"/>
          <w:color w:val="auto"/>
        </w:rPr>
      </w:pPr>
    </w:p>
    <w:p>
      <w:pPr>
        <w:jc w:val="both"/>
        <w:ind w:firstLine="7"/>
        <w:spacing w:after="0" w:line="248" w:lineRule="auto"/>
        <w:tabs>
          <w:tab w:leader="none" w:pos="28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from the date of this Agreement, other than in accordance with the terms of the Intellectual Property Rights. Neither the Company nor any Subsidiary has received, since the date of the most recent unaudited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w:t>
      </w:r>
    </w:p>
    <w:p>
      <w:pPr>
        <w:spacing w:after="0" w:line="192"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  Related Person Transactions</w:t>
      </w:r>
      <w:r>
        <w:rPr>
          <w:rFonts w:ascii="Times New Roman" w:cs="Times New Roman" w:eastAsia="Times New Roman" w:hAnsi="Times New Roman"/>
          <w:sz w:val="18"/>
          <w:szCs w:val="18"/>
          <w:color w:val="auto"/>
        </w:rPr>
        <w:t>. There are no business relationships or related person transactions, as defined in Item 404 of Regulation S-K under the Exchange Act, involving the Company or any subsidiary or any other person required to be described in the Prospectus which have not been described as required.</w:t>
      </w:r>
    </w:p>
    <w:p>
      <w:pPr>
        <w:spacing w:after="0" w:line="176" w:lineRule="exact"/>
        <w:rPr>
          <w:sz w:val="20"/>
          <w:szCs w:val="20"/>
          <w:color w:val="auto"/>
        </w:rPr>
      </w:pPr>
    </w:p>
    <w:p>
      <w:pPr>
        <w:jc w:val="both"/>
        <w:ind w:firstLine="1281"/>
        <w:spacing w:after="0" w:line="249"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  Sarbanes-Oxley; Internal Accounting Controls</w:t>
      </w:r>
      <w:r>
        <w:rPr>
          <w:rFonts w:ascii="Times New Roman" w:cs="Times New Roman" w:eastAsia="Times New Roman" w:hAnsi="Times New Roman"/>
          <w:sz w:val="18"/>
          <w:szCs w:val="18"/>
          <w:color w:val="auto"/>
        </w:rPr>
        <w:t>. The Company and the Subsidiaries are in compliance in all material respects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3" w:lineRule="exact"/>
        <w:rPr>
          <w:sz w:val="20"/>
          <w:szCs w:val="20"/>
          <w:color w:val="auto"/>
        </w:rPr>
      </w:pPr>
    </w:p>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  Certain Fees</w:t>
      </w:r>
      <w:r>
        <w:rPr>
          <w:rFonts w:ascii="Times New Roman" w:cs="Times New Roman" w:eastAsia="Times New Roman" w:hAnsi="Times New Roman"/>
          <w:sz w:val="18"/>
          <w:szCs w:val="18"/>
          <w:color w:val="auto"/>
        </w:rPr>
        <w:t>. Except as set forth in the Prospectus Supplement in connection with this transaction,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6"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  Investment Company</w:t>
      </w:r>
      <w:r>
        <w:rPr>
          <w:rFonts w:ascii="Times New Roman" w:cs="Times New Roman" w:eastAsia="Times New Roman" w:hAnsi="Times New Roman"/>
          <w:sz w:val="18"/>
          <w:szCs w:val="18"/>
          <w:color w:val="auto"/>
        </w:rPr>
        <w:t>. The Company is not, and immediately after receipt of payment for the Securities will not be, an “investment company” within the meaning of the Investment Company Act of 1940, as amended.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Registration Rights</w:t>
      </w:r>
      <w:r>
        <w:rPr>
          <w:rFonts w:ascii="Times New Roman" w:cs="Times New Roman" w:eastAsia="Times New Roman" w:hAnsi="Times New Roman"/>
          <w:sz w:val="18"/>
          <w:szCs w:val="18"/>
          <w:color w:val="auto"/>
        </w:rPr>
        <w:t>. Except as set forth in the SEC Reports, no Person has any right to cause the Company or any Subsidiary to effect the registration under the Securities Act of any securities of the Company or any Subsidiary.</w:t>
      </w:r>
    </w:p>
    <w:p>
      <w:pPr>
        <w:spacing w:after="0" w:line="163"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  Listing and Maintenance Requirements</w:t>
      </w:r>
      <w:r>
        <w:rPr>
          <w:rFonts w:ascii="Times New Roman" w:cs="Times New Roman" w:eastAsia="Times New Roman" w:hAnsi="Times New Roman"/>
          <w:sz w:val="18"/>
          <w:szCs w:val="18"/>
          <w:color w:val="auto"/>
        </w:rPr>
        <w:t>. The Common Shares are registered pursuant to Section 12(b) or 12(g) of the Exchange Act, and the Company has taken no action designed to, or which to its knowledge is likely to have the effect of, terminating the registration of the Common Shares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Shares are or has been listed or quoted to the effect that the Company is not in compliance with the listing or maintenance requirements of such Trading Market. The Common Shares are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90" w:lineRule="exact"/>
        <w:rPr>
          <w:sz w:val="20"/>
          <w:szCs w:val="20"/>
          <w:color w:val="auto"/>
        </w:rPr>
      </w:pPr>
    </w:p>
    <w:p>
      <w:pPr>
        <w:jc w:val="both"/>
        <w:ind w:firstLine="1281"/>
        <w:spacing w:after="0" w:line="250"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in all material respects and does not contain any untrue statement of a material fact or omit to state any material fact necessary in order to make the statements made therein, in the light of the circumstances under which they were made, not misleading (it being understood that such disclosure furnished by or on behalf of the Company to the Purchasers includes the SEC Reports). The Company acknowledges and agrees that no Purchaser makes or has made any representations or warranties with respect to the transactions contemplated hereby other than those specifically set forth in Section 3.2 hereof.</w:t>
      </w:r>
    </w:p>
    <w:p>
      <w:pPr>
        <w:spacing w:after="0" w:line="192"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7"/>
          <w:szCs w:val="17"/>
          <w:color w:val="auto"/>
        </w:rPr>
        <w:t>(y)         </w:t>
      </w:r>
      <w:r>
        <w:rPr>
          <w:rFonts w:ascii="Times New Roman" w:cs="Times New Roman" w:eastAsia="Times New Roman" w:hAnsi="Times New Roman"/>
          <w:sz w:val="17"/>
          <w:szCs w:val="17"/>
          <w:u w:val="single" w:color="auto"/>
          <w:color w:val="auto"/>
        </w:rPr>
        <w:t>  No Integrated Offering</w:t>
      </w:r>
      <w:r>
        <w:rPr>
          <w:rFonts w:ascii="Times New Roman" w:cs="Times New Roman" w:eastAsia="Times New Roman" w:hAnsi="Times New Roman"/>
          <w:sz w:val="17"/>
          <w:szCs w:val="17"/>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165"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u w:val="single" w:color="auto"/>
          <w:color w:val="auto"/>
        </w:rPr>
        <w:t>  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federal, provincial,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except for such taxes, if any, as are being contested in good faith and as to which adequate reserves have been established by the Company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u w:val="single" w:color="auto"/>
          <w:color w:val="auto"/>
        </w:rPr>
        <w:t>  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5"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u w:val="single" w:color="auto"/>
          <w:color w:val="auto"/>
        </w:rPr>
        <w:t>  Accountants</w:t>
      </w:r>
      <w:r>
        <w:rPr>
          <w:rFonts w:ascii="Times New Roman" w:cs="Times New Roman" w:eastAsia="Times New Roman" w:hAnsi="Times New Roman"/>
          <w:sz w:val="18"/>
          <w:szCs w:val="18"/>
          <w:color w:val="auto"/>
        </w:rPr>
        <w:t>. The Company’s accounting firm is Ernst &amp; Young LLP. To the knowledge and belief of the Company, such accounting firm is a registered public accounting firm as required by the Exchange Act.</w:t>
      </w:r>
    </w:p>
    <w:p>
      <w:pPr>
        <w:spacing w:after="0" w:line="163" w:lineRule="exact"/>
        <w:rPr>
          <w:sz w:val="20"/>
          <w:szCs w:val="20"/>
          <w:color w:val="auto"/>
        </w:rPr>
      </w:pPr>
    </w:p>
    <w:p>
      <w:pPr>
        <w:jc w:val="both"/>
        <w:ind w:firstLine="1281"/>
        <w:spacing w:after="0" w:line="269" w:lineRule="auto"/>
        <w:rPr>
          <w:sz w:val="20"/>
          <w:szCs w:val="20"/>
          <w:color w:val="auto"/>
        </w:rPr>
      </w:pPr>
      <w:r>
        <w:rPr>
          <w:rFonts w:ascii="Times New Roman" w:cs="Times New Roman" w:eastAsia="Times New Roman" w:hAnsi="Times New Roman"/>
          <w:sz w:val="17"/>
          <w:szCs w:val="17"/>
          <w:color w:val="auto"/>
        </w:rPr>
        <w:t>(cc)       </w:t>
      </w:r>
      <w:r>
        <w:rPr>
          <w:rFonts w:ascii="Times New Roman" w:cs="Times New Roman" w:eastAsia="Times New Roman" w:hAnsi="Times New Roman"/>
          <w:sz w:val="17"/>
          <w:szCs w:val="17"/>
          <w:u w:val="single" w:color="auto"/>
          <w:color w:val="auto"/>
        </w:rPr>
        <w:t>  Acknowledgment Regarding Purchasers’ Purchase of Securities</w:t>
      </w:r>
      <w:r>
        <w:rPr>
          <w:rFonts w:ascii="Times New Roman" w:cs="Times New Roman" w:eastAsia="Times New Roman" w:hAnsi="Times New Roman"/>
          <w:sz w:val="17"/>
          <w:szCs w:val="17"/>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74" w:lineRule="exact"/>
        <w:rPr>
          <w:sz w:val="20"/>
          <w:szCs w:val="20"/>
          <w:color w:val="auto"/>
        </w:rPr>
      </w:pPr>
    </w:p>
    <w:p>
      <w:pPr>
        <w:jc w:val="both"/>
        <w:ind w:firstLine="1281"/>
        <w:spacing w:after="0" w:line="250" w:lineRule="auto"/>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u w:val="single" w:color="auto"/>
          <w:color w:val="auto"/>
        </w:rPr>
        <w:t>  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and 4.12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Shares, and</w:t>
      </w:r>
    </w:p>
    <w:p>
      <w:pPr>
        <w:spacing w:after="0" w:line="4" w:lineRule="exact"/>
        <w:rPr>
          <w:sz w:val="20"/>
          <w:szCs w:val="20"/>
          <w:color w:val="auto"/>
        </w:rPr>
      </w:pPr>
    </w:p>
    <w:p>
      <w:pPr>
        <w:jc w:val="both"/>
        <w:ind w:firstLine="7"/>
        <w:spacing w:after="0" w:line="249" w:lineRule="auto"/>
        <w:tabs>
          <w:tab w:leader="none" w:pos="32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0" w:name="page41"/>
    <w:bookmarkEnd w:id="40"/>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u w:val="single" w:color="auto"/>
          <w:color w:val="auto"/>
        </w:rPr>
        <w:t>  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spacing w:after="0" w:line="181" w:lineRule="exact"/>
        <w:rPr>
          <w:sz w:val="20"/>
          <w:szCs w:val="20"/>
          <w:color w:val="auto"/>
        </w:rPr>
      </w:pPr>
    </w:p>
    <w:p>
      <w:pPr>
        <w:jc w:val="both"/>
        <w:ind w:firstLine="1281"/>
        <w:spacing w:after="0" w:line="266" w:lineRule="auto"/>
        <w:rPr>
          <w:sz w:val="20"/>
          <w:szCs w:val="20"/>
          <w:color w:val="auto"/>
        </w:rPr>
      </w:pPr>
      <w:r>
        <w:rPr>
          <w:rFonts w:ascii="Times New Roman" w:cs="Times New Roman" w:eastAsia="Times New Roman" w:hAnsi="Times New Roman"/>
          <w:sz w:val="17"/>
          <w:szCs w:val="17"/>
          <w:color w:val="auto"/>
        </w:rPr>
        <w:t>(ff)       </w:t>
      </w:r>
      <w:r>
        <w:rPr>
          <w:rFonts w:ascii="Times New Roman" w:cs="Times New Roman" w:eastAsia="Times New Roman" w:hAnsi="Times New Roman"/>
          <w:sz w:val="17"/>
          <w:szCs w:val="17"/>
          <w:u w:val="single" w:color="auto"/>
          <w:color w:val="auto"/>
        </w:rPr>
        <w:t>  Regulatory Compliance</w:t>
      </w:r>
      <w:r>
        <w:rPr>
          <w:rFonts w:ascii="Times New Roman" w:cs="Times New Roman" w:eastAsia="Times New Roman" w:hAnsi="Times New Roman"/>
          <w:sz w:val="17"/>
          <w:szCs w:val="17"/>
          <w:color w:val="auto"/>
        </w:rPr>
        <w:t>. (1) Except as otherwise set forth in the SEC Reports, neither the Company nor any of its Subsidiaries has held any material Regulatory Permits and, to the Company’s knowledge, no such Regulatory Permits are or have been necessary for the Company or any of its Subsidiaries to conduct their respective businesses as presently conducted. Except as otherwise set forth in the Registration Statement, the Prospectus and the Prospectus Supplement, to the Company’s knowledge, no governmental agency (including the ISA or sponsoring state) has stated or otherwise indicated that a material Regulatory Permit is required for the Company or any of its Subsidiaries to conduct their respective businesses as presently conducted.</w:t>
      </w:r>
    </w:p>
    <w:p>
      <w:pPr>
        <w:spacing w:after="0" w:line="3" w:lineRule="exact"/>
        <w:rPr>
          <w:sz w:val="20"/>
          <w:szCs w:val="20"/>
          <w:color w:val="auto"/>
        </w:rPr>
      </w:pPr>
    </w:p>
    <w:p>
      <w:pPr>
        <w:jc w:val="both"/>
        <w:ind w:firstLine="7"/>
        <w:spacing w:after="0" w:line="248" w:lineRule="auto"/>
        <w:tabs>
          <w:tab w:leader="none" w:pos="28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actions, suits or proceedings or, to the Company’s knowledge, threatened against the Company or any of its Subsidiaries related to compliance with UNCLOS Laws and Regulations, including by a governmental agency (including the ISA or sponsoring state). The Company and its Subsidiaries are in material compliance with UNCLOS Laws and Regulations. As used in this </w:t>
      </w:r>
      <w:r>
        <w:rPr>
          <w:rFonts w:ascii="Times New Roman" w:cs="Times New Roman" w:eastAsia="Times New Roman" w:hAnsi="Times New Roman"/>
          <w:sz w:val="18"/>
          <w:szCs w:val="18"/>
          <w:u w:val="single" w:color="auto"/>
          <w:color w:val="auto"/>
        </w:rPr>
        <w:t>Section 3.1(ff)</w:t>
      </w:r>
      <w:r>
        <w:rPr>
          <w:rFonts w:ascii="Times New Roman" w:cs="Times New Roman" w:eastAsia="Times New Roman" w:hAnsi="Times New Roman"/>
          <w:sz w:val="18"/>
          <w:szCs w:val="18"/>
          <w:color w:val="auto"/>
        </w:rPr>
        <w:t>, the following terms have the defined meanings: “</w:t>
      </w:r>
      <w:r>
        <w:rPr>
          <w:rFonts w:ascii="Times New Roman" w:cs="Times New Roman" w:eastAsia="Times New Roman" w:hAnsi="Times New Roman"/>
          <w:sz w:val="18"/>
          <w:szCs w:val="18"/>
          <w:u w:val="single" w:color="auto"/>
          <w:color w:val="auto"/>
        </w:rPr>
        <w:t>ISA</w:t>
      </w:r>
      <w:r>
        <w:rPr>
          <w:rFonts w:ascii="Times New Roman" w:cs="Times New Roman" w:eastAsia="Times New Roman" w:hAnsi="Times New Roman"/>
          <w:sz w:val="18"/>
          <w:szCs w:val="18"/>
          <w:color w:val="auto"/>
        </w:rPr>
        <w:t>” means the International Seabed Authority; “</w:t>
      </w: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means all permits or contracts granted or approved by ISA or sponsoring state to the Company or any of its Subsidiaries; and “</w:t>
      </w:r>
      <w:r>
        <w:rPr>
          <w:rFonts w:ascii="Times New Roman" w:cs="Times New Roman" w:eastAsia="Times New Roman" w:hAnsi="Times New Roman"/>
          <w:sz w:val="18"/>
          <w:szCs w:val="18"/>
          <w:u w:val="single" w:color="auto"/>
          <w:color w:val="auto"/>
        </w:rPr>
        <w:t>UNCLOS Laws and Regulations</w:t>
      </w:r>
      <w:r>
        <w:rPr>
          <w:rFonts w:ascii="Times New Roman" w:cs="Times New Roman" w:eastAsia="Times New Roman" w:hAnsi="Times New Roman"/>
          <w:sz w:val="18"/>
          <w:szCs w:val="18"/>
          <w:color w:val="auto"/>
        </w:rPr>
        <w:t>” means the United Nations Convention for the Law of the Sea (“</w:t>
      </w:r>
      <w:r>
        <w:rPr>
          <w:rFonts w:ascii="Times New Roman" w:cs="Times New Roman" w:eastAsia="Times New Roman" w:hAnsi="Times New Roman"/>
          <w:sz w:val="18"/>
          <w:szCs w:val="18"/>
          <w:u w:val="single" w:color="auto"/>
          <w:color w:val="auto"/>
        </w:rPr>
        <w:t>UNCLOS</w:t>
      </w:r>
      <w:r>
        <w:rPr>
          <w:rFonts w:ascii="Times New Roman" w:cs="Times New Roman" w:eastAsia="Times New Roman" w:hAnsi="Times New Roman"/>
          <w:sz w:val="18"/>
          <w:szCs w:val="18"/>
          <w:color w:val="auto"/>
        </w:rPr>
        <w:t>”) and all related laws, conventions, international agreements, and implementing agreements, including (a) the 1994 Agreement relating to the Implementation of Part XI of UNCLOS, (b) the laws administered by the ISA, and (c) any applicable customary international law.</w:t>
      </w:r>
    </w:p>
    <w:p>
      <w:pPr>
        <w:spacing w:after="0" w:line="192"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(gg)       </w:t>
      </w:r>
      <w:r>
        <w:rPr>
          <w:rFonts w:ascii="Times New Roman" w:cs="Times New Roman" w:eastAsia="Times New Roman" w:hAnsi="Times New Roman"/>
          <w:sz w:val="18"/>
          <w:szCs w:val="18"/>
          <w:u w:val="single" w:color="auto"/>
          <w:color w:val="auto"/>
        </w:rPr>
        <w:t>  Mineral Rights Agreements</w:t>
      </w:r>
      <w:r>
        <w:rPr>
          <w:rFonts w:ascii="Times New Roman" w:cs="Times New Roman" w:eastAsia="Times New Roman" w:hAnsi="Times New Roman"/>
          <w:sz w:val="18"/>
          <w:szCs w:val="18"/>
          <w:color w:val="auto"/>
        </w:rPr>
        <w:t>. Any and all of the agreements and other documents and instruments relating to the Mineral Rights are valid and subsisting agreements, documents or instruments in full force and effect, enforceable in accordance with the terms thereof, the Company is not in default of any of the material provisions of any such agreements, documents or instruments, nor to the knowledge of the Company has any such default been alleged, except in each case as would not reasonably be expected to have a Material Adverse Effect on the Company.</w:t>
      </w:r>
    </w:p>
    <w:p>
      <w:pPr>
        <w:spacing w:after="0" w:line="181"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(hh)       </w:t>
      </w:r>
      <w:r>
        <w:rPr>
          <w:rFonts w:ascii="Times New Roman" w:cs="Times New Roman" w:eastAsia="Times New Roman" w:hAnsi="Times New Roman"/>
          <w:sz w:val="18"/>
          <w:szCs w:val="18"/>
          <w:u w:val="single" w:color="auto"/>
          <w:color w:val="auto"/>
        </w:rPr>
        <w:t>  Technical Reports</w:t>
      </w:r>
      <w:r>
        <w:rPr>
          <w:rFonts w:ascii="Times New Roman" w:cs="Times New Roman" w:eastAsia="Times New Roman" w:hAnsi="Times New Roman"/>
          <w:sz w:val="18"/>
          <w:szCs w:val="18"/>
          <w:color w:val="auto"/>
        </w:rPr>
        <w:t>. The Technical Reports complied in all material respects with the requirements of subpart 1300 of Regulation S-K under the Securities Act (“</w:t>
      </w:r>
      <w:r>
        <w:rPr>
          <w:rFonts w:ascii="Times New Roman" w:cs="Times New Roman" w:eastAsia="Times New Roman" w:hAnsi="Times New Roman"/>
          <w:sz w:val="18"/>
          <w:szCs w:val="18"/>
          <w:u w:val="single" w:color="auto"/>
          <w:color w:val="auto"/>
        </w:rPr>
        <w:t>S-K 1300</w:t>
      </w:r>
      <w:r>
        <w:rPr>
          <w:rFonts w:ascii="Times New Roman" w:cs="Times New Roman" w:eastAsia="Times New Roman" w:hAnsi="Times New Roman"/>
          <w:sz w:val="18"/>
          <w:szCs w:val="18"/>
          <w:color w:val="auto"/>
        </w:rPr>
        <w:t>”) as at the date of each such report; since the date of preparation of the Technical Reports there has been no change that would disaffirm or change any aspect of the Technical Reports in any material respect or require the Company to file updated Technical Reports in accordance with S-K 1300.</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(jj)       </w:t>
      </w:r>
      <w:r>
        <w:rPr>
          <w:rFonts w:ascii="Times New Roman" w:cs="Times New Roman" w:eastAsia="Times New Roman" w:hAnsi="Times New Roman"/>
          <w:sz w:val="18"/>
          <w:szCs w:val="18"/>
          <w:u w:val="single" w:color="auto"/>
          <w:color w:val="auto"/>
        </w:rPr>
        <w:t>  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 in writing.</w:t>
      </w:r>
    </w:p>
    <w:p>
      <w:pPr>
        <w:spacing w:after="0" w:line="18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3.2         </w:t>
      </w:r>
      <w:r>
        <w:rPr>
          <w:rFonts w:ascii="Times New Roman" w:cs="Times New Roman" w:eastAsia="Times New Roman" w:hAnsi="Times New Roman"/>
          <w:sz w:val="18"/>
          <w:szCs w:val="18"/>
          <w:u w:val="single" w:color="auto"/>
          <w:color w:val="auto"/>
        </w:rPr>
        <w:t>  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76" w:lineRule="exact"/>
        <w:rPr>
          <w:sz w:val="20"/>
          <w:szCs w:val="20"/>
          <w:color w:val="auto"/>
        </w:rPr>
      </w:pPr>
    </w:p>
    <w:p>
      <w:pPr>
        <w:jc w:val="both"/>
        <w:ind w:firstLine="1281"/>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2" w:lineRule="exact"/>
        <w:rPr>
          <w:sz w:val="20"/>
          <w:szCs w:val="20"/>
          <w:color w:val="auto"/>
        </w:rPr>
      </w:pPr>
    </w:p>
    <w:p>
      <w:pPr>
        <w:jc w:val="both"/>
        <w:ind w:firstLine="1281"/>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Understandings or Arrangements</w:t>
      </w:r>
      <w:r>
        <w:rPr>
          <w:rFonts w:ascii="Times New Roman" w:cs="Times New Roman" w:eastAsia="Times New Roman" w:hAnsi="Times New Roman"/>
          <w:sz w:val="18"/>
          <w:szCs w:val="18"/>
          <w:color w:val="auto"/>
        </w:rPr>
        <w:t>. Such Purchaser is acquiring the Securities either as principal for its own account or on a discretionary basis for separately managed accounts in its capacity as investment adviser to such accounts,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 Such Purchaser is not a resident in a province or territory of Canada and acknowledges that the Securities have not been and will not be qualified for distribution in Canada and may not be offered or sold in Canada, including to a purchaser of Pre-Settlement Shares.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2" w:name="page43"/>
    <w:bookmarkEnd w:id="42"/>
    <w:p>
      <w:pPr>
        <w:ind w:left="128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81" w:lineRule="exact"/>
        <w:rPr>
          <w:sz w:val="20"/>
          <w:szCs w:val="20"/>
          <w:color w:val="auto"/>
        </w:rPr>
      </w:pPr>
    </w:p>
    <w:p>
      <w:pPr>
        <w:jc w:val="both"/>
        <w:ind w:firstLine="1281"/>
        <w:spacing w:after="0" w:line="271" w:lineRule="auto"/>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Access to Information</w:t>
      </w:r>
      <w:r>
        <w:rPr>
          <w:rFonts w:ascii="Times New Roman" w:cs="Times New Roman" w:eastAsia="Times New Roman" w:hAnsi="Times New Roman"/>
          <w:sz w:val="17"/>
          <w:szCs w:val="17"/>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spacing w:after="0" w:line="170" w:lineRule="exact"/>
        <w:rPr>
          <w:sz w:val="20"/>
          <w:szCs w:val="20"/>
          <w:color w:val="auto"/>
        </w:rPr>
      </w:pPr>
    </w:p>
    <w:p>
      <w:pPr>
        <w:jc w:val="both"/>
        <w:ind w:firstLine="1281"/>
        <w:spacing w:after="0" w:line="266" w:lineRule="auto"/>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u w:val="single" w:color="auto"/>
          <w:color w:val="auto"/>
        </w:rPr>
        <w:t>  Certain Transactions and Confidentiality</w:t>
      </w:r>
      <w:r>
        <w:rPr>
          <w:rFonts w:ascii="Times New Roman" w:cs="Times New Roman" w:eastAsia="Times New Roman" w:hAnsi="Times New Roman"/>
          <w:sz w:val="17"/>
          <w:szCs w:val="17"/>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notice of the transaction contemplated hereunder (written or oral) from the Company or any other Person representing the Company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75"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Money Laundering</w:t>
      </w:r>
      <w:r>
        <w:rPr>
          <w:rFonts w:ascii="Times New Roman" w:cs="Times New Roman" w:eastAsia="Times New Roman" w:hAnsi="Times New Roman"/>
          <w:sz w:val="18"/>
          <w:szCs w:val="18"/>
          <w:color w:val="auto"/>
        </w:rPr>
        <w:t>. The funds representing such Purchaser’s Subscription Amount which will be advanced by such Purchaser to the Company hereunder will not represent proceeds of crime for the purposes of the Proceeds of Crime (Money Laundering) and Terrorist Financing Act (Canada) (the “</w:t>
      </w:r>
      <w:r>
        <w:rPr>
          <w:rFonts w:ascii="Times New Roman" w:cs="Times New Roman" w:eastAsia="Times New Roman" w:hAnsi="Times New Roman"/>
          <w:sz w:val="18"/>
          <w:szCs w:val="18"/>
          <w:u w:val="single" w:color="auto"/>
          <w:color w:val="auto"/>
        </w:rPr>
        <w:t>PCMLA</w:t>
      </w:r>
      <w:r>
        <w:rPr>
          <w:rFonts w:ascii="Times New Roman" w:cs="Times New Roman" w:eastAsia="Times New Roman" w:hAnsi="Times New Roman"/>
          <w:sz w:val="18"/>
          <w:szCs w:val="18"/>
          <w:color w:val="auto"/>
        </w:rPr>
        <w:t>”) or the equivalent laws or regulations in other jurisdictions, and such Purchaser acknowledges that the Company may in the future be required by law to disclose such Purchaser’s name and other information relating to this Agreement and such Purchaser’s subscription hereunder, on a confidential basis, pursuant to the PCMLA or other similar law or regulation. To the best of such Purchaser’s knowledge (i) none of the subscription funds to be provided by such Purchaser’s (A) have been or will be obtained or derived, directly or indirectly, from or related to any activity that is deemed criminal under the law of Canada, the United States of America, or any other jurisdiction, or (B) are being tendered on behalf of a person or entity who has not been identified to such Purchaser, and (ii) it shall promptly notify the Company if such Purchaser discovers that any of such representations ceases to be true, and to provide the Company with appropriate information in connection therewith</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3" w:name="page44"/>
    <w:bookmarkEnd w:id="43"/>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1"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Warrant Shares</w:t>
      </w:r>
      <w:r>
        <w:rPr>
          <w:rFonts w:ascii="Times New Roman" w:cs="Times New Roman" w:eastAsia="Times New Roman" w:hAnsi="Times New Roman"/>
          <w:sz w:val="18"/>
          <w:szCs w:val="18"/>
          <w:color w:val="auto"/>
        </w:rPr>
        <w:t>. If all or any portion of a Warrant is exercised at a time when there is an effective registration statement to cover the issuance or resale of the Warrant Shares or if the Warrant is exercised via cashless exercise, if applicable, the Warrant Shares issued pursuant to any such exercise shall be issued free of all legends. If at any time following the date hereof the Registration Statement (or any subsequent registration statement registering the sale or resale of the Warrant Shares) is not effective or is not otherwise available for the sale or resale of the Warrant Shares, the Company shall immediately notify the holders of the Warrants in writing that such registration statement is not then effective and thereafter shall promptly notify such holders when the registration statement is effective again and available for the sale or resale of the Warrant Shares (it being understood and agreed that the foregoing shall not limit the ability of the Company to issue, or any Purchaser to sell, any of the Warrant Shares in compliance with applicable federal and state securities laws). The Company shall use reasonable best efforts to keep a registration statement (including the Registration Statement) registering the issuance or resale of the Warrant Shares effective during the term of the Warrants.</w:t>
      </w:r>
    </w:p>
    <w:p>
      <w:pPr>
        <w:spacing w:after="0" w:line="187"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u w:val="single" w:color="auto"/>
          <w:color w:val="auto"/>
        </w:rPr>
        <w:t>  Furnishing of Information</w:t>
      </w:r>
      <w:r>
        <w:rPr>
          <w:rFonts w:ascii="Times New Roman" w:cs="Times New Roman" w:eastAsia="Times New Roman" w:hAnsi="Times New Roman"/>
          <w:sz w:val="18"/>
          <w:szCs w:val="18"/>
          <w:color w:val="auto"/>
        </w:rPr>
        <w:t>. Until the earliest of the time that (i) no Purchaser owns Securities or (ii) the Warrants have expired, the Company covenants to use reasonable best efforts to timely file (or obtain extensions in respect thereof and file within the applicable grace period) all reports required to be filed by the Company after the date hereof pursuant to the Exchange Act, provided that the Company is then subject to the reporting requirements of the Exchange Act.</w:t>
      </w:r>
    </w:p>
    <w:p>
      <w:pPr>
        <w:spacing w:after="0" w:line="181"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u w:val="single" w:color="auto"/>
          <w:color w:val="auto"/>
        </w:rPr>
        <w:t>  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4" w:name="page45"/>
    <w:bookmarkEnd w:id="44"/>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4.4         </w:t>
      </w:r>
      <w:r>
        <w:rPr>
          <w:rFonts w:ascii="Times New Roman" w:cs="Times New Roman" w:eastAsia="Times New Roman" w:hAnsi="Times New Roman"/>
          <w:sz w:val="18"/>
          <w:szCs w:val="18"/>
          <w:u w:val="single" w:color="auto"/>
          <w:color w:val="auto"/>
        </w:rPr>
        <w:t>  Securities Laws Disclosure; Publicity</w:t>
      </w:r>
      <w:r>
        <w:rPr>
          <w:rFonts w:ascii="Times New Roman" w:cs="Times New Roman" w:eastAsia="Times New Roman" w:hAnsi="Times New Roman"/>
          <w:sz w:val="18"/>
          <w:szCs w:val="18"/>
          <w:color w:val="auto"/>
        </w:rPr>
        <w:t>. The Company shall file a Current Report on Form 8-K, including the Transaction Documents as exhibits thereto, with the Commission within the time required by the Exchange Act. From and after the issuance of such press release and the dissemination of the information set forth on Schedule A hereto,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to the extent permitted by law, provide the Purchasers with prior notice of such disclosure permitted under this clause (b).</w:t>
      </w:r>
    </w:p>
    <w:p>
      <w:pPr>
        <w:spacing w:after="0" w:line="188"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4.5         </w:t>
      </w:r>
      <w:r>
        <w:rPr>
          <w:rFonts w:ascii="Times New Roman" w:cs="Times New Roman" w:eastAsia="Times New Roman" w:hAnsi="Times New Roman"/>
          <w:sz w:val="18"/>
          <w:szCs w:val="18"/>
          <w:u w:val="single" w:color="auto"/>
          <w:color w:val="auto"/>
        </w:rPr>
        <w:t>  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“Acquiring Person”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6"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4.6         </w:t>
      </w:r>
      <w:r>
        <w:rPr>
          <w:rFonts w:ascii="Times New Roman" w:cs="Times New Roman" w:eastAsia="Times New Roman" w:hAnsi="Times New Roman"/>
          <w:sz w:val="18"/>
          <w:szCs w:val="18"/>
          <w:u w:val="single" w:color="auto"/>
          <w:color w:val="auto"/>
        </w:rPr>
        <w:t>  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in any case acting on behalf of the Company or any of its Subsidiaries,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Unless otherwise agreed to by the applicable parties, to the extent that any notice provided pursuant to any Transaction Document constitutes, or contains, material, non-public information regarding the Company or any Subsidiaries, the Company shall simultaneously file such material, non-public information with the Commission pursuant to a Current Report on Form 8-K. The Company understands and confirms that each Purchaser shall be relying on the foregoing covenant in effecting transactions in securities of the Company.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5" w:name="page46"/>
    <w:bookmarkEnd w:id="45"/>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4.7         </w:t>
      </w:r>
      <w:r>
        <w:rPr>
          <w:rFonts w:ascii="Times New Roman" w:cs="Times New Roman" w:eastAsia="Times New Roman" w:hAnsi="Times New Roman"/>
          <w:sz w:val="18"/>
          <w:szCs w:val="18"/>
          <w:u w:val="single" w:color="auto"/>
          <w:color w:val="auto"/>
        </w:rPr>
        <w:t>  Use of Proceeds</w:t>
      </w:r>
      <w:r>
        <w:rPr>
          <w:rFonts w:ascii="Times New Roman" w:cs="Times New Roman" w:eastAsia="Times New Roman" w:hAnsi="Times New Roman"/>
          <w:sz w:val="18"/>
          <w:szCs w:val="18"/>
          <w:color w:val="auto"/>
        </w:rPr>
        <w:t>. The Company intends to use the net proceeds from the sale of the Securities hereunder for working capital, and other general corporate purposes.</w:t>
      </w:r>
    </w:p>
    <w:p>
      <w:pPr>
        <w:spacing w:after="0" w:line="163"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7"/>
          <w:szCs w:val="17"/>
          <w:color w:val="auto"/>
        </w:rPr>
        <w:t>4.8         </w:t>
      </w:r>
      <w:r>
        <w:rPr>
          <w:rFonts w:ascii="Times New Roman" w:cs="Times New Roman" w:eastAsia="Times New Roman" w:hAnsi="Times New Roman"/>
          <w:sz w:val="17"/>
          <w:szCs w:val="17"/>
          <w:u w:val="single" w:color="auto"/>
          <w:color w:val="auto"/>
        </w:rPr>
        <w:t>  Indemnification of Purchasers</w:t>
      </w:r>
      <w:r>
        <w:rPr>
          <w:rFonts w:ascii="Times New Roman" w:cs="Times New Roman" w:eastAsia="Times New Roman" w:hAnsi="Times New Roman"/>
          <w:sz w:val="17"/>
          <w:szCs w:val="17"/>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indemnity agreements contained herein shall be in addition to any cause of action or similar right of any Purchaser Party against the Company or others and any liabilities the Company may be subject to pursuant to law.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6" w:name="page47"/>
    <w:bookmarkEnd w:id="46"/>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4.9         </w:t>
      </w:r>
      <w:r>
        <w:rPr>
          <w:rFonts w:ascii="Times New Roman" w:cs="Times New Roman" w:eastAsia="Times New Roman" w:hAnsi="Times New Roman"/>
          <w:sz w:val="18"/>
          <w:szCs w:val="18"/>
          <w:u w:val="single" w:color="auto"/>
          <w:color w:val="auto"/>
        </w:rPr>
        <w:t>  Reservation of Common Shares</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Common Shares for the purpose of enabling the Company to issue Shares pursuant to this Agreement and Warrant Shares pursuant to any exercise of the Warrants.</w:t>
      </w:r>
    </w:p>
    <w:p>
      <w:pPr>
        <w:spacing w:after="0" w:line="176"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4.10         </w:t>
      </w:r>
      <w:r>
        <w:rPr>
          <w:rFonts w:ascii="Times New Roman" w:cs="Times New Roman" w:eastAsia="Times New Roman" w:hAnsi="Times New Roman"/>
          <w:sz w:val="18"/>
          <w:szCs w:val="18"/>
          <w:u w:val="single" w:color="auto"/>
          <w:color w:val="auto"/>
        </w:rPr>
        <w:t>  Listing of Common Shares</w:t>
      </w:r>
      <w:r>
        <w:rPr>
          <w:rFonts w:ascii="Times New Roman" w:cs="Times New Roman" w:eastAsia="Times New Roman" w:hAnsi="Times New Roman"/>
          <w:sz w:val="18"/>
          <w:szCs w:val="18"/>
          <w:color w:val="auto"/>
        </w:rPr>
        <w:t>. The Company hereby agrees to use commercially reasonable efforts to maintain the listing or quotation of the Common Shares on the Trading Market on which they are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Shares traded on any other Trading Market, it will then include in such application all of the Shares and Warrant Shares, and will take such other action as is reasonably necessary to cause all of the Shares and Warrant Shares to be listed or quoted on such other Trading Market as promptly as possible. The Company will then take all action reasonably necessary to continue the listing and trading of its Common Shares on a Trading Market and will comply in all respects with the Company’s reporting, filing and other obligations of which it has control under its articles or rules of the Trading Market. The Company agrees to maintain the eligibility of the Common Shares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2"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4.11         </w:t>
      </w:r>
      <w:r>
        <w:rPr>
          <w:rFonts w:ascii="Times New Roman" w:cs="Times New Roman" w:eastAsia="Times New Roman" w:hAnsi="Times New Roman"/>
          <w:sz w:val="18"/>
          <w:szCs w:val="18"/>
          <w:u w:val="single" w:color="auto"/>
          <w:color w:val="auto"/>
        </w:rPr>
        <w:t>  Subsequent Financing Transactions</w:t>
      </w:r>
      <w:r>
        <w:rPr>
          <w:rFonts w:ascii="Times New Roman" w:cs="Times New Roman" w:eastAsia="Times New Roman" w:hAnsi="Times New Roman"/>
          <w:sz w:val="18"/>
          <w:szCs w:val="18"/>
          <w:color w:val="auto"/>
        </w:rPr>
        <w:t>. From the date hereof until six (6) months after the Closing Date, neither the Company nor any Subsidiary shall issue, enter into any agreement to issue or announce the issuance or proposed issuance of any Common Shares or Common Share Equivalents under an effective offering price of less than $1.00, other than with respect to (a) the issuance of Common Shares, options, restricted share units or other equity awards to employees, consultants, contractors, advisors, officers or directors of the Company pursuant to any equity plan or arrangement duly adopted for such purpose, by a majority of the non-employee members of the Board of Directors or a majority of the members of a committee of non-employee directors established for such purpose for services rendered to the Company, (b) the issuance of securities or shares upon the exercise or exchange of or conversion of any Securities issued hereunder and upon exercise, exchange or conversion of other securities or shares exercisable or exchangeable for or convertible into Common Shares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share splits or combinations) or to extend the term of such securities, (c) the issuance of Common Shares to existing holders of the Company’s securities in compliance with the terms of outstanding agreements entered into with, or instruments issued to, such holders, which agreements are in effect as of the date hereof (and in accordance with the terms thereof as of the date hereof), provided that such securities have not been amended since the date of this Agreement to increase the number of such securities or to decrease the exercise price, exchange price or conversion price of such securities (other than in connection with share splits or combinations) or to extend the term of such securities, (d) securities issued pursuant to acquisitions, joint ventures, strategic alliances, or other strategic transactions, including without limitation collaborations or arrangements involving research, development and/or commercialization, the use of vessel(s) or the purchase, sale or licensing of intellectual property, approved by a majority of the disinterested directors of the Company, (e) the issuance of Common Shares pursuant to the Sales Agreement, (f) the issuance of Common Shares as repayment of any indebtedness of the Company incurred prior to the date of this Agreement, or any fees and interest with respect thereto, including, without limitation, any underutilization fees, and (g) the issuance of convertible notes to a strategic investors so long as no Common Shares may be issued upon the conversion of such convertible notes during the twelve-month period after the Closing Date.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4.12         </w:t>
      </w:r>
      <w:r>
        <w:rPr>
          <w:rFonts w:ascii="Times New Roman" w:cs="Times New Roman" w:eastAsia="Times New Roman" w:hAnsi="Times New Roman"/>
          <w:sz w:val="18"/>
          <w:szCs w:val="18"/>
          <w:u w:val="single" w:color="auto"/>
          <w:color w:val="auto"/>
        </w:rPr>
        <w:t>  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such Transaction Document. For clarification purposes, this provision constitutes a separate right granted to each Purchaser by the Company and negotiated separately by each Purchaser, and is intended for the Company to treat the Purchasers as a Class Bnd shall not in any way be construed as the Purchasers acting in concert or as a group with respect to the purchase, disposition or voting of Securities or otherwise.</w:t>
      </w:r>
    </w:p>
    <w:p>
      <w:pPr>
        <w:spacing w:after="0" w:line="186"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4.13         </w:t>
      </w:r>
      <w:r>
        <w:rPr>
          <w:rFonts w:ascii="Times New Roman" w:cs="Times New Roman" w:eastAsia="Times New Roman" w:hAnsi="Times New Roman"/>
          <w:sz w:val="18"/>
          <w:szCs w:val="18"/>
          <w:u w:val="single" w:color="auto"/>
          <w:color w:val="auto"/>
        </w:rPr>
        <w:t>  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(other than the Shares purchased hereunder)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8" w:name="page49"/>
    <w:bookmarkEnd w:id="48"/>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4.14         </w:t>
      </w:r>
      <w:r>
        <w:rPr>
          <w:rFonts w:ascii="Times New Roman" w:cs="Times New Roman" w:eastAsia="Times New Roman" w:hAnsi="Times New Roman"/>
          <w:sz w:val="18"/>
          <w:szCs w:val="18"/>
          <w:u w:val="single" w:color="auto"/>
          <w:color w:val="auto"/>
        </w:rPr>
        <w:t>  Exercise Procedures</w:t>
      </w:r>
      <w:r>
        <w:rPr>
          <w:rFonts w:ascii="Times New Roman" w:cs="Times New Roman" w:eastAsia="Times New Roman" w:hAnsi="Times New Roman"/>
          <w:sz w:val="18"/>
          <w:szCs w:val="18"/>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18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4.15         </w:t>
      </w:r>
      <w:r>
        <w:rPr>
          <w:rFonts w:ascii="Times New Roman" w:cs="Times New Roman" w:eastAsia="Times New Roman" w:hAnsi="Times New Roman"/>
          <w:sz w:val="18"/>
          <w:szCs w:val="18"/>
          <w:u w:val="single" w:color="auto"/>
          <w:color w:val="auto"/>
        </w:rPr>
        <w:t>  Canadian Sales</w:t>
      </w:r>
      <w:r>
        <w:rPr>
          <w:rFonts w:ascii="Times New Roman" w:cs="Times New Roman" w:eastAsia="Times New Roman" w:hAnsi="Times New Roman"/>
          <w:sz w:val="18"/>
          <w:szCs w:val="18"/>
          <w:color w:val="auto"/>
        </w:rPr>
        <w:t>. Each Purchaser (i) acknowledges that any resale of the Securities in or into Canada must be exempt from, or not subject to, the requirement in Canadian securities legislation that prohibits a person or company from distributing a security without a prospectus that qualifies that distribution, and, where applicable, in compliance with or exempt from dealer registration requirements under Canadian securities legislation, and</w:t>
      </w:r>
    </w:p>
    <w:p>
      <w:pPr>
        <w:spacing w:after="0" w:line="2" w:lineRule="exact"/>
        <w:rPr>
          <w:sz w:val="20"/>
          <w:szCs w:val="20"/>
          <w:color w:val="auto"/>
        </w:rPr>
      </w:pPr>
    </w:p>
    <w:p>
      <w:pPr>
        <w:ind w:firstLine="7"/>
        <w:spacing w:after="0" w:line="255" w:lineRule="auto"/>
        <w:tabs>
          <w:tab w:leader="none" w:pos="2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that, unless permitted under applicable Canadian securities legislation, such Purchaser will not trade the Securities in Canada before the date that is four (4) months and a day after the Closing Date.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1"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consummated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following the date hereof; provided, however, that no such termination will affect the right of any party to sue for any breach by any other party (or parties).</w:t>
      </w:r>
    </w:p>
    <w:p>
      <w:pPr>
        <w:spacing w:after="0" w:line="195"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u w:val="single" w:color="auto"/>
          <w:color w:val="auto"/>
        </w:rPr>
        <w:t>  Fees and Expenses.</w:t>
      </w:r>
      <w:r>
        <w:rPr>
          <w:rFonts w:ascii="Times New Roman" w:cs="Times New Roman" w:eastAsia="Times New Roman" w:hAnsi="Times New Roman"/>
          <w:sz w:val="18"/>
          <w:szCs w:val="18"/>
          <w:color w:val="auto"/>
        </w:rPr>
        <w:t xml:space="preserve">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6" w:lineRule="exact"/>
        <w:rPr>
          <w:sz w:val="20"/>
          <w:szCs w:val="20"/>
          <w:color w:val="auto"/>
        </w:rPr>
      </w:pPr>
    </w:p>
    <w:p>
      <w:pPr>
        <w:jc w:val="both"/>
        <w:ind w:firstLine="640"/>
        <w:spacing w:after="0" w:line="284" w:lineRule="auto"/>
        <w:rPr>
          <w:sz w:val="20"/>
          <w:szCs w:val="20"/>
          <w:color w:val="auto"/>
        </w:rPr>
      </w:pPr>
      <w:r>
        <w:rPr>
          <w:rFonts w:ascii="Times New Roman" w:cs="Times New Roman" w:eastAsia="Times New Roman" w:hAnsi="Times New Roman"/>
          <w:sz w:val="17"/>
          <w:szCs w:val="17"/>
          <w:color w:val="auto"/>
        </w:rPr>
        <w:t>5.3         </w:t>
      </w:r>
      <w:r>
        <w:rPr>
          <w:rFonts w:ascii="Times New Roman" w:cs="Times New Roman" w:eastAsia="Times New Roman" w:hAnsi="Times New Roman"/>
          <w:sz w:val="17"/>
          <w:szCs w:val="17"/>
          <w:u w:val="single" w:color="auto"/>
          <w:color w:val="auto"/>
        </w:rPr>
        <w:t>  Entire Agreement</w:t>
      </w:r>
      <w:r>
        <w:rPr>
          <w:rFonts w:ascii="Times New Roman" w:cs="Times New Roman" w:eastAsia="Times New Roman" w:hAnsi="Times New Roman"/>
          <w:sz w:val="17"/>
          <w:szCs w:val="17"/>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60"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5.4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w:t>
      </w:r>
    </w:p>
    <w:p>
      <w:pPr>
        <w:jc w:val="both"/>
        <w:spacing w:after="0" w:line="218" w:lineRule="auto"/>
        <w:rPr>
          <w:sz w:val="20"/>
          <w:szCs w:val="20"/>
          <w:color w:val="auto"/>
        </w:rPr>
      </w:pPr>
      <w:r>
        <w:rPr>
          <w:rFonts w:ascii="Times New Roman" w:cs="Times New Roman" w:eastAsia="Times New Roman" w:hAnsi="Times New Roman"/>
          <w:sz w:val="18"/>
          <w:szCs w:val="18"/>
          <w:color w:val="auto"/>
        </w:rPr>
        <w:t>pages attached hereto on a day that is not a Trading Day or later than 5:30 p.m. (New York City time) on 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9" w:name="page50"/>
    <w:bookmarkEnd w:id="49"/>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5.5         </w:t>
      </w:r>
      <w:r>
        <w:rPr>
          <w:rFonts w:ascii="Times New Roman" w:cs="Times New Roman" w:eastAsia="Times New Roman" w:hAnsi="Times New Roman"/>
          <w:sz w:val="18"/>
          <w:szCs w:val="18"/>
          <w:u w:val="single" w:color="auto"/>
          <w:color w:val="auto"/>
        </w:rPr>
        <w:t>  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Securities based on the initial Subscription Amounts hereunder or, in the case of a waiver, by the party against whom enforcement of any such waived provision is sought, provided that if any amendment, modification or waiver disproportionately and adversely impacts a Purchaser (or group of Purchasers) in any material respect,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except to the extent expressly stated in such waiver,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9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5.6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5.7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5.8         </w:t>
      </w:r>
      <w:r>
        <w:rPr>
          <w:rFonts w:ascii="Times New Roman" w:cs="Times New Roman" w:eastAsia="Times New Roman" w:hAnsi="Times New Roman"/>
          <w:sz w:val="18"/>
          <w:szCs w:val="18"/>
          <w:u w:val="single" w:color="auto"/>
          <w:color w:val="auto"/>
        </w:rPr>
        <w:t>  No Third-Party Beneficiaries</w:t>
      </w:r>
      <w:r>
        <w:rPr>
          <w:rFonts w:ascii="Times New Roman" w:cs="Times New Roman" w:eastAsia="Times New Roman" w:hAnsi="Times New Roman"/>
          <w:sz w:val="18"/>
          <w:szCs w:val="18"/>
          <w:color w:val="auto"/>
        </w:rPr>
        <w: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76"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5.9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0" w:name="page51"/>
    <w:bookmarkEnd w:id="50"/>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5.10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The representations and warranties contained herein shall survive the Closing and the delivery of the Securities for one year following the Closing Date.</w:t>
      </w:r>
    </w:p>
    <w:p>
      <w:pPr>
        <w:spacing w:after="0" w:line="163"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5.11        </w:t>
      </w:r>
      <w:r>
        <w:rPr>
          <w:rFonts w:ascii="Times New Roman" w:cs="Times New Roman" w:eastAsia="Times New Roman" w:hAnsi="Times New Roman"/>
          <w:sz w:val="18"/>
          <w:szCs w:val="18"/>
          <w:u w:val="single" w:color="auto"/>
          <w:color w:val="auto"/>
        </w:rPr>
        <w:t>  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or any electronic signature complying with the U.S. federal ESIGN Act of 2000, the Uniform Electronic Transactions Act or other applicable law (e.g., www.docusign.com), such signature shall create a valid and binding obligation of the party executing (or on whose behalf such signature is executed) with the same force and effect as if such “.pdf” or “electronic” signature page were an original thereof.</w:t>
      </w:r>
    </w:p>
    <w:p>
      <w:pPr>
        <w:spacing w:after="0" w:line="185"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5.12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5" w:lineRule="exact"/>
        <w:rPr>
          <w:sz w:val="20"/>
          <w:szCs w:val="20"/>
          <w:color w:val="auto"/>
        </w:rPr>
      </w:pPr>
    </w:p>
    <w:p>
      <w:pPr>
        <w:jc w:val="both"/>
        <w:ind w:firstLine="640"/>
        <w:spacing w:after="0" w:line="267" w:lineRule="auto"/>
        <w:rPr>
          <w:sz w:val="20"/>
          <w:szCs w:val="20"/>
          <w:color w:val="auto"/>
        </w:rPr>
      </w:pPr>
      <w:r>
        <w:rPr>
          <w:rFonts w:ascii="Times New Roman" w:cs="Times New Roman" w:eastAsia="Times New Roman" w:hAnsi="Times New Roman"/>
          <w:sz w:val="17"/>
          <w:szCs w:val="17"/>
          <w:color w:val="auto"/>
        </w:rPr>
        <w:t>5.13        </w:t>
      </w:r>
      <w:r>
        <w:rPr>
          <w:rFonts w:ascii="Times New Roman" w:cs="Times New Roman" w:eastAsia="Times New Roman" w:hAnsi="Times New Roman"/>
          <w:sz w:val="17"/>
          <w:szCs w:val="17"/>
          <w:u w:val="single" w:color="auto"/>
          <w:color w:val="auto"/>
        </w:rPr>
        <w:t>  Rescission and Withdrawal Right</w:t>
      </w:r>
      <w:r>
        <w:rPr>
          <w:rFonts w:ascii="Times New Roman" w:cs="Times New Roman" w:eastAsia="Times New Roman" w:hAnsi="Times New Roman"/>
          <w:sz w:val="17"/>
          <w:szCs w:val="17"/>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3" w:lineRule="exact"/>
        <w:rPr>
          <w:sz w:val="20"/>
          <w:szCs w:val="20"/>
          <w:color w:val="auto"/>
        </w:rPr>
      </w:pPr>
    </w:p>
    <w:p>
      <w:pPr>
        <w:jc w:val="both"/>
        <w:ind w:firstLine="7"/>
        <w:spacing w:after="0" w:line="250" w:lineRule="auto"/>
        <w:tabs>
          <w:tab w:leader="none" w:pos="1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however, that, in the case of a rescission of an exercise of a Warrant, the applicable Purchaser shall be required to return any Common Shares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1" w:name="page52"/>
    <w:bookmarkEnd w:id="51"/>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5.14        </w:t>
      </w:r>
      <w:r>
        <w:rPr>
          <w:rFonts w:ascii="Times New Roman" w:cs="Times New Roman" w:eastAsia="Times New Roman" w:hAnsi="Times New Roman"/>
          <w:sz w:val="18"/>
          <w:szCs w:val="18"/>
          <w:u w:val="single" w:color="auto"/>
          <w:color w:val="auto"/>
        </w:rPr>
        <w:t>  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5.15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1"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5.16        </w:t>
      </w:r>
      <w:r>
        <w:rPr>
          <w:rFonts w:ascii="Times New Roman" w:cs="Times New Roman" w:eastAsia="Times New Roman" w:hAnsi="Times New Roman"/>
          <w:sz w:val="18"/>
          <w:szCs w:val="18"/>
          <w:u w:val="single" w:color="auto"/>
          <w:color w:val="auto"/>
        </w:rPr>
        <w:t>  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5"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5.17        </w:t>
      </w:r>
      <w:r>
        <w:rPr>
          <w:rFonts w:ascii="Times New Roman" w:cs="Times New Roman" w:eastAsia="Times New Roman" w:hAnsi="Times New Roman"/>
          <w:sz w:val="18"/>
          <w:szCs w:val="18"/>
          <w:u w:val="single" w:color="auto"/>
          <w:color w:val="auto"/>
        </w:rPr>
        <w:t>  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2" w:name="page53"/>
    <w:bookmarkEnd w:id="52"/>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5.18        </w:t>
      </w:r>
      <w:r>
        <w:rPr>
          <w:rFonts w:ascii="Times New Roman" w:cs="Times New Roman" w:eastAsia="Times New Roman" w:hAnsi="Times New Roman"/>
          <w:sz w:val="18"/>
          <w:szCs w:val="18"/>
          <w:u w:val="single" w:color="auto"/>
          <w:color w:val="auto"/>
        </w:rPr>
        <w:t>  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5.19        </w:t>
      </w:r>
      <w:r>
        <w:rPr>
          <w:rFonts w:ascii="Times New Roman" w:cs="Times New Roman" w:eastAsia="Times New Roman" w:hAnsi="Times New Roman"/>
          <w:sz w:val="18"/>
          <w:szCs w:val="18"/>
          <w:u w:val="single" w:color="auto"/>
          <w:color w:val="auto"/>
        </w:rPr>
        <w:t>  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Common Shares in any Transaction Document shall be subject to adjustment for reverse and forward stock splits, stock dividends, stock combinations and other similar transactions of the Common Shares that occur after the date of this Agreement.</w:t>
      </w:r>
    </w:p>
    <w:p>
      <w:pPr>
        <w:spacing w:after="0" w:line="182"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5.20         </w:t>
      </w:r>
      <w:r>
        <w:rPr>
          <w:rFonts w:ascii="Times New Roman" w:cs="Times New Roman" w:eastAsia="Times New Roman" w:hAnsi="Times New Roman"/>
          <w:sz w:val="18"/>
          <w:szCs w:val="18"/>
          <w:b w:val="1"/>
          <w:bCs w:val="1"/>
          <w:color w:val="auto"/>
        </w:rPr>
        <w:t>WAIVER OF JURY TRIAL. 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AGAINST ANY OTHER PARTY, THE PARTIES EACH KNOWINGLY AND INTENTIONALLY, TO THE GREATEST EXTENT PERMITTED BY APPLICABLE LAW, HEREBY ABSOLUTELY, UNCONDITIONALLY, IRREVOCABLY AND EXPRESSLY WAIVES FOREVER TRIAL BY JURY.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3" w:name="page54"/>
    <w:bookmarkEnd w:id="53"/>
    <w:p>
      <w:pPr>
        <w:ind w:firstLine="640"/>
        <w:spacing w:after="0" w:line="277"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c>
          <w:tcPr>
            <w:tcW w:w="34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Address for Notice:</w:t>
            </w:r>
          </w:p>
        </w:tc>
        <w:tc>
          <w:tcPr>
            <w:tcW w:w="440" w:type="dxa"/>
            <w:vAlign w:val="bottom"/>
          </w:tcPr>
          <w:p>
            <w:pPr>
              <w:spacing w:after="0"/>
              <w:rPr>
                <w:sz w:val="17"/>
                <w:szCs w:val="17"/>
                <w:color w:val="auto"/>
              </w:rPr>
            </w:pPr>
          </w:p>
        </w:tc>
      </w:tr>
      <w:tr>
        <w:trPr>
          <w:trHeight w:val="447"/>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4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1111 West Hastings Street</w:t>
            </w:r>
          </w:p>
        </w:tc>
      </w:tr>
      <w:tr>
        <w:trPr>
          <w:trHeight w:val="188"/>
        </w:trPr>
        <w:tc>
          <w:tcPr>
            <w:tcW w:w="36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340" w:type="dxa"/>
            <w:vAlign w:val="bottom"/>
          </w:tcPr>
          <w:p>
            <w:pPr>
              <w:spacing w:after="0"/>
              <w:rPr>
                <w:sz w:val="16"/>
                <w:szCs w:val="16"/>
                <w:color w:val="auto"/>
              </w:rPr>
            </w:pPr>
          </w:p>
        </w:tc>
        <w:tc>
          <w:tcPr>
            <w:tcW w:w="18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15th Floor</w:t>
            </w:r>
          </w:p>
        </w:tc>
      </w:tr>
      <w:tr>
        <w:trPr>
          <w:trHeight w:val="232"/>
        </w:trPr>
        <w:tc>
          <w:tcPr>
            <w:tcW w:w="5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Title:</w:t>
            </w:r>
          </w:p>
        </w:tc>
        <w:tc>
          <w:tcPr>
            <w:tcW w:w="34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Vancouver, BC V6E 2J3</w:t>
            </w:r>
          </w:p>
        </w:tc>
      </w:tr>
      <w:tr>
        <w:trPr>
          <w:trHeight w:val="621"/>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1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Mintz, Levin, Cohn, Ferris, Glovsky and Popeo, P.C.</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 Daniel T. Kajunski</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Financial Center</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Boston, MA 02111</w:t>
            </w: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Securities Purchase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288290</wp:posOffset>
            </wp:positionV>
            <wp:extent cx="71342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color w:val="auto"/>
        </w:rPr>
        <w:t>[PURCHASER SIGNATURE PAGES TO SECURITIES PURCHASE AGREEMENT]</w:t>
      </w:r>
    </w:p>
    <w:p>
      <w:pPr>
        <w:spacing w:after="0" w:line="220"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1003935</wp:posOffset>
            </wp:positionH>
            <wp:positionV relativeFrom="paragraph">
              <wp:posOffset>15875</wp:posOffset>
            </wp:positionV>
            <wp:extent cx="54222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22265" cy="825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2291715</wp:posOffset>
            </wp:positionH>
            <wp:positionV relativeFrom="paragraph">
              <wp:posOffset>17145</wp:posOffset>
            </wp:positionV>
            <wp:extent cx="41344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13448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1503680</wp:posOffset>
            </wp:positionH>
            <wp:positionV relativeFrom="paragraph">
              <wp:posOffset>15875</wp:posOffset>
            </wp:positionV>
            <wp:extent cx="49225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22520" cy="825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15875</wp:posOffset>
            </wp:positionV>
            <wp:extent cx="49904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1859915</wp:posOffset>
            </wp:positionH>
            <wp:positionV relativeFrom="paragraph">
              <wp:posOffset>15875</wp:posOffset>
            </wp:positionV>
            <wp:extent cx="45669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56692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1097280</wp:posOffset>
            </wp:positionH>
            <wp:positionV relativeFrom="paragraph">
              <wp:posOffset>15875</wp:posOffset>
            </wp:positionV>
            <wp:extent cx="24822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82215" cy="8255"/>
                    </a:xfrm>
                    <a:prstGeom prst="rect">
                      <a:avLst/>
                    </a:prstGeom>
                    <a:noFill/>
                  </pic:spPr>
                </pic:pic>
              </a:graphicData>
            </a:graphic>
          </wp:anchor>
        </w:drawing>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040" w:type="dxa"/>
            <w:vAlign w:val="bottom"/>
            <w:tcBorders>
              <w:bottom w:val="single" w:sz="8" w:color="auto"/>
            </w:tcBorders>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15875</wp:posOffset>
            </wp:positionV>
            <wp:extent cx="56343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34355" cy="8255"/>
                    </a:xfrm>
                    <a:prstGeom prst="rect">
                      <a:avLst/>
                    </a:prstGeom>
                    <a:noFill/>
                  </pic:spPr>
                </pic:pic>
              </a:graphicData>
            </a:graphic>
          </wp:anchor>
        </w:drawing>
      </w:r>
    </w:p>
    <w:p>
      <w:pPr>
        <w:spacing w:after="0" w:line="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9.99%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19.99%</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15875</wp:posOffset>
            </wp:positionV>
            <wp:extent cx="57785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78500" cy="8255"/>
                    </a:xfrm>
                    <a:prstGeom prst="rect">
                      <a:avLst/>
                    </a:prstGeom>
                    <a:noFill/>
                  </pic:spPr>
                </pic:pic>
              </a:graphicData>
            </a:graphic>
          </wp:anchor>
        </w:drawing>
      </w:r>
    </w:p>
    <w:p>
      <w:pPr>
        <w:spacing w:after="0" w:line="213" w:lineRule="exact"/>
        <w:rPr>
          <w:sz w:val="20"/>
          <w:szCs w:val="20"/>
          <w:color w:val="auto"/>
        </w:rPr>
      </w:pPr>
    </w:p>
    <w:p>
      <w:pPr>
        <w:jc w:val="both"/>
        <w:ind w:firstLine="7"/>
        <w:spacing w:after="0" w:line="258" w:lineRule="auto"/>
        <w:tabs>
          <w:tab w:leader="none" w:pos="232" w:val="left"/>
        </w:tabs>
        <w:numPr>
          <w:ilvl w:val="0"/>
          <w:numId w:val="3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the above-signed, shall be unconditional and all conditions to Closing shall be disregarded, (ii) the Closing shall occur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17875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Please indicate amounts for Election Closing separately.</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Securities Purchase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342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Class B Purchase Warrant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287020</wp:posOffset>
            </wp:positionV>
            <wp:extent cx="71342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6" w:name="page57"/>
    <w:bookmarkEnd w:id="56"/>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registrant is filing this Exhibit 99.1 for the purpose of incorporating the information set forth herein by reference into the registration statement on Form S-3 (Reg. No. 333-275822) that was filed by the registrant with the Securities and Exchange Commission (the “SEC”) on November 30, 2023 and declared effective by the SEC on December 8, 2023.</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following table sets forth the estimated costs and expenses, other than sales commissions to the Agents, payable by the registrant in connection with the sale of the securities being registered: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14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56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11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114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11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114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Accountants’ fees and expenses</w:t>
            </w:r>
          </w:p>
        </w:tc>
        <w:tc>
          <w:tcPr>
            <w:tcW w:w="2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11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7"/>
        </w:trPr>
        <w:tc>
          <w:tcPr>
            <w:tcW w:w="1140" w:type="dxa"/>
            <w:vAlign w:val="bottom"/>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2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80" w:type="dxa"/>
            <w:vAlign w:val="bottom"/>
            <w:shd w:val="clear" w:color="auto" w:fill="CCEEFF"/>
          </w:tcPr>
          <w:p>
            <w:pPr>
              <w:spacing w:after="0"/>
              <w:rPr>
                <w:sz w:val="19"/>
                <w:szCs w:val="19"/>
                <w:color w:val="auto"/>
              </w:rPr>
            </w:pPr>
          </w:p>
        </w:tc>
        <w:tc>
          <w:tcPr>
            <w:tcW w:w="1120" w:type="dxa"/>
            <w:vAlign w:val="bottom"/>
          </w:tcPr>
          <w:p>
            <w:pPr>
              <w:spacing w:after="0"/>
              <w:rPr>
                <w:sz w:val="19"/>
                <w:szCs w:val="19"/>
                <w:color w:val="auto"/>
              </w:rPr>
            </w:pPr>
          </w:p>
        </w:tc>
      </w:tr>
      <w:tr>
        <w:trPr>
          <w:trHeight w:val="226"/>
        </w:trPr>
        <w:tc>
          <w:tcPr>
            <w:tcW w:w="114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tcPr>
          <w:p>
            <w:pPr>
              <w:spacing w:after="0"/>
              <w:rPr>
                <w:sz w:val="19"/>
                <w:szCs w:val="19"/>
                <w:color w:val="auto"/>
              </w:rPr>
            </w:pP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595,000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648"/>
        </w:trPr>
        <w:tc>
          <w:tcPr>
            <w:tcW w:w="114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1" w:right="339" w:bottom="1440" w:gutter="0" w:footer="0" w:header="0"/>
        </w:sectPr>
      </w:pPr>
    </w:p>
    <w:bookmarkStart w:id="57" w:name="page58"/>
    <w:bookmarkEnd w:id="57"/>
    <w:p>
      <w:pPr>
        <w:ind w:left="1014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Metals Company Announces US$17.5 Million Registered Direct Offering of Common Shares and Class B Warrants</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NEW YORK — November 14, 2024 — TMC the metals company Inc. (Nasdaq: TMC) (“TMC” or the “Company”), an explorer of lower-impact battery metals from seafloor polymetallic nodules, today announced that it has entered into a securities purchase agreement with certain existing investors of the Company and one new institutional investor for the purchase of an aggregate of 17,500,000 common shares of the Company (the “Shares”), without par value (“Common Shares”), and accompanying Class B warrants (the “Class B Warrants” and collectively with the Shares and Class B Warrants, the “Securities”) to purchase up to an aggregate of 8,750,000 Common Shares in a registered direct offering. Each Common Share and the accompanying Class B Warrant to purchase one half of a Common Share are being sold at a price of US$1.00. The Class B Warrants will be exercisable commencing immediately upon issuance at a price of $2.00 per share, subject to certain adjustments, will expire five years from issuance and the Company may also repurchase the Class B Warrants for $0.0001 per Common Share underlying the Class B Warrants if the volume weighted average per share price for the Common Shares for each trading day in a 30-consecutive trading day period exceeds $5.00.</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Gross proceeds to the Company from the offering are expected to be approximately US$17.5 million, before deducting the placement agent and financial advisors’ fees and other offering expenses payable by the Company and not including any proceeds to the Company from the exercise of the Class B Warrants. The closing of the offering is expected to take place on or before November 22, 2024. The Company intends to use the net proceeds from the offering on working capital and general corporate purposes.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A.G.P./Alliance Global Partners acted as a placement agent in the offering.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 and EAS Advisors, through Odeon Capital Group, LLC, are engaged as financial advisors by the Company.</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Securities are being offered by the Company pursuant to an effective shelf registration statement that was previously filed with the U.S. Securities and Exchange Commission (“SEC”) on November 30, 2023 and declared effective by the SEC on December 8, 2023 (Reg. No. 333-275822). The offering is being made only by means of a written prospectus and prospectus supplement that form a part of the registration statement. A prospectus supplement dated November 14, 2024 relating to and describing the terms of the offering will be filed with the SEC and will be available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Electronic copies of the prospectus supplement may be obtained, when available, from A.G.P./Alliance Global Partners, 590 Madison Avenue, 28th Floor, New York, NY 10022, or by telephone at (212) 624-2060, or by email at prospectus@allianceg.com.</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these securities, nor shall there be any sale of these securities in any state or jurisdiction in which such offer, solicitation or sale would be unlawful prior to the registration or qualification under the securities laws of any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411480</wp:posOffset>
            </wp:positionV>
            <wp:extent cx="71342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About The Metals Company</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Metals Company is an explorer of lower-impact battery metals from seafloor polymetallic nodules, on a dual mission: (1) supply metals for the global energy transition with the least possible negative impacts on planet and people and (2) trace, recover and recycle the metals the Company supplies to help create a metals commons that can be used in perpetuity.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This press release contains “forward-looking” statements and information within the meaning of the Private Securities Litigation Reform Act of 1995. These statements may be identified by words such as “believes,” “could,” “expects,” “may,” “plans,” “possible,” “potential,” “will” and variations of these words or similar expressions, although not all forward-looking statements contain these words. Forward-looking statements in this press release include, but are not limited to, statements with respect to whether the Company will offer and issue the securities and the terms of the offering, the anticipated gross proceeds from the offering and the anticipated use of proceeds from the offering.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among other things: risks relating to the need to satisfy regulatory and legal requirements with respect to the offering, risks relating to the Company’s ability to satisfy certain conditions to closing for the offering included in the securities purchase agreement on a timely basis or at all, as well as related to market and other conditions and the other risk factors that are described in the section entitled “Risk Factors” in the prospectus supplement and the Company’s Annual Report on Form 10-K and subsequent filings with the Securities and Exchange Commission (SEC), any of such risks could cause actual results to differ from those contained in the forward-looking statements. Any forward-looking statements contained in this press release speak only as of the date hereof, and the Company expressly disclaims any obligation to update any forward-looking statements contained herein, whether because of any new information, future events, changed circumstances or otherwise, except as otherwise required by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More Info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 </w:t>
      </w:r>
      <w:r>
        <w:rPr>
          <w:rFonts w:ascii="Times New Roman" w:cs="Times New Roman" w:eastAsia="Times New Roman" w:hAnsi="Times New Roman"/>
          <w:sz w:val="18"/>
          <w:szCs w:val="18"/>
          <w:u w:val="single" w:color="auto"/>
          <w:color w:val="auto"/>
        </w:rPr>
        <w:t>media@metals.co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Investors | </w:t>
      </w:r>
      <w:r>
        <w:rPr>
          <w:rFonts w:ascii="Times New Roman" w:cs="Times New Roman" w:eastAsia="Times New Roman" w:hAnsi="Times New Roman"/>
          <w:sz w:val="18"/>
          <w:szCs w:val="18"/>
          <w:u w:val="single" w:color="auto"/>
          <w:color w:val="auto"/>
        </w:rPr>
        <w:t>investors@metals.co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lowerLetter"/>
      <w:start w:val="4"/>
    </w:lvl>
  </w:abstractNum>
  <w:abstractNum w:abstractNumId="2">
    <w:nsid w:val="519B500D"/>
    <w:multiLevelType w:val="hybridMultilevel"/>
    <w:lvl w:ilvl="0">
      <w:lvlJc w:val="left"/>
      <w:lvlText w:val="%1)"/>
      <w:numFmt w:val="lowerLetter"/>
      <w:start w:val="1"/>
    </w:lvl>
  </w:abstractNum>
  <w:abstractNum w:abstractNumId="3">
    <w:nsid w:val="431BD7B7"/>
    <w:multiLevelType w:val="hybridMultilevel"/>
    <w:lvl w:ilvl="0">
      <w:lvlJc w:val="left"/>
      <w:lvlText w:val="%1"/>
      <w:numFmt w:val="upperLetter"/>
      <w:start w:val="1"/>
    </w:lvl>
    <w:lvl w:ilvl="1">
      <w:lvlJc w:val="left"/>
      <w:lvlText w:val="%2)"/>
      <w:numFmt w:val="lowerLetter"/>
      <w:start w:val="3"/>
    </w:lvl>
  </w:abstractNum>
  <w:abstractNum w:abstractNumId="4">
    <w:nsid w:val="3F2DBA31"/>
    <w:multiLevelType w:val="hybridMultilevel"/>
    <w:lvl w:ilvl="0">
      <w:lvlJc w:val="left"/>
      <w:lvlText w:val="(%1)"/>
      <w:numFmt w:val="upperLetter"/>
      <w:start w:val="1"/>
    </w:lvl>
    <w:lvl w:ilvl="1">
      <w:lvlJc w:val="left"/>
      <w:lvlText w:val="%2"/>
      <w:numFmt w:val="lowerLetter"/>
      <w:start w:val="1"/>
    </w:lvl>
  </w:abstractNum>
  <w:abstractNum w:abstractNumId="5">
    <w:nsid w:val="7C83E458"/>
    <w:multiLevelType w:val="hybridMultilevel"/>
    <w:lvl w:ilvl="0">
      <w:lvlJc w:val="left"/>
      <w:lvlText w:val="(%1)"/>
      <w:numFmt w:val="upperLetter"/>
      <w:start w:val="24"/>
    </w:lvl>
  </w:abstractNum>
  <w:abstractNum w:abstractNumId="6">
    <w:nsid w:val="257130A3"/>
    <w:multiLevelType w:val="hybridMultilevel"/>
    <w:lvl w:ilvl="0">
      <w:lvlJc w:val="left"/>
      <w:lvlText w:val="%1)"/>
      <w:numFmt w:val="lowerLetter"/>
      <w:start w:val="4"/>
    </w:lvl>
    <w:lvl w:ilvl="1">
      <w:lvlJc w:val="left"/>
      <w:lvlText w:val="%2."/>
      <w:numFmt w:val="lowerRoman"/>
      <w:start w:val="1"/>
    </w:lvl>
  </w:abstractNum>
  <w:abstractNum w:abstractNumId="7">
    <w:nsid w:val="62BBD95A"/>
    <w:multiLevelType w:val="hybridMultilevel"/>
    <w:lvl w:ilvl="0">
      <w:lvlJc w:val="left"/>
      <w:lvlText w:val="%1"/>
      <w:numFmt w:val="lowerLetter"/>
      <w:start w:val="1"/>
    </w:lvl>
    <w:lvl w:ilvl="1">
      <w:lvlJc w:val="left"/>
      <w:lvlText w:val="%2."/>
      <w:numFmt w:val="lowerRoman"/>
      <w:start w:val="6"/>
    </w:lvl>
  </w:abstractNum>
  <w:abstractNum w:abstractNumId="8">
    <w:nsid w:val="436C6125"/>
    <w:multiLevelType w:val="hybridMultilevel"/>
    <w:lvl w:ilvl="0">
      <w:lvlJc w:val="left"/>
      <w:lvlText w:val="%1)"/>
      <w:numFmt w:val="lowerLetter"/>
      <w:start w:val="5"/>
    </w:lvl>
    <w:lvl w:ilvl="1">
      <w:lvlJc w:val="left"/>
      <w:lvlText w:val="%2"/>
      <w:numFmt w:val="lowerRoman"/>
      <w:start w:val="1"/>
    </w:lvl>
  </w:abstractNum>
  <w:abstractNum w:abstractNumId="9">
    <w:nsid w:val="628C895D"/>
    <w:multiLevelType w:val="hybridMultilevel"/>
    <w:lvl w:ilvl="0">
      <w:lvlJc w:val="left"/>
      <w:lvlText w:val="%1"/>
      <w:numFmt w:val="lowerRoman"/>
      <w:start w:val="1"/>
    </w:lvl>
    <w:lvl w:ilvl="1">
      <w:lvlJc w:val="left"/>
      <w:lvlText w:val="%2)"/>
      <w:numFmt w:val="lowerLetter"/>
      <w:start w:val="6"/>
    </w:lvl>
  </w:abstractNum>
  <w:abstractNum w:abstractNumId="10">
    <w:nsid w:val="333AB105"/>
    <w:multiLevelType w:val="hybridMultilevel"/>
    <w:lvl w:ilvl="0">
      <w:lvlJc w:val="left"/>
      <w:lvlText w:val="(%1)"/>
      <w:numFmt w:val="lowerRoman"/>
      <w:start w:val="10"/>
    </w:lvl>
    <w:lvl w:ilvl="1">
      <w:lvlJc w:val="left"/>
      <w:lvlText w:val="%2)"/>
      <w:numFmt w:val="lowerLetter"/>
      <w:start w:val="7"/>
    </w:lvl>
  </w:abstractNum>
  <w:abstractNum w:abstractNumId="11">
    <w:nsid w:val="721DA317"/>
    <w:multiLevelType w:val="hybridMultilevel"/>
    <w:lvl w:ilvl="0">
      <w:lvlJc w:val="left"/>
      <w:lvlText w:val="%1)"/>
      <w:numFmt w:val="lowerLetter"/>
      <w:start w:val="1"/>
    </w:lvl>
  </w:abstractNum>
  <w:abstractNum w:abstractNumId="12">
    <w:nsid w:val="2443A858"/>
    <w:multiLevelType w:val="hybridMultilevel"/>
    <w:lvl w:ilvl="0">
      <w:lvlJc w:val="left"/>
      <w:lvlText w:val="%1)"/>
      <w:numFmt w:val="lowerLetter"/>
      <w:start w:val="2"/>
    </w:lvl>
  </w:abstractNum>
  <w:abstractNum w:abstractNumId="13">
    <w:nsid w:val="2D1D5AE9"/>
    <w:multiLevelType w:val="hybridMultilevel"/>
    <w:lvl w:ilvl="0">
      <w:lvlJc w:val="left"/>
      <w:lvlText w:val="%1)"/>
      <w:numFmt w:val="lowerLetter"/>
      <w:start w:val="4"/>
    </w:lvl>
  </w:abstractNum>
  <w:abstractNum w:abstractNumId="14">
    <w:nsid w:val="6763845E"/>
    <w:multiLevelType w:val="hybridMultilevel"/>
    <w:lvl w:ilvl="0">
      <w:lvlJc w:val="left"/>
      <w:lvlText w:val="%1)"/>
      <w:numFmt w:val="lowerLetter"/>
      <w:start w:val="7"/>
    </w:lvl>
    <w:lvl w:ilvl="1">
      <w:lvlJc w:val="left"/>
      <w:lvlText w:val="%2."/>
      <w:numFmt w:val="lowerRoman"/>
      <w:start w:val="1"/>
    </w:lvl>
  </w:abstractNum>
  <w:abstractNum w:abstractNumId="15">
    <w:nsid w:val="75A2A8D4"/>
    <w:multiLevelType w:val="hybridMultilevel"/>
    <w:lvl w:ilvl="0">
      <w:lvlJc w:val="left"/>
      <w:lvlText w:val="%1)"/>
      <w:numFmt w:val="lowerLetter"/>
      <w:start w:val="1"/>
    </w:lvl>
  </w:abstractNum>
  <w:abstractNum w:abstractNumId="16">
    <w:nsid w:val="8EDBDAB"/>
    <w:multiLevelType w:val="hybridMultilevel"/>
    <w:lvl w:ilvl="0">
      <w:lvlJc w:val="left"/>
      <w:lvlText w:val="%1)"/>
      <w:numFmt w:val="lowerLetter"/>
      <w:start w:val="2"/>
    </w:lvl>
  </w:abstractNum>
  <w:abstractNum w:abstractNumId="17">
    <w:nsid w:val="79838CB2"/>
    <w:multiLevelType w:val="hybridMultilevel"/>
    <w:lvl w:ilvl="0">
      <w:lvlJc w:val="left"/>
      <w:lvlText w:val="%1)"/>
      <w:numFmt w:val="lowerLetter"/>
      <w:start w:val="1"/>
    </w:lvl>
  </w:abstractNum>
  <w:abstractNum w:abstractNumId="18">
    <w:nsid w:val="4353D0CD"/>
    <w:multiLevelType w:val="hybridMultilevel"/>
    <w:lvl w:ilvl="0">
      <w:lvlJc w:val="left"/>
      <w:lvlText w:val="%1)"/>
      <w:numFmt w:val="lowerLetter"/>
      <w:start w:val="5"/>
    </w:lvl>
  </w:abstractNum>
  <w:abstractNum w:abstractNumId="19">
    <w:nsid w:val="B03E0C6"/>
    <w:multiLevelType w:val="hybridMultilevel"/>
    <w:lvl w:ilvl="0">
      <w:lvlJc w:val="left"/>
      <w:lvlText w:val="(%1)"/>
      <w:numFmt w:val="upperLetter"/>
      <w:start w:val="1"/>
    </w:lvl>
    <w:lvl w:ilvl="1">
      <w:lvlJc w:val="left"/>
      <w:lvlText w:val="%2)"/>
      <w:numFmt w:val="lowerLetter"/>
      <w:start w:val="9"/>
    </w:lvl>
  </w:abstractNum>
  <w:abstractNum w:abstractNumId="20">
    <w:nsid w:val="189A769B"/>
    <w:multiLevelType w:val="hybridMultilevel"/>
    <w:lvl w:ilvl="0">
      <w:lvlJc w:val="left"/>
      <w:lvlText w:val="(%1)"/>
      <w:numFmt w:val="decimal"/>
      <w:start w:val="1"/>
    </w:lvl>
    <w:lvl w:ilvl="1">
      <w:lvlJc w:val="left"/>
      <w:lvlText w:val="☐"/>
      <w:numFmt w:val="bullet"/>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5"/>
    </w:lvl>
  </w:abstractNum>
  <w:abstractNum w:abstractNumId="23">
    <w:nsid w:val="2CA88611"/>
    <w:multiLevelType w:val="hybridMultilevel"/>
    <w:lvl w:ilvl="0">
      <w:lvlJc w:val="left"/>
      <w:lvlText w:val="(%1)"/>
      <w:numFmt w:val="lowerRoman"/>
      <w:start w:val="1"/>
    </w:lvl>
  </w:abstractNum>
  <w:abstractNum w:abstractNumId="24">
    <w:nsid w:val="836C40E"/>
    <w:multiLevelType w:val="hybridMultilevel"/>
    <w:lvl w:ilvl="0">
      <w:lvlJc w:val="left"/>
      <w:lvlText w:val="(%1)"/>
      <w:numFmt w:val="lowerRoman"/>
      <w:start w:val="2"/>
    </w:lvl>
  </w:abstractNum>
  <w:abstractNum w:abstractNumId="25">
    <w:nsid w:val="2901D82"/>
    <w:multiLevelType w:val="hybridMultilevel"/>
    <w:lvl w:ilvl="0">
      <w:lvlJc w:val="left"/>
      <w:lvlText w:val="(%1)"/>
      <w:numFmt w:val="lowerRoman"/>
      <w:start w:val="2"/>
    </w:lvl>
  </w:abstractNum>
  <w:abstractNum w:abstractNumId="26">
    <w:nsid w:val="3A95F874"/>
    <w:multiLevelType w:val="hybridMultilevel"/>
    <w:lvl w:ilvl="0">
      <w:lvlJc w:val="left"/>
      <w:lvlText w:val="(%1)"/>
      <w:numFmt w:val="decimal"/>
      <w:start w:val="2"/>
    </w:lvl>
  </w:abstractNum>
  <w:abstractNum w:abstractNumId="27">
    <w:nsid w:val="8138641"/>
    <w:multiLevelType w:val="hybridMultilevel"/>
    <w:lvl w:ilvl="0">
      <w:lvlJc w:val="left"/>
      <w:lvlText w:val="(%1)"/>
      <w:numFmt w:val="lowerRoman"/>
      <w:start w:val="4"/>
    </w:lvl>
  </w:abstractNum>
  <w:abstractNum w:abstractNumId="28">
    <w:nsid w:val="1E7FF521"/>
    <w:multiLevelType w:val="hybridMultilevel"/>
    <w:lvl w:ilvl="0">
      <w:lvlJc w:val="left"/>
      <w:lvlText w:val="(%1)"/>
      <w:numFmt w:val="decimal"/>
      <w:start w:val="2"/>
    </w:lvl>
  </w:abstractNum>
  <w:abstractNum w:abstractNumId="29">
    <w:nsid w:val="7C3DBD3D"/>
    <w:multiLevelType w:val="hybridMultilevel"/>
    <w:lvl w:ilvl="0">
      <w:lvlJc w:val="left"/>
      <w:lvlText w:val="(%1)"/>
      <w:numFmt w:val="lowerRoman"/>
      <w:start w:val="2"/>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2024-11-15T16:40:27Z</dcterms:created>
  <dcterms:modified xsi:type="dcterms:W3CDTF">2024-11-15T16:40:27Z</dcterms:modified>
</cp:coreProperties>
</file>