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Daniel T. Kajunski</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One Financial Center</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617.348.1715</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Boston, MA 02111</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Dtkajunski@mintz.com</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617.542.6000</w:t>
            </w:r>
          </w:p>
        </w:tc>
      </w:tr>
      <w:tr>
        <w:trPr>
          <w:trHeight w:val="234"/>
        </w:trPr>
        <w:tc>
          <w:tcPr>
            <w:tcW w:w="5720" w:type="dxa"/>
            <w:vAlign w:val="bottom"/>
          </w:tcPr>
          <w:p>
            <w:pPr>
              <w:spacing w:after="0"/>
              <w:rPr>
                <w:sz w:val="20"/>
                <w:szCs w:val="20"/>
                <w:color w:val="auto"/>
              </w:rPr>
            </w:pP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mintz.com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3356610</wp:posOffset>
            </wp:positionH>
            <wp:positionV relativeFrom="paragraph">
              <wp:posOffset>-548005</wp:posOffset>
            </wp:positionV>
            <wp:extent cx="694055" cy="968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055" cy="968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8,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 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Joanna Lam; Kevin Dougherty</w:t>
      </w:r>
    </w:p>
    <w:p>
      <w:pPr>
        <w:spacing w:after="0" w:line="203" w:lineRule="exact"/>
        <w:rPr>
          <w:sz w:val="24"/>
          <w:szCs w:val="24"/>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Re:</w:t>
        <w:tab/>
        <w:t>TMC the metals company Inc.</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2023</w:t>
      </w:r>
    </w:p>
    <w:p>
      <w:pPr>
        <w:spacing w:after="0" w:line="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Filed March 25, 2024</w:t>
      </w:r>
    </w:p>
    <w:p>
      <w:pPr>
        <w:spacing w:after="0" w:line="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File Number: 001-39281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TMC the metals company Inc., a company existing under the laws of British Columbia, Canada (the “Company”), we are submitting the Company’s response to the comment letter, dated December 20, 2024, of the staff of the Division of Corporation Finance, Office of Energy &amp; Transportation (the “Staff”) of the Securities and Exchange Commission (the “Commission”) in reference to the Company’s Annual Report on Form 10-K for the fiscal year ended December 31, 2023, which was initially filed with the Commission on March 25, 2024 (as amended, the “Form 10-K”).</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facilitate the Staff’s review, we have repeated the comment in its entirety in italicized text followed by the Company’s response. The response below is based on information provided to us by representatives of the Company. Unless otherwise stated, all references to “TMC,” the “Company” and similar designations refer to TMC the metals company Inc. and its subsidiaries. Page numbers referred to in the body of this letter reference page numbers in the Form 10-K unless otherwise indicated.</w:t>
      </w:r>
    </w:p>
    <w:p>
      <w:pPr>
        <w:spacing w:after="0" w:line="193" w:lineRule="exact"/>
        <w:rPr>
          <w:sz w:val="24"/>
          <w:szCs w:val="24"/>
          <w:color w:val="auto"/>
        </w:rPr>
      </w:pPr>
    </w:p>
    <w:p>
      <w:pPr>
        <w:jc w:val="center"/>
        <w:spacing w:after="0"/>
        <w:tabs>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BOSTON</w:t>
        <w:tab/>
        <w:t>LOS ANGELES</w:t>
        <w:tab/>
        <w:t>MIAMI</w:t>
        <w:tab/>
        <w:t>NEW YORK</w:t>
        <w:tab/>
        <w:t>SAN DIEGO</w:t>
        <w:tab/>
        <w:t>SAN FRANCISCO</w:t>
        <w:tab/>
        <w:t>TORONTO</w:t>
      </w:r>
      <w:r>
        <w:rPr>
          <w:sz w:val="20"/>
          <w:szCs w:val="20"/>
          <w:color w:val="auto"/>
        </w:rPr>
        <w:tab/>
      </w:r>
      <w:r>
        <w:rPr>
          <w:rFonts w:ascii="Times New Roman" w:cs="Times New Roman" w:eastAsia="Times New Roman" w:hAnsi="Times New Roman"/>
          <w:sz w:val="17"/>
          <w:szCs w:val="17"/>
          <w:color w:val="auto"/>
        </w:rPr>
        <w:t>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-116840</wp:posOffset>
            </wp:positionV>
            <wp:extent cx="50609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6172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ability to generate revenue will be diminished if we are unable to compete with substitutions for the minerals..., page 56</w:t>
      </w:r>
    </w:p>
    <w:p>
      <w:pPr>
        <w:spacing w:after="0" w:line="205" w:lineRule="exact"/>
        <w:rPr>
          <w:sz w:val="20"/>
          <w:szCs w:val="20"/>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graphic on page 11 of the evolution of cathode chemistry across passenger EVs, which discloses LFP batteries growing their market share from 4% in 2015 to 42% in 2023. Accordingly, please revise this risk factor to disclose not just that “if these industries shift to new technologies or products (e.g., nickel-rich battery chemistries could be replaced by other battery chemistries that do not use nickel or cobalt such as lithium iron phosphate (LFP)...)...it could result in a decline in demand for our metal products”; but to also disclose the present increase in usage of LFP battery chemistry in EVs and any impact on the demand for your proposed products.</w:t>
      </w:r>
    </w:p>
    <w:p>
      <w:pPr>
        <w:spacing w:after="0" w:line="181" w:lineRule="exact"/>
        <w:rPr>
          <w:rFonts w:ascii="Times New Roman" w:cs="Times New Roman" w:eastAsia="Times New Roman" w:hAnsi="Times New Roman"/>
          <w:sz w:val="18"/>
          <w:szCs w:val="18"/>
          <w:i w:val="1"/>
          <w:iCs w:val="1"/>
          <w:color w:val="auto"/>
        </w:rPr>
      </w:pPr>
    </w:p>
    <w:p>
      <w:pPr>
        <w:jc w:val="both"/>
        <w:ind w:left="660"/>
        <w:spacing w:after="0" w:line="25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response to the Staff’s comment, the Company will expand its risk factor disclosure relative to changing battery chemistries to provide substantially the disclosure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Note that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new disclosure has been bolded and underlined and deletions to existing disclosure have been shown in strikethrough to show a comparison of the new disclosure to the disclosure as set forth in the Form 10-K, and the entire disclosure will be subject to further revision to reflect future developments with respect to battery chemistries and the Company’s business. The Company intends to include the new disclosure in all its future filings where such disclosure is applicable, beginning in the Company’s Annual Report on Form 10-K for the fiscal year ended December 31, 2024.</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the above response will be acceptable to the Staff. If you have any questions or comments regarding the information in this letter, kindly contact the undersigned at (617) 348-1715 or Craig Shesky, Chief Financial Officer of the Company, at (888) 458-3420. Thank you for your time and attention.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T. Kajunski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Daniel T. Kajunski</w:t>
      </w:r>
    </w:p>
    <w:p>
      <w:pPr>
        <w:spacing w:after="0" w:line="218" w:lineRule="exact"/>
        <w:rPr>
          <w:sz w:val="20"/>
          <w:szCs w:val="20"/>
          <w:color w:val="auto"/>
        </w:rPr>
      </w:pPr>
    </w:p>
    <w:p>
      <w:pPr>
        <w:ind w:left="580" w:right="7960" w:hanging="572"/>
        <w:spacing w:after="0" w:line="262"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 xml:space="preserve">Securities and Exchange Commission </w:t>
      </w:r>
      <w:r>
        <w:rPr>
          <w:rFonts w:ascii="Times New Roman" w:cs="Times New Roman" w:eastAsia="Times New Roman" w:hAnsi="Times New Roman"/>
          <w:sz w:val="18"/>
          <w:szCs w:val="18"/>
          <w:i w:val="1"/>
          <w:iCs w:val="1"/>
          <w:color w:val="auto"/>
        </w:rPr>
        <w:t>Craig Arakawa</w:t>
      </w: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Daniel Morris</w:t>
      </w:r>
    </w:p>
    <w:p>
      <w:pPr>
        <w:spacing w:after="0" w:line="204"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TMC the metals company Inc.</w:t>
      </w:r>
    </w:p>
    <w:p>
      <w:pPr>
        <w:spacing w:after="0" w:line="29"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Craig Shesky, Chief Financial Officer</w:t>
      </w:r>
    </w:p>
    <w:p>
      <w:pPr>
        <w:spacing w:after="0" w:line="9"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Ryan Coombes, Esq.,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Proposed Revised Risk Factor Disclosure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Our ability to generate revenue will be diminished if we are unable to compete with substitutions for the minerals that we intend to process </w:t>
      </w:r>
      <w:r>
        <w:rPr>
          <w:rFonts w:ascii="Times New Roman" w:cs="Times New Roman" w:eastAsia="Times New Roman" w:hAnsi="Times New Roman"/>
          <w:sz w:val="18"/>
          <w:szCs w:val="18"/>
          <w:b w:val="1"/>
          <w:bCs w:val="1"/>
          <w:i w:val="1"/>
          <w:iCs w:val="1"/>
          <w:u w:val="single" w:color="auto"/>
          <w:color w:val="auto"/>
        </w:rPr>
        <w:t>or adapt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shifts in end-market demand</w:t>
      </w:r>
      <w:r>
        <w:rPr>
          <w:rFonts w:ascii="Times New Roman" w:cs="Times New Roman" w:eastAsia="Times New Roman" w:hAnsi="Times New Roman"/>
          <w:sz w:val="18"/>
          <w:szCs w:val="18"/>
          <w:b w:val="1"/>
          <w:bCs w:val="1"/>
          <w:i w:val="1"/>
          <w:iCs w:val="1"/>
          <w:color w:val="auto"/>
        </w:rPr>
        <w: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Technology changes rapidly in the industries and end markets that utilize </w:t>
      </w:r>
      <w:r>
        <w:rPr>
          <w:rFonts w:ascii="Times New Roman" w:cs="Times New Roman" w:eastAsia="Times New Roman" w:hAnsi="Times New Roman"/>
          <w:sz w:val="18"/>
          <w:szCs w:val="18"/>
          <w:color w:val="auto"/>
          <w:strike w:val="1"/>
        </w:rPr>
        <w:t>our materials.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four metals contained in polymetallic nodules found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CCZ, nickel, manganese, cobalt and copper. Some of these changes have resulted, and may continue to result, in decreased use of nickel, manganese, cobalt and/or copper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industries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shift to new technologies or products (e.g., nickel rich battery chemistries could be replaced by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battery chemistries that do not use nickel or cobalt such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 end markets. For instance, the adoption of</w:t>
      </w:r>
      <w:r>
        <w:rPr>
          <w:rFonts w:ascii="Times New Roman" w:cs="Times New Roman" w:eastAsia="Times New Roman" w:hAnsi="Times New Roman"/>
          <w:sz w:val="18"/>
          <w:szCs w:val="18"/>
          <w:color w:val="auto"/>
        </w:rPr>
        <w:t xml:space="preserve"> lithium iron phosphate </w:t>
      </w:r>
      <w:r>
        <w:rPr>
          <w:rFonts w:ascii="Times New Roman" w:cs="Times New Roman" w:eastAsia="Times New Roman" w:hAnsi="Times New Roman"/>
          <w:sz w:val="18"/>
          <w:szCs w:val="18"/>
          <w:color w:val="auto"/>
          <w:strike w:val="1"/>
        </w:rPr>
        <w:t>(LFP)</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auto"/>
          <w:strike w:val="1"/>
        </w:rPr>
        <w:t>copper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be </w:t>
      </w:r>
      <w:r>
        <w:rPr>
          <w:rFonts w:ascii="Times New Roman" w:cs="Times New Roman" w:eastAsia="Times New Roman" w:hAnsi="Times New Roman"/>
          <w:sz w:val="18"/>
          <w:szCs w:val="18"/>
          <w:b w:val="1"/>
          <w:bCs w:val="1"/>
          <w:u w:val="single" w:color="auto"/>
          <w:color w:val="auto"/>
          <w:strike w:val="1"/>
        </w:rPr>
        <w:t>LFP, battery chemistries has grown substantially from 4% of the batteries used in passenger EVs in 2015 to an estimated 42% in 2023. The</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b w:val="1"/>
          <w:bCs w:val="1"/>
          <w:u w:val="single" w:color="auto"/>
          <w:color w:val="auto"/>
          <w:strike w:val="1"/>
        </w:rPr>
        <w:t>continuation of this trend in the use of LFP battery chemistries will decrease the overall demand for nickel- and cobalt-rich battery chemistries in EV use. Additionally, copper is</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increasingly</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being</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substituted</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by aluminum) or</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with aluminum or other materials in electrical and infrastructure</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applications, potentially reducing the overall market demand for copper.</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Although we are actively monitoring these technological changes and shifts in end-market demand and taking steps designed to diversify the potential applications and markets for our metals, as these industries shift to new or substitute technologies or products or if these industries and end markets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less of the metals that we intend to collect and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or if suitable substitutes become available,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and our diversification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efforts are not successful, there could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result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decline in demand for our metal products. If the demand for our metal products decreases, it will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material adverse effect on our business and the results of our operations and financial condition.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2025-03-05T23:12:22Z</dcterms:created>
  <dcterms:modified xsi:type="dcterms:W3CDTF">2025-03-05T23:12:22Z</dcterms:modified>
</cp:coreProperties>
</file>