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January 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TMC THE METALS COMPANY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480" w:type="dxa"/>
        <w:tblCellMar>
          <w:top w:w="0" w:type="dxa"/>
          <w:left w:w="0" w:type="dxa"/>
          <w:bottom w:w="0" w:type="dxa"/>
          <w:right w:w="0" w:type="dxa"/>
        </w:tblCellMar>
      </w:tblPr>
      <w:tr>
        <w:trPr>
          <w:trHeight w:val="220"/>
        </w:trPr>
        <w:tc>
          <w:tcPr>
            <w:tcW w:w="35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British Columbia, Canada</w:t>
            </w:r>
          </w:p>
        </w:tc>
        <w:tc>
          <w:tcPr>
            <w:tcW w:w="3680" w:type="dxa"/>
            <w:vAlign w:val="bottom"/>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001-39281</w:t>
            </w: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216"/>
        </w:trPr>
        <w:tc>
          <w:tcPr>
            <w:tcW w:w="354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6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36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54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incorporation)</w:t>
            </w:r>
          </w:p>
        </w:tc>
        <w:tc>
          <w:tcPr>
            <w:tcW w:w="3680" w:type="dxa"/>
            <w:vAlign w:val="bottom"/>
          </w:tcPr>
          <w:p>
            <w:pPr>
              <w:spacing w:after="0"/>
              <w:rPr>
                <w:sz w:val="20"/>
                <w:szCs w:val="20"/>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7"/>
        </w:trPr>
        <w:tc>
          <w:tcPr>
            <w:tcW w:w="35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1111 West Hastings Street, 15th Floor</w:t>
            </w:r>
          </w:p>
        </w:tc>
        <w:tc>
          <w:tcPr>
            <w:tcW w:w="36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20"/>
        </w:trPr>
        <w:tc>
          <w:tcPr>
            <w:tcW w:w="35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Vancouver, British Columbia</w:t>
            </w:r>
          </w:p>
        </w:tc>
        <w:tc>
          <w:tcPr>
            <w:tcW w:w="3680" w:type="dxa"/>
            <w:vAlign w:val="bottom"/>
          </w:tcPr>
          <w:p>
            <w:pPr>
              <w:spacing w:after="0"/>
              <w:rPr>
                <w:sz w:val="19"/>
                <w:szCs w:val="19"/>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V6E 2J3</w:t>
            </w:r>
          </w:p>
        </w:tc>
      </w:tr>
      <w:tr>
        <w:trPr>
          <w:trHeight w:val="216"/>
        </w:trPr>
        <w:tc>
          <w:tcPr>
            <w:tcW w:w="354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(Address of principal executive </w:t>
            </w:r>
          </w:p>
        </w:tc>
        <w:tc>
          <w:tcPr>
            <w:tcW w:w="3680" w:type="dxa"/>
            <w:vAlign w:val="bottom"/>
          </w:tcPr>
          <w:p>
            <w:pPr>
              <w:spacing w:after="0"/>
              <w:rPr>
                <w:sz w:val="18"/>
                <w:szCs w:val="18"/>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34"/>
        </w:trPr>
        <w:tc>
          <w:tcPr>
            <w:tcW w:w="354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offices)</w:t>
            </w:r>
          </w:p>
        </w:tc>
        <w:tc>
          <w:tcPr>
            <w:tcW w:w="3680" w:type="dxa"/>
            <w:vAlign w:val="bottom"/>
          </w:tcPr>
          <w:p>
            <w:pPr>
              <w:spacing w:after="0"/>
              <w:rPr>
                <w:sz w:val="20"/>
                <w:szCs w:val="20"/>
                <w:color w:val="auto"/>
              </w:rPr>
            </w:pPr>
          </w:p>
        </w:tc>
        <w:tc>
          <w:tcPr>
            <w:tcW w:w="23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(888) 458-3420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Name of each exchange on</w:t>
            </w:r>
          </w:p>
        </w:tc>
      </w:tr>
      <w:tr>
        <w:trPr>
          <w:trHeight w:val="238"/>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r>
      <w:tr>
        <w:trPr>
          <w:trHeight w:val="191"/>
        </w:trPr>
        <w:tc>
          <w:tcPr>
            <w:tcW w:w="38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TMC Common Shares without par value</w:t>
            </w:r>
          </w:p>
        </w:tc>
        <w:tc>
          <w:tcPr>
            <w:tcW w:w="1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TMC</w:t>
            </w:r>
          </w:p>
        </w:tc>
        <w:tc>
          <w:tcPr>
            <w:tcW w:w="1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Redeemable warrants, each whole warrant</w:t>
            </w:r>
          </w:p>
        </w:tc>
        <w:tc>
          <w:tcPr>
            <w:tcW w:w="3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TMCWW</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exercisable for one TMC Common Share, each at an</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3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exercise price of $11.50 per share</w:t>
            </w: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9040"/>
        <w:spacing w:after="0"/>
        <w:rPr>
          <w:sz w:val="20"/>
          <w:szCs w:val="20"/>
          <w:color w:val="auto"/>
        </w:rPr>
      </w:pPr>
      <w:r>
        <w:rPr>
          <w:rFonts w:ascii="Times New Roman" w:cs="Times New Roman" w:eastAsia="Times New Roman" w:hAnsi="Times New Roman"/>
          <w:sz w:val="17"/>
          <w:szCs w:val="17"/>
          <w:color w:val="auto"/>
        </w:rPr>
        <w:t xml:space="preserve">Emerging growth company </w:t>
      </w:r>
      <w:r>
        <w:rPr>
          <w:rFonts w:ascii="Wingdings" w:cs="Wingdings" w:eastAsia="Wingdings" w:hAnsi="Wingdings"/>
          <w:sz w:val="17"/>
          <w:szCs w:val="17"/>
          <w:b w:val="1"/>
          <w:bCs w:val="1"/>
          <w:color w:val="auto"/>
        </w:rPr>
        <w:t>x</w:t>
      </w:r>
    </w:p>
    <w:p>
      <w:pPr>
        <w:spacing w:after="0" w:line="237"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1" w:name="page2"/>
    <w:bookmarkEnd w:id="1"/>
    <w:p>
      <w:pPr>
        <w:ind w:left="8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7"/>
          <w:szCs w:val="17"/>
          <w:b w:val="1"/>
          <w:bCs w:val="1"/>
          <w:color w:val="auto"/>
        </w:rPr>
        <w:t>Notice of Delisting or Failure to Satisfy a Continued Listing Rule or Standard; Transfer of Listing.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January 6, 2025, TMC the metals company Inc. (the “Company”) received a written notice from The Nasdaq Stock Market LLC (“Nasdaq”) notifying the Company that the closing bid price of the Company’s common shares (the “Common Shares”) over the 34 consecutive trading days from November 7, 2024 through December 26, 2024 had fallen below $1.00 per share, which is the minimum closing bid price (the “Minimum Bid Price”) required to maintain listing on the Nasdaq Stock Market under Nasdaq Listing Rule 5450(a)(1) (the “Minimum Bid Requirement”).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Nasdaq Listing Rule 5810(c)(3)(A), the Company has 180 calendar days, or until July 7, 2025, to regain compliance with the Minimum Bid Requirement (the “Grace Period”), subject to a potential 180 calendar day extension, as described below. To regain compliance, the closing bid price of the Common Shares must be at least $1.00 per share for a minimum of 10 consecutive trading days before the Grace Period lapses.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received similar notifications from the Nasdaq in December 2022 and April 2023. After the closing bid price of the Common Shares exceeded the Minimum Bid Price for 10 consecutive trading days in each of the respective Grace Periods, the Company regained compliance with the Minimum Bid Requirement. The closing bid price of the Common Shares has exceeded the Minimum Bid Price on each of the nine consecutive trading days from December 27, 2024 through the date of this filing.</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the Company does not achieve compliance with the Minimum Bid Requirement by the Grace Period, the Company may be eligible for an additional 180 calendar day period to regain compliance. To qualify, the Company would be required, among other things, to meet the continued listing requirement for the market value of its publicly held shares and all other Nasdaq initial listing standards for the Nasdaq Capital Market, with the exception of the Minimum Bid Requirement, and would need to provide written notice to Nasdaq of its intention and plan to cure the deficiency during the second compliance period by effecting a reverse stock split if necessary. However, if it appears to Nasdaq staff that the Company will not be able to cure the deficiency, or if the Company does not meet the other listing standards, Nasdaq could provide notice that the Common Shares will be subject to delisting. In the event the Company receives notice that its Common Shares are being delisted, the Company would be entitled to appeal the determination to a Nasdaq Listing Qualifications Panel and request a hearing.</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notice has no immediate effect on the listing or trading of the Common Shares or warrants, which will both continue to be listed and traded on the Nasdaq Stock Market, subject to the Company’s compliance with the other Nasdaq listing requirements. The Company intends to actively monitor the closing bid price of its Common Shares and will evaluate available options to regain compliance with the Minimum Bid Requirement.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10, 2025</w:t>
            </w: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Craig Shesky</w:t>
            </w:r>
          </w:p>
        </w:tc>
      </w:tr>
      <w:tr>
        <w:trPr>
          <w:trHeight w:val="191"/>
        </w:trPr>
        <w:tc>
          <w:tcPr>
            <w:tcW w:w="3660" w:type="dxa"/>
            <w:vAlign w:val="bottom"/>
          </w:tcPr>
          <w:p>
            <w:pPr>
              <w:spacing w:after="0"/>
              <w:rPr>
                <w:sz w:val="16"/>
                <w:szCs w:val="16"/>
                <w:color w:val="auto"/>
              </w:rPr>
            </w:pPr>
          </w:p>
        </w:tc>
        <w:tc>
          <w:tcPr>
            <w:tcW w:w="2540" w:type="dxa"/>
            <w:vAlign w:val="bottom"/>
          </w:tcPr>
          <w:p>
            <w:pPr>
              <w:ind w:left="19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Craig Shesky</w:t>
            </w:r>
          </w:p>
        </w:tc>
      </w:tr>
      <w:tr>
        <w:trPr>
          <w:trHeight w:val="234"/>
        </w:trPr>
        <w:tc>
          <w:tcPr>
            <w:tcW w:w="3660" w:type="dxa"/>
            <w:vAlign w:val="bottom"/>
          </w:tcPr>
          <w:p>
            <w:pPr>
              <w:spacing w:after="0"/>
              <w:rPr>
                <w:sz w:val="20"/>
                <w:szCs w:val="20"/>
                <w:color w:val="auto"/>
              </w:rPr>
            </w:pP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6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2025-01-10T16:14:37Z</dcterms:created>
  <dcterms:modified xsi:type="dcterms:W3CDTF">2025-01-10T16:14:37Z</dcterms:modified>
</cp:coreProperties>
</file>